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29442" w14:textId="779D14E1" w:rsidR="00DB6A0B" w:rsidRDefault="00000000">
      <w:pPr>
        <w:pBdr>
          <w:top w:val="single" w:sz="4" w:space="1" w:color="00000A"/>
          <w:left w:val="single" w:sz="4" w:space="4" w:color="00000A"/>
          <w:bottom w:val="single" w:sz="4" w:space="1" w:color="00000A"/>
          <w:right w:val="single" w:sz="4" w:space="4" w:color="00000A"/>
        </w:pBdr>
        <w:jc w:val="center"/>
      </w:pPr>
      <w:bookmarkStart w:id="0" w:name="__DdeLink__14327_2703202234"/>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Annexe n°1 au marché relatif à l’organisation de l’édition 202</w:t>
      </w:r>
      <w:r w:rsidR="00107B09">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Pr>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des « journées européennes du patrimoine » dans la région Grand Est en vue de l’application de la réglementation européenne pour la protection des données à caractère personnel.</w:t>
      </w:r>
      <w:bookmarkEnd w:id="0"/>
    </w:p>
    <w:p w14:paraId="0FCE5ED4" w14:textId="77777777" w:rsidR="00DB6A0B" w:rsidRDefault="00DB6A0B">
      <w:pPr>
        <w:jc w:val="both"/>
      </w:pPr>
    </w:p>
    <w:p w14:paraId="7B189CFD" w14:textId="77777777" w:rsidR="00DB6A0B" w:rsidRDefault="00000000">
      <w:pPr>
        <w:jc w:val="both"/>
      </w:pPr>
      <w:r>
        <w:t>La Direction régionale des affaires culturelles du Grand Est</w:t>
      </w:r>
    </w:p>
    <w:p w14:paraId="7A4B9C07" w14:textId="77777777" w:rsidR="00DB6A0B" w:rsidRDefault="00000000">
      <w:pPr>
        <w:jc w:val="both"/>
      </w:pPr>
      <w:r>
        <w:t>Direction régionale des affaires culturelles</w:t>
      </w:r>
    </w:p>
    <w:p w14:paraId="41ADBE24" w14:textId="77777777" w:rsidR="00DB6A0B" w:rsidRDefault="00000000">
      <w:pPr>
        <w:jc w:val="both"/>
      </w:pPr>
      <w:r>
        <w:t>Sis 2 place de la République</w:t>
      </w:r>
    </w:p>
    <w:p w14:paraId="41643FD2" w14:textId="77777777" w:rsidR="00DB6A0B" w:rsidRDefault="00000000">
      <w:pPr>
        <w:jc w:val="both"/>
      </w:pPr>
      <w:r>
        <w:t>67082 STRASBOURG cedex</w:t>
      </w:r>
    </w:p>
    <w:p w14:paraId="3DF145D6" w14:textId="77777777" w:rsidR="00DB6A0B" w:rsidRDefault="00000000">
      <w:r>
        <w:t xml:space="preserve"> représenté par Mme Delphine CHRISTOPHE, Directrice régionale des affaires culturelles</w:t>
      </w:r>
    </w:p>
    <w:p w14:paraId="6C1107D1" w14:textId="77777777" w:rsidR="00DB6A0B" w:rsidRDefault="00000000">
      <w:pPr>
        <w:jc w:val="both"/>
      </w:pPr>
      <w:r>
        <w:t xml:space="preserve"> (Ci-après, « le responsable de traitement »)</w:t>
      </w:r>
    </w:p>
    <w:p w14:paraId="6465DE66" w14:textId="77777777" w:rsidR="00DB6A0B" w:rsidRDefault="00000000">
      <w:pPr>
        <w:jc w:val="both"/>
      </w:pPr>
      <w:r>
        <w:t>d'une part,</w:t>
      </w:r>
    </w:p>
    <w:p w14:paraId="3311EA76" w14:textId="77777777" w:rsidR="00DB6A0B" w:rsidRDefault="00000000">
      <w:pPr>
        <w:jc w:val="both"/>
      </w:pPr>
      <w:r>
        <w:t>ET</w:t>
      </w:r>
    </w:p>
    <w:p w14:paraId="515C90ED" w14:textId="77777777" w:rsidR="00DB6A0B" w:rsidRDefault="00000000">
      <w:pPr>
        <w:jc w:val="both"/>
      </w:pPr>
      <w:r>
        <w:t>[…………………………………………..……..], situé à […] et représenté par […………………………………………….]</w:t>
      </w:r>
    </w:p>
    <w:p w14:paraId="6730A8B1" w14:textId="77777777" w:rsidR="00DB6A0B" w:rsidRDefault="00000000">
      <w:pPr>
        <w:jc w:val="both"/>
        <w:rPr>
          <w:highlight w:val="yellow"/>
        </w:rPr>
      </w:pPr>
      <w:r>
        <w:t>(Ci-après, « le sous-traitant »)</w:t>
      </w:r>
    </w:p>
    <w:p w14:paraId="50C46AE9" w14:textId="77777777" w:rsidR="00DB6A0B" w:rsidRDefault="00000000">
      <w:pPr>
        <w:jc w:val="both"/>
        <w:rPr>
          <w:highlight w:val="yellow"/>
        </w:rPr>
      </w:pPr>
      <w:r>
        <w:t>d’autre part,</w:t>
      </w:r>
    </w:p>
    <w:p w14:paraId="1A4659F8" w14:textId="77777777" w:rsidR="00DB6A0B" w:rsidRDefault="00DB6A0B">
      <w:pPr>
        <w:jc w:val="both"/>
      </w:pPr>
    </w:p>
    <w:p w14:paraId="17F63319" w14:textId="77777777" w:rsidR="00DB6A0B" w:rsidRDefault="00000000">
      <w:pPr>
        <w:jc w:val="both"/>
        <w:rPr>
          <w:b/>
        </w:rPr>
      </w:pPr>
      <w:r>
        <w:rPr>
          <w:b/>
        </w:rPr>
        <w:t>I.  Objet</w:t>
      </w:r>
    </w:p>
    <w:p w14:paraId="5B12FBCE" w14:textId="77777777" w:rsidR="00DB6A0B" w:rsidRDefault="00000000">
      <w:pPr>
        <w:jc w:val="both"/>
      </w:pPr>
      <w:r>
        <w:t>Les présentes clauses ont pour objet de définir les conditions dans lesquelles le sous-traitant s’engage à effectuer pour le compte du responsable de traitement les opérations de traitement de données à caractère personnel définies ci-après.</w:t>
      </w:r>
    </w:p>
    <w:p w14:paraId="0252F0BF" w14:textId="77777777" w:rsidR="00DB6A0B" w:rsidRDefault="00000000">
      <w:pPr>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42EA79DF" w14:textId="77777777" w:rsidR="00DB6A0B" w:rsidRDefault="00DB6A0B">
      <w:pPr>
        <w:jc w:val="both"/>
      </w:pPr>
    </w:p>
    <w:p w14:paraId="3852397B" w14:textId="77777777" w:rsidR="00DB6A0B" w:rsidRDefault="00000000">
      <w:pPr>
        <w:jc w:val="both"/>
        <w:rPr>
          <w:b/>
        </w:rPr>
      </w:pPr>
      <w:r>
        <w:rPr>
          <w:b/>
        </w:rPr>
        <w:t>II.  Description du traitement faisant l’objet de la sous-traitance</w:t>
      </w:r>
    </w:p>
    <w:p w14:paraId="4573E984" w14:textId="381BA1EB" w:rsidR="00DB6A0B" w:rsidRDefault="00000000">
      <w:pPr>
        <w:jc w:val="both"/>
      </w:pPr>
      <w:r>
        <w:t>Le sous-traitant est autorisé à traiter pour le compte du responsable de traitement les données à caractère personnel nécessaires pour les prestations relatives à l’organisation de l’édition 202</w:t>
      </w:r>
      <w:r w:rsidR="00107B09">
        <w:t>5</w:t>
      </w:r>
      <w:r>
        <w:t xml:space="preserve"> des « journées européennes du patrimoine » dans la région Grand Est :</w:t>
      </w:r>
    </w:p>
    <w:p w14:paraId="0AD251E3" w14:textId="77777777" w:rsidR="00DB6A0B" w:rsidRDefault="00000000">
      <w:pPr>
        <w:pStyle w:val="Paragraphedeliste"/>
        <w:numPr>
          <w:ilvl w:val="0"/>
          <w:numId w:val="1"/>
        </w:numPr>
        <w:jc w:val="both"/>
      </w:pPr>
      <w:r>
        <w:t>Les opérations à réaliser sont : la réalisation de la base de données pour le programme régional en ligne et les outils destinés à l’information de la presse et du public, et la gestion des opérations de promotion des sites participants.</w:t>
      </w:r>
    </w:p>
    <w:p w14:paraId="419C1847" w14:textId="77777777" w:rsidR="00DB6A0B" w:rsidRDefault="00DB6A0B">
      <w:pPr>
        <w:pStyle w:val="Paragraphedeliste"/>
        <w:ind w:left="1440"/>
        <w:jc w:val="both"/>
      </w:pPr>
    </w:p>
    <w:p w14:paraId="1C5C3915" w14:textId="31A51386" w:rsidR="00DB6A0B" w:rsidRDefault="00000000">
      <w:pPr>
        <w:pStyle w:val="Paragraphedeliste"/>
        <w:numPr>
          <w:ilvl w:val="0"/>
          <w:numId w:val="1"/>
        </w:numPr>
        <w:jc w:val="both"/>
      </w:pPr>
      <w:r>
        <w:lastRenderedPageBreak/>
        <w:t>La finalité du traitement est l’organisation de l’édition 202</w:t>
      </w:r>
      <w:r w:rsidR="00107B09">
        <w:t>5</w:t>
      </w:r>
      <w:r>
        <w:t xml:space="preserve"> des « journées européennes du patrimoine »</w:t>
      </w:r>
    </w:p>
    <w:p w14:paraId="19069394" w14:textId="77777777" w:rsidR="00DB6A0B" w:rsidRDefault="00000000">
      <w:pPr>
        <w:pStyle w:val="Paragraphedeliste"/>
        <w:numPr>
          <w:ilvl w:val="0"/>
          <w:numId w:val="1"/>
        </w:numPr>
        <w:jc w:val="both"/>
      </w:pPr>
      <w:r>
        <w:t>Les données à caractère personnel traitées sont des :</w:t>
      </w:r>
    </w:p>
    <w:p w14:paraId="2C584A0B" w14:textId="77777777" w:rsidR="00DB6A0B" w:rsidRDefault="00000000">
      <w:pPr>
        <w:pStyle w:val="Paragraphedeliste"/>
        <w:ind w:left="624"/>
        <w:jc w:val="both"/>
      </w:pPr>
      <w:r>
        <w:t xml:space="preserve"> noms, photos, adresses postales, adresses mail, numéros de téléphone, identifiants de  connexion informatique ;</w:t>
      </w:r>
    </w:p>
    <w:p w14:paraId="521D4117" w14:textId="77777777" w:rsidR="00DB6A0B" w:rsidRDefault="00DB6A0B">
      <w:pPr>
        <w:pStyle w:val="Paragraphedeliste"/>
        <w:ind w:left="1440"/>
        <w:jc w:val="both"/>
      </w:pPr>
    </w:p>
    <w:p w14:paraId="4756F8EE" w14:textId="77777777" w:rsidR="00DB6A0B" w:rsidRDefault="00000000">
      <w:pPr>
        <w:jc w:val="both"/>
      </w:pPr>
      <w:r>
        <w:t xml:space="preserve">Pour l’exécution du service objet du présent contrat, le responsable de traitement met à la disposition du sous-traitant les informations nécessaires suivantes : </w:t>
      </w:r>
    </w:p>
    <w:p w14:paraId="6E9899AD" w14:textId="5B87B51B" w:rsidR="00DB6A0B" w:rsidRDefault="00000000">
      <w:pPr>
        <w:jc w:val="both"/>
      </w:pPr>
      <w:r>
        <w:t>- le rétroplanning prévisionnel des journées du patrimoine 202</w:t>
      </w:r>
      <w:r w:rsidR="00107B09">
        <w:t>5</w:t>
      </w:r>
    </w:p>
    <w:p w14:paraId="6F4C6C2B" w14:textId="0D100D7D" w:rsidR="00DB6A0B" w:rsidRDefault="00000000">
      <w:pPr>
        <w:jc w:val="both"/>
      </w:pPr>
      <w:r>
        <w:t>- le bilan de l’opération 202</w:t>
      </w:r>
      <w:r w:rsidR="00107B09">
        <w:t>4</w:t>
      </w:r>
    </w:p>
    <w:p w14:paraId="61DEA43B" w14:textId="6BFC0836" w:rsidR="00DB6A0B" w:rsidRDefault="00000000">
      <w:pPr>
        <w:jc w:val="both"/>
      </w:pPr>
      <w:r>
        <w:t>- la charte graphique des journées européennes du patrimoine 202</w:t>
      </w:r>
      <w:r w:rsidR="00107B09">
        <w:t>5</w:t>
      </w:r>
      <w:r>
        <w:t xml:space="preserve"> (dès que disponible)</w:t>
      </w:r>
    </w:p>
    <w:p w14:paraId="354F59F4" w14:textId="77777777" w:rsidR="00DB6A0B" w:rsidRDefault="00DB6A0B">
      <w:pPr>
        <w:jc w:val="both"/>
      </w:pPr>
    </w:p>
    <w:p w14:paraId="403ABC68" w14:textId="77777777" w:rsidR="00DB6A0B" w:rsidRDefault="00000000">
      <w:pPr>
        <w:jc w:val="both"/>
        <w:rPr>
          <w:b/>
        </w:rPr>
      </w:pPr>
      <w:r>
        <w:rPr>
          <w:b/>
        </w:rPr>
        <w:t>III.  Durée du contrat</w:t>
      </w:r>
    </w:p>
    <w:p w14:paraId="285AC8A9" w14:textId="65F00E46" w:rsidR="00DB6A0B" w:rsidRDefault="00000000">
      <w:pPr>
        <w:jc w:val="both"/>
      </w:pPr>
      <w:r>
        <w:t>Le présent contrat entre en vigueur à compter de la date de notification du marché relatif à l’organisation de l’édition 202</w:t>
      </w:r>
      <w:r w:rsidR="00107B09">
        <w:t>5</w:t>
      </w:r>
      <w:r>
        <w:t xml:space="preserve"> des « journées européennes du patrimoine » dans la région Grand Est, et, prend fin à la date de validation, par l’administration, de l'achèvement des prestations et des obligations concernant le traitement des données à caractère personnel, notamment, selon les dispositions de l’article 12. Sort des données du présent contrat.</w:t>
      </w:r>
    </w:p>
    <w:p w14:paraId="3DD0BDEE" w14:textId="77777777" w:rsidR="00DB6A0B" w:rsidRDefault="00DB6A0B">
      <w:pPr>
        <w:jc w:val="both"/>
      </w:pPr>
    </w:p>
    <w:p w14:paraId="0C1338B1" w14:textId="77777777" w:rsidR="00DB6A0B" w:rsidRDefault="00000000">
      <w:pPr>
        <w:jc w:val="both"/>
        <w:rPr>
          <w:b/>
        </w:rPr>
      </w:pPr>
      <w:r>
        <w:rPr>
          <w:b/>
        </w:rPr>
        <w:t>IV.  Obligations du sous-traitant vis-à-vis du responsable de traitement</w:t>
      </w:r>
    </w:p>
    <w:p w14:paraId="5872A0FC" w14:textId="77777777" w:rsidR="00DB6A0B" w:rsidRDefault="00000000">
      <w:pPr>
        <w:jc w:val="both"/>
      </w:pPr>
      <w:r>
        <w:t>Le sous-traitant s'engage à :</w:t>
      </w:r>
    </w:p>
    <w:p w14:paraId="4096D6B6" w14:textId="77777777" w:rsidR="00DB6A0B" w:rsidRDefault="00000000">
      <w:pPr>
        <w:jc w:val="both"/>
      </w:pPr>
      <w:r>
        <w:rPr>
          <w:b/>
        </w:rPr>
        <w:t>1.</w:t>
      </w:r>
      <w:r>
        <w:t xml:space="preserve">  traiter les données uniquement pour la ou les seule(s) finalité(s) qui fait/font l’objet de la sous-traitance ;</w:t>
      </w:r>
    </w:p>
    <w:p w14:paraId="75B7E4EC" w14:textId="77777777" w:rsidR="00DB6A0B" w:rsidRDefault="00000000">
      <w:pPr>
        <w:jc w:val="both"/>
      </w:pPr>
      <w:r>
        <w:rPr>
          <w:b/>
        </w:rPr>
        <w:t>2.</w:t>
      </w:r>
      <w:r>
        <w:t xml:space="preserve">  traiter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2AD625A6" w14:textId="77777777" w:rsidR="00DB6A0B" w:rsidRDefault="00000000">
      <w:pPr>
        <w:jc w:val="both"/>
      </w:pPr>
      <w:r>
        <w:rPr>
          <w:b/>
        </w:rPr>
        <w:t>3.</w:t>
      </w:r>
      <w:r>
        <w:t xml:space="preserve">  garantir la confidentialité des données à caractère personnel traitées dans le cadre du présent contrat ;</w:t>
      </w:r>
    </w:p>
    <w:p w14:paraId="746F2B24" w14:textId="77777777" w:rsidR="00DB6A0B" w:rsidRDefault="00000000">
      <w:pPr>
        <w:jc w:val="both"/>
      </w:pPr>
      <w:r>
        <w:rPr>
          <w:b/>
        </w:rPr>
        <w:t>4.</w:t>
      </w:r>
      <w:r>
        <w:t xml:space="preserve">  veiller à ce que les personnes autorisées à traiter les données à caractère personnel en vertu du présent contrat :</w:t>
      </w:r>
    </w:p>
    <w:p w14:paraId="67D6FC1C" w14:textId="77777777" w:rsidR="00DB6A0B" w:rsidRDefault="00000000">
      <w:pPr>
        <w:pStyle w:val="Paragraphedeliste"/>
        <w:numPr>
          <w:ilvl w:val="0"/>
          <w:numId w:val="2"/>
        </w:numPr>
        <w:ind w:left="426"/>
        <w:jc w:val="both"/>
      </w:pPr>
      <w:r>
        <w:t>s’engagent à respecter la confidentialité ou soient soumises à une obligation légale appropriée de confidentialité</w:t>
      </w:r>
    </w:p>
    <w:p w14:paraId="3D92BE13" w14:textId="77777777" w:rsidR="00DB6A0B" w:rsidRDefault="00000000">
      <w:pPr>
        <w:pStyle w:val="Paragraphedeliste"/>
        <w:numPr>
          <w:ilvl w:val="0"/>
          <w:numId w:val="2"/>
        </w:numPr>
        <w:ind w:left="426"/>
        <w:jc w:val="both"/>
      </w:pPr>
      <w:r>
        <w:t>reçoivent la formation nécessaire en matière de protection des données à caractère personnel</w:t>
      </w:r>
    </w:p>
    <w:p w14:paraId="4192BB10" w14:textId="77777777" w:rsidR="00DB6A0B" w:rsidRDefault="00000000">
      <w:pPr>
        <w:jc w:val="both"/>
      </w:pPr>
      <w:r>
        <w:rPr>
          <w:b/>
        </w:rPr>
        <w:lastRenderedPageBreak/>
        <w:t>5.</w:t>
      </w:r>
      <w:r>
        <w:t xml:space="preserve"> prendre en compte, s’agissant de ses outils, produits, applications ou services, les principes de protection des données dès la conception et de protection des données par défaut ;</w:t>
      </w:r>
    </w:p>
    <w:p w14:paraId="351F3EB0" w14:textId="77777777" w:rsidR="00DB6A0B" w:rsidRDefault="00000000">
      <w:pPr>
        <w:jc w:val="both"/>
        <w:rPr>
          <w:b/>
        </w:rPr>
      </w:pPr>
      <w:r>
        <w:rPr>
          <w:b/>
        </w:rPr>
        <w:t>6.  Sous-traitance</w:t>
      </w:r>
    </w:p>
    <w:p w14:paraId="0AB4B2AB" w14:textId="77777777" w:rsidR="00DB6A0B" w:rsidRDefault="00000000">
      <w:pPr>
        <w:jc w:val="both"/>
      </w:pPr>
      <w:r>
        <w:rPr>
          <w:u w:val="single"/>
        </w:rPr>
        <w:t>Option A</w:t>
      </w:r>
      <w:r>
        <w:t xml:space="preserve"> (autorisation générale)</w:t>
      </w:r>
    </w:p>
    <w:p w14:paraId="5136FD99" w14:textId="77777777" w:rsidR="00DB6A0B" w:rsidRDefault="00000000">
      <w:pPr>
        <w:jc w:val="both"/>
      </w:pPr>
      <w: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21 jours à compter de la date de réception de cette information pour présenter ses objections. Cette sous-traitance ne peut être effectuée que si le responsable de traitement n'a pas émis d'objection pendant le délai convenu.</w:t>
      </w:r>
    </w:p>
    <w:p w14:paraId="45ABA841" w14:textId="77777777" w:rsidR="00DB6A0B" w:rsidRDefault="00DB6A0B">
      <w:pPr>
        <w:jc w:val="both"/>
        <w:rPr>
          <w:highlight w:val="yellow"/>
          <w:u w:val="single"/>
        </w:rPr>
      </w:pPr>
    </w:p>
    <w:p w14:paraId="65629F00" w14:textId="77777777" w:rsidR="00DB6A0B" w:rsidRDefault="00000000">
      <w:pPr>
        <w:jc w:val="both"/>
      </w:pPr>
      <w:r>
        <w:rPr>
          <w:u w:val="single"/>
        </w:rPr>
        <w:t>Quelle que soit l’option</w:t>
      </w:r>
      <w:r>
        <w:t xml:space="preserve"> (autorisation générale ou spécifique)</w:t>
      </w:r>
    </w:p>
    <w:p w14:paraId="137AB797" w14:textId="77777777" w:rsidR="00DB6A0B" w:rsidRDefault="00000000">
      <w:pPr>
        <w:jc w:val="both"/>
      </w:pPr>
      <w: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65E1E79B" w14:textId="77777777" w:rsidR="00DB6A0B" w:rsidRDefault="00DB6A0B">
      <w:pPr>
        <w:jc w:val="both"/>
      </w:pPr>
    </w:p>
    <w:p w14:paraId="267F17A7" w14:textId="77777777" w:rsidR="00DB6A0B" w:rsidRDefault="00000000">
      <w:pPr>
        <w:jc w:val="both"/>
        <w:rPr>
          <w:b/>
        </w:rPr>
      </w:pPr>
      <w:r>
        <w:rPr>
          <w:b/>
        </w:rPr>
        <w:t>7.  Droit d’information des personnes concernées</w:t>
      </w:r>
    </w:p>
    <w:p w14:paraId="74BB1C2F" w14:textId="77777777" w:rsidR="00DB6A0B" w:rsidRDefault="00000000">
      <w:pPr>
        <w:jc w:val="both"/>
        <w:rPr>
          <w:u w:val="single"/>
        </w:rPr>
      </w:pPr>
      <w:r>
        <w:rPr>
          <w:u w:val="single"/>
        </w:rPr>
        <w:t>Option B</w:t>
      </w:r>
    </w:p>
    <w:p w14:paraId="493531F5" w14:textId="77777777" w:rsidR="00DB6A0B" w:rsidRDefault="00000000">
      <w:pPr>
        <w:jc w:val="both"/>
      </w:pPr>
      <w: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18CA59A6" w14:textId="77777777" w:rsidR="00DB6A0B" w:rsidRDefault="00DB6A0B">
      <w:pPr>
        <w:jc w:val="both"/>
      </w:pPr>
    </w:p>
    <w:p w14:paraId="25DE0062" w14:textId="77777777" w:rsidR="00DB6A0B" w:rsidRDefault="00000000">
      <w:pPr>
        <w:jc w:val="both"/>
        <w:rPr>
          <w:b/>
        </w:rPr>
      </w:pPr>
      <w:r>
        <w:rPr>
          <w:b/>
        </w:rPr>
        <w:t>8. Exercice des droits des personnes</w:t>
      </w:r>
    </w:p>
    <w:p w14:paraId="50C18997" w14:textId="77777777" w:rsidR="00DB6A0B" w:rsidRDefault="00000000">
      <w:pPr>
        <w:jc w:val="both"/>
      </w:pPr>
      <w: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BC84577" w14:textId="77777777" w:rsidR="00DB6A0B" w:rsidRDefault="00000000">
      <w:pPr>
        <w:jc w:val="both"/>
        <w:rPr>
          <w:u w:val="single"/>
        </w:rPr>
      </w:pPr>
      <w:r>
        <w:rPr>
          <w:u w:val="single"/>
        </w:rPr>
        <w:t>Option A</w:t>
      </w:r>
    </w:p>
    <w:p w14:paraId="3D1DB761" w14:textId="77777777" w:rsidR="00DB6A0B" w:rsidRDefault="00000000">
      <w:pPr>
        <w:jc w:val="both"/>
      </w:pPr>
      <w:r>
        <w:lastRenderedPageBreak/>
        <w:t xml:space="preserve">Lorsque les personnes concernées exercent auprès du sous-traitant des demandes d’exercice de leurs droits, le sous-traitant doit adresser ces demandes dès réception par courrier électronique à </w:t>
      </w:r>
      <w:r>
        <w:rPr>
          <w:rStyle w:val="LienInternet"/>
          <w:color w:val="auto"/>
          <w:u w:val="none"/>
        </w:rPr>
        <w:t xml:space="preserve">Mme Alice Fey : </w:t>
      </w:r>
      <w:hyperlink r:id="rId7">
        <w:r>
          <w:rPr>
            <w:rStyle w:val="LienInternet"/>
            <w:color w:val="auto"/>
            <w:u w:val="none"/>
          </w:rPr>
          <w:t>alice.fey</w:t>
        </w:r>
        <w:r>
          <w:rPr>
            <w:rStyle w:val="LienInternet"/>
          </w:rPr>
          <w:t>@culture.gouv.fr</w:t>
        </w:r>
      </w:hyperlink>
      <w:r>
        <w:rPr>
          <w:rStyle w:val="LienInternet"/>
        </w:rPr>
        <w:t xml:space="preserve"> </w:t>
      </w:r>
    </w:p>
    <w:p w14:paraId="3810D337" w14:textId="77777777" w:rsidR="00DB6A0B" w:rsidRDefault="00DB6A0B">
      <w:pPr>
        <w:jc w:val="both"/>
      </w:pPr>
    </w:p>
    <w:p w14:paraId="7883A9B0" w14:textId="77777777" w:rsidR="00DB6A0B" w:rsidRDefault="00000000">
      <w:pPr>
        <w:jc w:val="both"/>
        <w:rPr>
          <w:b/>
        </w:rPr>
      </w:pPr>
      <w:r>
        <w:rPr>
          <w:b/>
        </w:rPr>
        <w:t>9.  Notification des violations de données à caractère personnel</w:t>
      </w:r>
    </w:p>
    <w:p w14:paraId="6E11B46E" w14:textId="77777777" w:rsidR="00DB6A0B" w:rsidRDefault="00000000">
      <w:pPr>
        <w:jc w:val="both"/>
      </w:pPr>
      <w:r>
        <w:t xml:space="preserve">Le sous-traitant notifie au responsable de traitement toute violation de données à caractère personnel dans un délai maximum de 8 heures après en avoir pris connaissance par courrier à l’adresse suivante :  </w:t>
      </w:r>
    </w:p>
    <w:p w14:paraId="3843C497" w14:textId="77777777" w:rsidR="00DB6A0B" w:rsidRDefault="00000000">
      <w:pPr>
        <w:jc w:val="both"/>
      </w:pPr>
      <w:r>
        <w:t>MINISTÈRE DE LA CULTURE</w:t>
      </w:r>
    </w:p>
    <w:p w14:paraId="1AD9AC99" w14:textId="77777777" w:rsidR="00DB6A0B" w:rsidRDefault="00000000">
      <w:pPr>
        <w:jc w:val="both"/>
      </w:pPr>
      <w:r>
        <w:t xml:space="preserve">DRAC GRAND EST </w:t>
      </w:r>
    </w:p>
    <w:p w14:paraId="2BBF37F5" w14:textId="77777777" w:rsidR="00DB6A0B" w:rsidRDefault="00000000">
      <w:pPr>
        <w:jc w:val="both"/>
      </w:pPr>
      <w:r>
        <w:t>Pôle Patrimoines</w:t>
      </w:r>
    </w:p>
    <w:p w14:paraId="61D28BB1" w14:textId="77777777" w:rsidR="00DB6A0B" w:rsidRDefault="00000000">
      <w:pPr>
        <w:jc w:val="both"/>
      </w:pPr>
      <w:r>
        <w:t>Conservation régionale des monuments historiques</w:t>
      </w:r>
    </w:p>
    <w:p w14:paraId="6545EF66" w14:textId="77777777" w:rsidR="00DB6A0B" w:rsidRDefault="00000000">
      <w:pPr>
        <w:jc w:val="both"/>
      </w:pPr>
      <w:r>
        <w:t>3 faubourg Saint-Antoine - CS 60449</w:t>
      </w:r>
    </w:p>
    <w:p w14:paraId="46FDFDB0" w14:textId="77777777" w:rsidR="00DB6A0B" w:rsidRDefault="00000000">
      <w:pPr>
        <w:jc w:val="both"/>
      </w:pPr>
      <w:r>
        <w:t>51037 Châlons-en-Champagne cedex</w:t>
      </w:r>
    </w:p>
    <w:p w14:paraId="18FA166B" w14:textId="77777777" w:rsidR="00DB6A0B" w:rsidRDefault="00DB6A0B">
      <w:pPr>
        <w:jc w:val="both"/>
      </w:pPr>
    </w:p>
    <w:p w14:paraId="4D3AB34E" w14:textId="77777777" w:rsidR="00DB6A0B" w:rsidRDefault="00000000">
      <w:pPr>
        <w:jc w:val="both"/>
      </w:pPr>
      <w:r>
        <w:t xml:space="preserve">ainsi que par messagerie électronique : </w:t>
      </w:r>
      <w:hyperlink r:id="rId8">
        <w:r>
          <w:rPr>
            <w:rStyle w:val="LienInternet"/>
          </w:rPr>
          <w:t>alice.fey@culture.gouv.fr</w:t>
        </w:r>
      </w:hyperlink>
      <w:r>
        <w:rPr>
          <w:rStyle w:val="LienInternet"/>
        </w:rPr>
        <w:t xml:space="preserve"> </w:t>
      </w:r>
      <w:r>
        <w:t>. Cette notification est accompagnée de toute documentation utile afin de permettre au responsable de traitement, si nécessaire, de notifier cette violation à l’autorité de contrôle compétente.</w:t>
      </w:r>
    </w:p>
    <w:p w14:paraId="5FFD8629" w14:textId="77777777" w:rsidR="00DB6A0B" w:rsidRDefault="00000000">
      <w:pPr>
        <w:jc w:val="both"/>
      </w:pPr>
      <w: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1C10B008" w14:textId="77777777" w:rsidR="00DB6A0B" w:rsidRDefault="00DB6A0B">
      <w:pPr>
        <w:jc w:val="both"/>
      </w:pPr>
    </w:p>
    <w:p w14:paraId="473DF447" w14:textId="77777777" w:rsidR="00DB6A0B" w:rsidRDefault="00000000">
      <w:pPr>
        <w:jc w:val="both"/>
      </w:pPr>
      <w:r>
        <w:t>La notification contient au moins :</w:t>
      </w:r>
    </w:p>
    <w:p w14:paraId="2ED12BAC" w14:textId="77777777" w:rsidR="00DB6A0B" w:rsidRDefault="00000000">
      <w:pPr>
        <w:pStyle w:val="Paragraphedeliste"/>
        <w:numPr>
          <w:ilvl w:val="0"/>
          <w:numId w:val="3"/>
        </w:numPr>
        <w:jc w:val="both"/>
      </w:pPr>
      <w: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9854432" w14:textId="77777777" w:rsidR="00DB6A0B" w:rsidRDefault="00000000">
      <w:pPr>
        <w:pStyle w:val="Paragraphedeliste"/>
        <w:numPr>
          <w:ilvl w:val="0"/>
          <w:numId w:val="3"/>
        </w:numPr>
        <w:jc w:val="both"/>
      </w:pPr>
      <w:r>
        <w:t>le nom et les coordonnées du délégué à la protection des données ou d'un autre point de contact auprès duquel des informations supplémentaires peuvent être obtenues ;</w:t>
      </w:r>
    </w:p>
    <w:p w14:paraId="7895FC6A" w14:textId="77777777" w:rsidR="00DB6A0B" w:rsidRDefault="00000000">
      <w:pPr>
        <w:pStyle w:val="Paragraphedeliste"/>
        <w:numPr>
          <w:ilvl w:val="0"/>
          <w:numId w:val="3"/>
        </w:numPr>
        <w:jc w:val="both"/>
      </w:pPr>
      <w:r>
        <w:t>la description des conséquences probables de la violation de données à caractère personnel ;</w:t>
      </w:r>
    </w:p>
    <w:p w14:paraId="2D016EF0" w14:textId="77777777" w:rsidR="00DB6A0B" w:rsidRDefault="00000000">
      <w:pPr>
        <w:pStyle w:val="Paragraphedeliste"/>
        <w:numPr>
          <w:ilvl w:val="0"/>
          <w:numId w:val="3"/>
        </w:numPr>
        <w:jc w:val="both"/>
      </w:pPr>
      <w:r>
        <w:t xml:space="preserve">la description des mesures prises ou que le responsable du traitement propose de prendre pour remédier à la violation de données à caractère personnel, y compris, le cas échéant, les mesures pour en atténuer les éventuelles conséquences négatives. </w:t>
      </w:r>
    </w:p>
    <w:p w14:paraId="2B09AD8D" w14:textId="77777777" w:rsidR="00DB6A0B" w:rsidRDefault="00000000">
      <w:pPr>
        <w:jc w:val="both"/>
      </w:pPr>
      <w:r>
        <w:t>Si, et dans la mesure où il n’est pas possible de fournir toutes ces informations en même temps, les informations peuvent être communiquées de manière échelonnée sans retard indu.</w:t>
      </w:r>
    </w:p>
    <w:p w14:paraId="2D53D530" w14:textId="77777777" w:rsidR="00DB6A0B" w:rsidRDefault="00000000">
      <w:pPr>
        <w:jc w:val="both"/>
      </w:pPr>
      <w:r>
        <w:t xml:space="preserve">Après accord du responsable de traitement, le sous-traitant communique, au nom et pour le compte du responsable de traitement, la violation de données à caractère personnel à la personne concernée </w:t>
      </w:r>
      <w:r>
        <w:lastRenderedPageBreak/>
        <w:t>dans les meilleurs délais, lorsque cette violation est susceptible d'engendrer un risque élevé pour les droits et libertés d'une personne physique.</w:t>
      </w:r>
    </w:p>
    <w:p w14:paraId="0426598C" w14:textId="77777777" w:rsidR="00DB6A0B" w:rsidRDefault="00000000">
      <w:pPr>
        <w:jc w:val="both"/>
      </w:pPr>
      <w:r>
        <w:t>La communication à la personne concernée décrit, en des termes clairs et simples, la nature de la violation de données à caractère personnel et contient au moins :</w:t>
      </w:r>
    </w:p>
    <w:p w14:paraId="4E4611CC" w14:textId="77777777" w:rsidR="00DB6A0B" w:rsidRDefault="00000000">
      <w:pPr>
        <w:pStyle w:val="Paragraphedeliste"/>
        <w:numPr>
          <w:ilvl w:val="0"/>
          <w:numId w:val="4"/>
        </w:numPr>
        <w:jc w:val="both"/>
      </w:pPr>
      <w: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712592F4" w14:textId="77777777" w:rsidR="00DB6A0B" w:rsidRDefault="00000000">
      <w:pPr>
        <w:pStyle w:val="Paragraphedeliste"/>
        <w:numPr>
          <w:ilvl w:val="0"/>
          <w:numId w:val="4"/>
        </w:numPr>
        <w:jc w:val="both"/>
      </w:pPr>
      <w:r>
        <w:t>le nom et les coordonnées du délégué à la protection des données ou d'un autre point de contact auprès duquel des informations supplémentaires peuvent être obtenues ;</w:t>
      </w:r>
    </w:p>
    <w:p w14:paraId="49837E4C" w14:textId="77777777" w:rsidR="00DB6A0B" w:rsidRDefault="00000000">
      <w:pPr>
        <w:pStyle w:val="Paragraphedeliste"/>
        <w:numPr>
          <w:ilvl w:val="0"/>
          <w:numId w:val="4"/>
        </w:numPr>
        <w:jc w:val="both"/>
      </w:pPr>
      <w:r>
        <w:t>la description des conséquences probables de la violation de données à caractère personnel ;</w:t>
      </w:r>
    </w:p>
    <w:p w14:paraId="5490F390" w14:textId="77777777" w:rsidR="00DB6A0B" w:rsidRDefault="00000000">
      <w:pPr>
        <w:pStyle w:val="Paragraphedeliste"/>
        <w:numPr>
          <w:ilvl w:val="0"/>
          <w:numId w:val="4"/>
        </w:numPr>
        <w:jc w:val="both"/>
      </w:pPr>
      <w:r>
        <w:t>la description des mesures prises ou que le responsable du traitement propose de prendre pour remédier à la violation de données à caractère personnel, y compris, le cas échéant, les mesures pour en atténuer les éventuelles conséquences négatives.</w:t>
      </w:r>
    </w:p>
    <w:p w14:paraId="57DCBFDD" w14:textId="77777777" w:rsidR="00DB6A0B" w:rsidRDefault="00000000">
      <w:pPr>
        <w:jc w:val="both"/>
        <w:rPr>
          <w:b/>
        </w:rPr>
      </w:pPr>
      <w:r>
        <w:rPr>
          <w:b/>
        </w:rPr>
        <w:t>10. Aide du sous-traitant dans le cadre du respect par le responsable de traitement de ses obligations</w:t>
      </w:r>
    </w:p>
    <w:p w14:paraId="4AB97859" w14:textId="77777777" w:rsidR="00DB6A0B" w:rsidRDefault="00000000">
      <w:pPr>
        <w:jc w:val="both"/>
      </w:pPr>
      <w:r>
        <w:t>Le sous-traitant aide le responsable de traitement pour la réalisation d’analyses d’impact relative à la protection des données.</w:t>
      </w:r>
    </w:p>
    <w:p w14:paraId="484AB9DC" w14:textId="77777777" w:rsidR="00DB6A0B" w:rsidRDefault="00000000">
      <w:pPr>
        <w:jc w:val="both"/>
      </w:pPr>
      <w:r>
        <w:t>Le sous-traitant aide le responsable de traitement pour la réalisation de la consultation préalable de l’autorité de contrôle.</w:t>
      </w:r>
    </w:p>
    <w:p w14:paraId="75C90A5B" w14:textId="77777777" w:rsidR="00DB6A0B" w:rsidRDefault="00DB6A0B">
      <w:pPr>
        <w:jc w:val="both"/>
      </w:pPr>
    </w:p>
    <w:p w14:paraId="3C9F324E" w14:textId="77777777" w:rsidR="00DB6A0B" w:rsidRDefault="00000000">
      <w:pPr>
        <w:jc w:val="both"/>
        <w:rPr>
          <w:b/>
        </w:rPr>
      </w:pPr>
      <w:r>
        <w:rPr>
          <w:b/>
        </w:rPr>
        <w:t>11. Mesures de sécurité</w:t>
      </w:r>
    </w:p>
    <w:p w14:paraId="4259ADE2" w14:textId="77777777" w:rsidR="00DB6A0B" w:rsidRDefault="00000000">
      <w:pPr>
        <w:jc w:val="both"/>
        <w:rPr>
          <w:b/>
          <w:i/>
          <w:sz w:val="18"/>
          <w:szCs w:val="18"/>
        </w:rPr>
      </w:pPr>
      <w:r>
        <w:t>Le sous-traitant s’engage à mettre en œuvre les mesures de sécurité suivantes </w:t>
      </w:r>
      <w:r>
        <w:rPr>
          <w:b/>
          <w:i/>
          <w:sz w:val="18"/>
          <w:szCs w:val="18"/>
        </w:rPr>
        <w:t xml:space="preserve">: </w:t>
      </w:r>
    </w:p>
    <w:p w14:paraId="05707EE3" w14:textId="77777777" w:rsidR="00DB6A0B" w:rsidRDefault="00000000">
      <w:pPr>
        <w:pStyle w:val="Paragraphedeliste"/>
        <w:numPr>
          <w:ilvl w:val="0"/>
          <w:numId w:val="7"/>
        </w:numPr>
        <w:jc w:val="both"/>
      </w:pPr>
      <w:r>
        <w:t>la pseudonymisation et le chiffrement des données à caractère personnel ;</w:t>
      </w:r>
    </w:p>
    <w:p w14:paraId="47C07E64" w14:textId="77777777" w:rsidR="00DB6A0B" w:rsidRDefault="00000000">
      <w:pPr>
        <w:pStyle w:val="Paragraphedeliste"/>
        <w:numPr>
          <w:ilvl w:val="0"/>
          <w:numId w:val="5"/>
        </w:numPr>
        <w:jc w:val="both"/>
      </w:pPr>
      <w:r>
        <w:t>les moyens permettant de garantir la confidentialité, l'intégrité, la disponibilité et la résilience constantes des systèmes et des services de traitement;</w:t>
      </w:r>
    </w:p>
    <w:p w14:paraId="3EBD9772" w14:textId="77777777" w:rsidR="00DB6A0B" w:rsidRDefault="00000000">
      <w:pPr>
        <w:pStyle w:val="Paragraphedeliste"/>
        <w:numPr>
          <w:ilvl w:val="0"/>
          <w:numId w:val="5"/>
        </w:numPr>
        <w:jc w:val="both"/>
      </w:pPr>
      <w:r>
        <w:t>les moyens permettant de rétablir la disponibilité des données à caractère personnel et l'accès à celles-ci dans des délais appropriés en cas d'incident physique ou technique;</w:t>
      </w:r>
    </w:p>
    <w:p w14:paraId="0A67D772" w14:textId="77777777" w:rsidR="00DB6A0B" w:rsidRDefault="00000000">
      <w:pPr>
        <w:pStyle w:val="Paragraphedeliste"/>
        <w:numPr>
          <w:ilvl w:val="0"/>
          <w:numId w:val="5"/>
        </w:numPr>
        <w:jc w:val="both"/>
      </w:pPr>
      <w:r>
        <w:t>une procédure visant à tester, à analyser et à évaluer régulièrement l'efficacité des mesures techniques et organisationnelles pour assurer la sécurité du traitement ;</w:t>
      </w:r>
    </w:p>
    <w:p w14:paraId="4CC0DA86" w14:textId="77777777" w:rsidR="00DB6A0B" w:rsidRDefault="00000000">
      <w:pPr>
        <w:pStyle w:val="Paragraphedeliste"/>
        <w:numPr>
          <w:ilvl w:val="0"/>
          <w:numId w:val="5"/>
        </w:numPr>
        <w:jc w:val="both"/>
      </w:pPr>
      <w:r>
        <w:t>mise en œuvre de moyens permettant de limiter les risques que présente le traitement, résultant notamment de la destruction, de la perte, de l'altération, de la divulgation non autorisée de données à caractère personnel transmises, conservées ou traitées d'une autre manière, ou de l'accès non autorisé à de telles données, de manière accidentelle ou illicite.</w:t>
      </w:r>
    </w:p>
    <w:p w14:paraId="1D8C23AB" w14:textId="77777777" w:rsidR="00DB6A0B" w:rsidRDefault="00000000">
      <w:pPr>
        <w:pStyle w:val="Paragraphedeliste"/>
        <w:numPr>
          <w:ilvl w:val="0"/>
          <w:numId w:val="5"/>
        </w:numPr>
        <w:jc w:val="both"/>
      </w:pPr>
      <w:r>
        <w:t>L'application d'un code de conduite approuvé comme le prévoit l'article 40 du RGPD ou d'un mécanisme de certification approuvé comme le prévoit l'article 42 du RGPD peut servir d'élément pour démontrer le respect des exigences prévues au paragraphe 1 de l’article 32 du RGPD.</w:t>
      </w:r>
    </w:p>
    <w:p w14:paraId="24411A8F" w14:textId="77777777" w:rsidR="00DB6A0B" w:rsidRDefault="00DB6A0B">
      <w:pPr>
        <w:pStyle w:val="Paragraphedeliste"/>
        <w:jc w:val="both"/>
      </w:pPr>
    </w:p>
    <w:p w14:paraId="70A4A5B4" w14:textId="77777777" w:rsidR="00DB6A0B" w:rsidRDefault="00000000">
      <w:pPr>
        <w:ind w:left="360"/>
        <w:jc w:val="both"/>
      </w:pPr>
      <w:r>
        <w:t xml:space="preserve">Le responsable du traitement et le sous-traitant prennent des mesures afin de garantir que toute personne physique agissant sous l'autorité du responsable du traitement ou sous celle du sous-traitant, qui a accès à des données à caractère personnel, ne les traite pas, excepté sur instruction </w:t>
      </w:r>
      <w:r>
        <w:lastRenderedPageBreak/>
        <w:t>du responsable du traitement, à moins d'y être obligée par le droit de l'Union ou le droit d'un État membre.</w:t>
      </w:r>
    </w:p>
    <w:p w14:paraId="7775EEB6" w14:textId="77777777" w:rsidR="00DB6A0B" w:rsidRDefault="00DB6A0B">
      <w:pPr>
        <w:pStyle w:val="Paragraphedeliste"/>
        <w:jc w:val="both"/>
      </w:pPr>
    </w:p>
    <w:p w14:paraId="0253B3EE" w14:textId="77777777" w:rsidR="00DB6A0B" w:rsidRDefault="00000000">
      <w:pPr>
        <w:jc w:val="both"/>
        <w:rPr>
          <w:b/>
        </w:rPr>
      </w:pPr>
      <w:r>
        <w:rPr>
          <w:b/>
        </w:rPr>
        <w:t>12. Sort des données</w:t>
      </w:r>
    </w:p>
    <w:p w14:paraId="602A7605" w14:textId="77777777" w:rsidR="00DB6A0B" w:rsidRDefault="00000000">
      <w:pPr>
        <w:jc w:val="both"/>
      </w:pPr>
      <w:r>
        <w:t>Au terme de la prestation de services relatifs au traitement de ces données, le sous-traitant s’engage à :</w:t>
      </w:r>
    </w:p>
    <w:p w14:paraId="57FE7F60" w14:textId="77777777" w:rsidR="00DB6A0B" w:rsidRDefault="00000000">
      <w:pPr>
        <w:jc w:val="both"/>
      </w:pPr>
      <w:r>
        <w:t>Au choix des parties :</w:t>
      </w:r>
    </w:p>
    <w:p w14:paraId="59696362" w14:textId="77777777" w:rsidR="00DB6A0B" w:rsidRDefault="00000000">
      <w:pPr>
        <w:jc w:val="both"/>
      </w:pPr>
      <w:r>
        <w:rPr>
          <w:rFonts w:ascii="Wingdings" w:eastAsia="Calibri" w:hAnsi="Wingdings" w:cs="Calibri"/>
        </w:rPr>
        <w:t></w:t>
      </w:r>
      <w:r>
        <w:tab/>
        <w:t xml:space="preserve">détruire toutes les données à caractère personnel </w:t>
      </w:r>
    </w:p>
    <w:p w14:paraId="3B169AD1" w14:textId="77777777" w:rsidR="00DB6A0B" w:rsidRDefault="00000000">
      <w:pPr>
        <w:jc w:val="both"/>
      </w:pPr>
      <w:r>
        <w:rPr>
          <w:rFonts w:ascii="Wingdings 2" w:eastAsia="Wingdings 2" w:hAnsi="Wingdings 2" w:cs="Wingdings 2"/>
        </w:rPr>
        <w:t xml:space="preserve">  </w:t>
      </w:r>
      <w:r>
        <w:t xml:space="preserve">à renvoyer toutes les données à caractère personnel au responsable de traitement </w:t>
      </w:r>
    </w:p>
    <w:p w14:paraId="6D3E1333" w14:textId="77777777" w:rsidR="00DB6A0B" w:rsidRDefault="00000000">
      <w:pPr>
        <w:jc w:val="both"/>
      </w:pPr>
      <w:r>
        <w:rPr>
          <w:rFonts w:ascii="Wingdings" w:eastAsia="Calibri" w:hAnsi="Wingdings" w:cs="Calibri"/>
        </w:rPr>
        <w:t></w:t>
      </w:r>
      <w:r>
        <w:tab/>
        <w:t>à renvoyer les données à caractère personnel au sous-traitant désigné par le responsable de traitement</w:t>
      </w:r>
    </w:p>
    <w:p w14:paraId="01736C1D" w14:textId="77777777" w:rsidR="00DB6A0B" w:rsidRDefault="00000000">
      <w:pPr>
        <w:jc w:val="both"/>
      </w:pPr>
      <w:r>
        <w:t>Le renvoi doit s’accompagner de la destruction de toutes les copies existantes dans les systèmes d’information du sous-traitant. Une fois détruites, le sous-traitant doit justifier par écrit de la destruction.</w:t>
      </w:r>
    </w:p>
    <w:p w14:paraId="44074D42" w14:textId="77777777" w:rsidR="00DB6A0B" w:rsidRDefault="00000000">
      <w:pPr>
        <w:jc w:val="both"/>
        <w:rPr>
          <w:b/>
        </w:rPr>
      </w:pPr>
      <w:r>
        <w:rPr>
          <w:b/>
        </w:rPr>
        <w:t>13. Délégué à la protection des données</w:t>
      </w:r>
    </w:p>
    <w:p w14:paraId="672BA3B5" w14:textId="77777777" w:rsidR="00DB6A0B" w:rsidRDefault="00000000">
      <w:pPr>
        <w:jc w:val="both"/>
      </w:pPr>
      <w:r>
        <w:t>Le sous-traitant communique au responsable de traitement le nom et les coordonnées de son délégué à la protection des données, s’il en a désigné un conformément à l’article 37 du règlement européen sur la protection des données</w:t>
      </w:r>
    </w:p>
    <w:p w14:paraId="10344E0B" w14:textId="77777777" w:rsidR="00DB6A0B" w:rsidRDefault="00DB6A0B">
      <w:pPr>
        <w:jc w:val="both"/>
      </w:pPr>
    </w:p>
    <w:p w14:paraId="41A2B611" w14:textId="77777777" w:rsidR="00DB6A0B" w:rsidRDefault="00DB6A0B">
      <w:pPr>
        <w:jc w:val="both"/>
      </w:pPr>
    </w:p>
    <w:p w14:paraId="1A2F7B40" w14:textId="77777777" w:rsidR="00DB6A0B" w:rsidRDefault="00000000">
      <w:pPr>
        <w:jc w:val="both"/>
        <w:rPr>
          <w:b/>
        </w:rPr>
      </w:pPr>
      <w:r>
        <w:rPr>
          <w:b/>
        </w:rPr>
        <w:t>14. Registre des catégories d’activités de traitement</w:t>
      </w:r>
    </w:p>
    <w:p w14:paraId="2A980E42" w14:textId="77777777" w:rsidR="00DB6A0B" w:rsidRDefault="00000000">
      <w:pPr>
        <w:jc w:val="both"/>
      </w:pPr>
      <w:r>
        <w:t>Le sous-traitant déclare tenir par écrit un registre de toutes les catégories d’activités de traitement effectuées pour le compte du responsable de traitement comprenant :</w:t>
      </w:r>
    </w:p>
    <w:p w14:paraId="2667C2CF" w14:textId="77777777" w:rsidR="00DB6A0B" w:rsidRDefault="00000000">
      <w:pPr>
        <w:pStyle w:val="Paragraphedeliste"/>
        <w:numPr>
          <w:ilvl w:val="0"/>
          <w:numId w:val="6"/>
        </w:numPr>
        <w:jc w:val="both"/>
      </w:pPr>
      <w:r>
        <w:t>le nom et les coordonnées du responsable de traitement pour le compte duquel il agit, des éventuels sous-traitants et, le cas échéant, du délégué à la protection des données;</w:t>
      </w:r>
    </w:p>
    <w:p w14:paraId="75A947F4" w14:textId="77777777" w:rsidR="00DB6A0B" w:rsidRDefault="00000000">
      <w:pPr>
        <w:pStyle w:val="Paragraphedeliste"/>
        <w:numPr>
          <w:ilvl w:val="0"/>
          <w:numId w:val="6"/>
        </w:numPr>
        <w:jc w:val="both"/>
      </w:pPr>
      <w:r>
        <w:t>les catégories de traitements effectués pour le compte du responsable du traitement;</w:t>
      </w:r>
    </w:p>
    <w:p w14:paraId="7A3A43CA" w14:textId="77777777" w:rsidR="00DB6A0B" w:rsidRDefault="00000000">
      <w:pPr>
        <w:pStyle w:val="Paragraphedeliste"/>
        <w:numPr>
          <w:ilvl w:val="0"/>
          <w:numId w:val="6"/>
        </w:numPr>
        <w:jc w:val="both"/>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84788CE" w14:textId="77777777" w:rsidR="00DB6A0B" w:rsidRDefault="00000000">
      <w:pPr>
        <w:pStyle w:val="Paragraphedeliste"/>
        <w:numPr>
          <w:ilvl w:val="0"/>
          <w:numId w:val="6"/>
        </w:numPr>
        <w:jc w:val="both"/>
      </w:pPr>
      <w:r>
        <w:t>dans la mesure du possible, une description générale des mesures de sécurité techniques et organisationnelles, y compris entre autres, selon les besoins :</w:t>
      </w:r>
    </w:p>
    <w:p w14:paraId="5B581A61" w14:textId="77777777" w:rsidR="00DB6A0B" w:rsidRDefault="00000000">
      <w:pPr>
        <w:ind w:left="1134"/>
        <w:jc w:val="both"/>
      </w:pPr>
      <w:r>
        <w:t>-   la pseudonymisation et le chiffrement des données à caractère personnel;</w:t>
      </w:r>
    </w:p>
    <w:p w14:paraId="5DF8E962" w14:textId="77777777" w:rsidR="00DB6A0B" w:rsidRDefault="00000000">
      <w:pPr>
        <w:ind w:left="1134"/>
        <w:jc w:val="both"/>
      </w:pPr>
      <w:r>
        <w:t>-  des moyens permettant de garantir la confidentialité, l'intégrité, la disponibilité et la résilience constantes des systèmes et des services de traitement;</w:t>
      </w:r>
    </w:p>
    <w:p w14:paraId="311E2EE4" w14:textId="77777777" w:rsidR="00DB6A0B" w:rsidRDefault="00000000">
      <w:pPr>
        <w:ind w:left="1134"/>
        <w:jc w:val="both"/>
      </w:pPr>
      <w:r>
        <w:lastRenderedPageBreak/>
        <w:t>-   des moyens permettant de rétablir la disponibilité des données à caractère personnel et l'accès à celles-ci dans des délais appropriés en cas d'incident physique ou technique;</w:t>
      </w:r>
    </w:p>
    <w:p w14:paraId="6DF9B5F2" w14:textId="77777777" w:rsidR="00DB6A0B" w:rsidRDefault="00000000">
      <w:pPr>
        <w:ind w:left="1134"/>
        <w:jc w:val="both"/>
      </w:pPr>
      <w:r>
        <w:t>-  une procédure visant à tester, à analyser et à évaluer régulièrement l'efficacité des mesures techniques et organisationnelles pour assurer la sécurité du traitement.</w:t>
      </w:r>
    </w:p>
    <w:p w14:paraId="1FC5EBF1" w14:textId="77777777" w:rsidR="00DB6A0B" w:rsidRDefault="00DB6A0B">
      <w:pPr>
        <w:ind w:left="1134"/>
        <w:jc w:val="both"/>
      </w:pPr>
    </w:p>
    <w:p w14:paraId="06F94D1A" w14:textId="77777777" w:rsidR="00DB6A0B" w:rsidRDefault="00000000">
      <w:pPr>
        <w:jc w:val="both"/>
        <w:rPr>
          <w:b/>
        </w:rPr>
      </w:pPr>
      <w:r>
        <w:rPr>
          <w:b/>
        </w:rPr>
        <w:t>15. Documentation</w:t>
      </w:r>
    </w:p>
    <w:p w14:paraId="250F9C0A" w14:textId="77777777" w:rsidR="00DB6A0B" w:rsidRDefault="00000000">
      <w:pPr>
        <w:jc w:val="both"/>
      </w:pPr>
      <w: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62E1EAF2" w14:textId="77777777" w:rsidR="00DB6A0B" w:rsidRDefault="00DB6A0B">
      <w:pPr>
        <w:jc w:val="both"/>
      </w:pPr>
    </w:p>
    <w:p w14:paraId="0FFF326A" w14:textId="77777777" w:rsidR="00DB6A0B" w:rsidRDefault="00000000">
      <w:pPr>
        <w:jc w:val="both"/>
        <w:rPr>
          <w:b/>
        </w:rPr>
      </w:pPr>
      <w:r>
        <w:rPr>
          <w:b/>
        </w:rPr>
        <w:t>V.  Obligations du responsable de traitement vis-à-vis du sous-traitant</w:t>
      </w:r>
    </w:p>
    <w:p w14:paraId="4C3DC095" w14:textId="77777777" w:rsidR="00DB6A0B" w:rsidRDefault="00000000">
      <w:pPr>
        <w:jc w:val="both"/>
      </w:pPr>
      <w:r>
        <w:t>Le responsable de traitement s’engage à :</w:t>
      </w:r>
    </w:p>
    <w:p w14:paraId="7811F72E" w14:textId="77777777" w:rsidR="00DB6A0B" w:rsidRDefault="00000000">
      <w:pPr>
        <w:spacing w:after="0"/>
        <w:jc w:val="both"/>
      </w:pPr>
      <w:r>
        <w:t>1.  fournir au sous-traitant les données visées au II des présentes clauses</w:t>
      </w:r>
    </w:p>
    <w:p w14:paraId="6444A4DB" w14:textId="77777777" w:rsidR="00DB6A0B" w:rsidRDefault="00000000">
      <w:pPr>
        <w:spacing w:after="0"/>
        <w:jc w:val="both"/>
      </w:pPr>
      <w:r>
        <w:t>2.  documenter par écrit toute instruction concernant le traitement des données par le sous- traitant</w:t>
      </w:r>
    </w:p>
    <w:p w14:paraId="38755D38" w14:textId="77777777" w:rsidR="00DB6A0B" w:rsidRDefault="00000000">
      <w:pPr>
        <w:tabs>
          <w:tab w:val="left" w:pos="284"/>
        </w:tabs>
        <w:spacing w:after="0"/>
        <w:jc w:val="both"/>
      </w:pPr>
      <w:r>
        <w:t xml:space="preserve">3.  veiller, au préalable et pendant toute la durée du traitement, au respect des obligations prévues  </w:t>
      </w:r>
      <w:r>
        <w:tab/>
        <w:t>par le règlement européen sur la protection des données de la part du sous-traitant</w:t>
      </w:r>
    </w:p>
    <w:p w14:paraId="09860A42" w14:textId="77777777" w:rsidR="00DB6A0B" w:rsidRDefault="00000000">
      <w:pPr>
        <w:spacing w:after="0"/>
        <w:jc w:val="both"/>
      </w:pPr>
      <w:r>
        <w:t>4.  superviser le traitement, y compris réaliser les audits et les inspections auprès du sous-traitant</w:t>
      </w:r>
    </w:p>
    <w:p w14:paraId="76444271" w14:textId="77777777" w:rsidR="00DB6A0B" w:rsidRDefault="00DB6A0B">
      <w:pPr>
        <w:jc w:val="both"/>
      </w:pPr>
    </w:p>
    <w:p w14:paraId="33B5D94B" w14:textId="77777777" w:rsidR="00DB6A0B" w:rsidRDefault="00000000">
      <w:pPr>
        <w:spacing w:after="0"/>
        <w:jc w:val="both"/>
      </w:pPr>
      <w:r>
        <w:rPr>
          <w:b/>
          <w:bCs/>
        </w:rPr>
        <w:t>Le responsable du traitement (DRAC GRAND EST)</w:t>
      </w:r>
      <w:r>
        <w:rPr>
          <w:b/>
          <w:bCs/>
        </w:rPr>
        <w:tab/>
      </w:r>
      <w:r>
        <w:rPr>
          <w:b/>
          <w:bCs/>
        </w:rPr>
        <w:tab/>
      </w:r>
      <w:r>
        <w:rPr>
          <w:b/>
          <w:bCs/>
        </w:rPr>
        <w:tab/>
        <w:t>Le sous-traitant (Titulaire)</w:t>
      </w:r>
    </w:p>
    <w:p w14:paraId="625DEFFB" w14:textId="77777777" w:rsidR="00DB6A0B" w:rsidRDefault="00000000">
      <w:pPr>
        <w:spacing w:after="0"/>
        <w:jc w:val="both"/>
      </w:pPr>
      <w:r>
        <w:t xml:space="preserve">Lu et approuvé </w:t>
      </w:r>
      <w:r>
        <w:tab/>
      </w:r>
      <w:r>
        <w:tab/>
      </w:r>
      <w:r>
        <w:tab/>
      </w:r>
      <w:r>
        <w:tab/>
      </w:r>
      <w:r>
        <w:tab/>
      </w:r>
      <w:r>
        <w:tab/>
      </w:r>
      <w:r>
        <w:tab/>
      </w:r>
      <w:r>
        <w:tab/>
        <w:t xml:space="preserve">Lu et approuvé </w:t>
      </w:r>
      <w:r>
        <w:tab/>
      </w:r>
    </w:p>
    <w:p w14:paraId="48CC52F0" w14:textId="77777777" w:rsidR="00DB6A0B" w:rsidRDefault="00000000">
      <w:pPr>
        <w:spacing w:after="0"/>
        <w:jc w:val="both"/>
      </w:pPr>
      <w:r>
        <w:t>A</w:t>
      </w:r>
      <w:r>
        <w:tab/>
      </w:r>
      <w:r>
        <w:tab/>
      </w:r>
      <w:r>
        <w:tab/>
      </w:r>
      <w:r>
        <w:tab/>
      </w:r>
      <w:r>
        <w:tab/>
      </w:r>
      <w:r>
        <w:tab/>
      </w:r>
      <w:r>
        <w:tab/>
      </w:r>
      <w:r>
        <w:tab/>
      </w:r>
      <w:r>
        <w:tab/>
        <w:t>A</w:t>
      </w:r>
    </w:p>
    <w:p w14:paraId="6196AA76" w14:textId="77777777" w:rsidR="00DB6A0B" w:rsidRDefault="00000000">
      <w:pPr>
        <w:spacing w:after="0"/>
        <w:jc w:val="both"/>
      </w:pPr>
      <w:r>
        <w:t xml:space="preserve">le </w:t>
      </w:r>
      <w:r>
        <w:tab/>
      </w:r>
      <w:r>
        <w:tab/>
      </w:r>
      <w:r>
        <w:tab/>
      </w:r>
      <w:r>
        <w:tab/>
      </w:r>
      <w:r>
        <w:tab/>
      </w:r>
      <w:r>
        <w:tab/>
      </w:r>
      <w:r>
        <w:tab/>
      </w:r>
      <w:r>
        <w:tab/>
      </w:r>
      <w:r>
        <w:tab/>
        <w:t xml:space="preserve">le </w:t>
      </w:r>
    </w:p>
    <w:p w14:paraId="6C165292" w14:textId="77777777" w:rsidR="00DB6A0B" w:rsidRDefault="00DB6A0B">
      <w:pPr>
        <w:spacing w:after="0"/>
        <w:jc w:val="both"/>
      </w:pPr>
    </w:p>
    <w:sectPr w:rsidR="00DB6A0B">
      <w:footerReference w:type="default" r:id="rId9"/>
      <w:pgSz w:w="11906" w:h="16838"/>
      <w:pgMar w:top="1095" w:right="1417" w:bottom="1835" w:left="1417" w:header="0" w:footer="1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A1658" w14:textId="77777777" w:rsidR="00726632" w:rsidRDefault="00726632">
      <w:pPr>
        <w:spacing w:after="0" w:line="240" w:lineRule="auto"/>
      </w:pPr>
      <w:r>
        <w:separator/>
      </w:r>
    </w:p>
  </w:endnote>
  <w:endnote w:type="continuationSeparator" w:id="0">
    <w:p w14:paraId="0C2697D8" w14:textId="77777777" w:rsidR="00726632" w:rsidRDefault="0072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D1E6" w14:textId="36E97459" w:rsidR="00DB6A0B" w:rsidRDefault="00107B09">
    <w:pPr>
      <w:pStyle w:val="Pieddepage"/>
      <w:jc w:val="right"/>
    </w:pPr>
    <w:r>
      <w:rPr>
        <w:noProof/>
      </w:rPr>
      <mc:AlternateContent>
        <mc:Choice Requires="wps">
          <w:drawing>
            <wp:anchor distT="0" distB="0" distL="114300" distR="114300" simplePos="0" relativeHeight="251659264" behindDoc="0" locked="0" layoutInCell="0" allowOverlap="1" wp14:anchorId="35214DA7" wp14:editId="65468727">
              <wp:simplePos x="0" y="0"/>
              <wp:positionH relativeFrom="page">
                <wp:posOffset>0</wp:posOffset>
              </wp:positionH>
              <wp:positionV relativeFrom="page">
                <wp:posOffset>10227945</wp:posOffset>
              </wp:positionV>
              <wp:extent cx="7560310" cy="273050"/>
              <wp:effectExtent l="0" t="0" r="0" b="12700"/>
              <wp:wrapNone/>
              <wp:docPr id="1721075657" name="MSIPCM84054bad82a92267ffdd99da" descr="{&quot;HashCode&quot;:-46873357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3E8984" w14:textId="10941F1C" w:rsidR="00107B09" w:rsidRPr="00107B09" w:rsidRDefault="00107B09" w:rsidP="00107B09">
                          <w:pPr>
                            <w:spacing w:after="0"/>
                            <w:jc w:val="center"/>
                            <w:rPr>
                              <w:rFonts w:ascii="Calibri" w:hAnsi="Calibri" w:cs="Calibri"/>
                              <w:color w:val="008000"/>
                              <w:sz w:val="24"/>
                            </w:rPr>
                          </w:pPr>
                          <w:r w:rsidRPr="00107B09">
                            <w:rPr>
                              <w:rFonts w:ascii="Calibri" w:hAnsi="Calibri" w:cs="Calibri"/>
                              <w:color w:val="008000"/>
                              <w:sz w:val="24"/>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5214DA7" id="_x0000_t202" coordsize="21600,21600" o:spt="202" path="m,l,21600r21600,l21600,xe">
              <v:stroke joinstyle="miter"/>
              <v:path gradientshapeok="t" o:connecttype="rect"/>
            </v:shapetype>
            <v:shape id="MSIPCM84054bad82a92267ffdd99da" o:spid="_x0000_s1026" type="#_x0000_t202" alt="{&quot;HashCode&quot;:-468733573,&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fill o:detectmouseclick="t"/>
              <v:textbox inset=",0,,0">
                <w:txbxContent>
                  <w:p w14:paraId="643E8984" w14:textId="10941F1C" w:rsidR="00107B09" w:rsidRPr="00107B09" w:rsidRDefault="00107B09" w:rsidP="00107B09">
                    <w:pPr>
                      <w:spacing w:after="0"/>
                      <w:jc w:val="center"/>
                      <w:rPr>
                        <w:rFonts w:ascii="Calibri" w:hAnsi="Calibri" w:cs="Calibri"/>
                        <w:color w:val="008000"/>
                        <w:sz w:val="24"/>
                      </w:rPr>
                    </w:pPr>
                    <w:r w:rsidRPr="00107B09">
                      <w:rPr>
                        <w:rFonts w:ascii="Calibri" w:hAnsi="Calibri" w:cs="Calibri"/>
                        <w:color w:val="008000"/>
                        <w:sz w:val="24"/>
                      </w:rPr>
                      <w:t>C1 Données Internes</w:t>
                    </w:r>
                  </w:p>
                </w:txbxContent>
              </v:textbox>
              <w10:wrap anchorx="page" anchory="page"/>
            </v:shape>
          </w:pict>
        </mc:Fallback>
      </mc:AlternateContent>
    </w:r>
    <w:r w:rsidR="00000000">
      <w:fldChar w:fldCharType="begin"/>
    </w:r>
    <w:r w:rsidR="00000000">
      <w:instrText>PAGE</w:instrText>
    </w:r>
    <w:r w:rsidR="00000000">
      <w:fldChar w:fldCharType="separate"/>
    </w:r>
    <w:r w:rsidR="00000000">
      <w:t>7</w:t>
    </w:r>
    <w:r w:rsidR="00000000">
      <w:fldChar w:fldCharType="end"/>
    </w:r>
    <w:r w:rsidR="00000000">
      <w:t> /</w:t>
    </w:r>
    <w:r w:rsidR="00000000">
      <w:fldChar w:fldCharType="begin"/>
    </w:r>
    <w:r w:rsidR="00000000">
      <w:instrText>NUMPAGES</w:instrText>
    </w:r>
    <w:r w:rsidR="00000000">
      <w:fldChar w:fldCharType="separate"/>
    </w:r>
    <w:r w:rsidR="00000000">
      <w:t>7</w:t>
    </w:r>
    <w:r w:rsidR="0000000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7B974" w14:textId="77777777" w:rsidR="00726632" w:rsidRDefault="00726632">
      <w:pPr>
        <w:spacing w:after="0" w:line="240" w:lineRule="auto"/>
      </w:pPr>
      <w:r>
        <w:separator/>
      </w:r>
    </w:p>
  </w:footnote>
  <w:footnote w:type="continuationSeparator" w:id="0">
    <w:p w14:paraId="1C41D76A" w14:textId="77777777" w:rsidR="00726632" w:rsidRDefault="007266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77FD"/>
    <w:multiLevelType w:val="multilevel"/>
    <w:tmpl w:val="D79AB9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87B5C31"/>
    <w:multiLevelType w:val="multilevel"/>
    <w:tmpl w:val="2BE8C6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F531C7"/>
    <w:multiLevelType w:val="multilevel"/>
    <w:tmpl w:val="A63026E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0544A78"/>
    <w:multiLevelType w:val="multilevel"/>
    <w:tmpl w:val="643A7E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9EA4980"/>
    <w:multiLevelType w:val="multilevel"/>
    <w:tmpl w:val="D1FC46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7DE074A"/>
    <w:multiLevelType w:val="multilevel"/>
    <w:tmpl w:val="8BCC84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8222058"/>
    <w:multiLevelType w:val="multilevel"/>
    <w:tmpl w:val="F232F3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690F2C9B"/>
    <w:multiLevelType w:val="multilevel"/>
    <w:tmpl w:val="DFF089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717654502">
    <w:abstractNumId w:val="1"/>
  </w:num>
  <w:num w:numId="2" w16cid:durableId="631835790">
    <w:abstractNumId w:val="6"/>
  </w:num>
  <w:num w:numId="3" w16cid:durableId="709040407">
    <w:abstractNumId w:val="3"/>
  </w:num>
  <w:num w:numId="4" w16cid:durableId="167063172">
    <w:abstractNumId w:val="7"/>
  </w:num>
  <w:num w:numId="5" w16cid:durableId="484785790">
    <w:abstractNumId w:val="5"/>
  </w:num>
  <w:num w:numId="6" w16cid:durableId="46927096">
    <w:abstractNumId w:val="0"/>
  </w:num>
  <w:num w:numId="7" w16cid:durableId="1277715071">
    <w:abstractNumId w:val="4"/>
  </w:num>
  <w:num w:numId="8" w16cid:durableId="857960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A0B"/>
    <w:rsid w:val="00107B09"/>
    <w:rsid w:val="00726632"/>
    <w:rsid w:val="00BA5B8A"/>
    <w:rsid w:val="00DB6A0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68680"/>
  <w15:docId w15:val="{6FDDF8B7-CF7D-4D7B-A728-86E0BCD4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semiHidden/>
    <w:qFormat/>
    <w:rsid w:val="00094312"/>
  </w:style>
  <w:style w:type="character" w:customStyle="1" w:styleId="TextedebullesCar">
    <w:name w:val="Texte de bulles Car"/>
    <w:basedOn w:val="Policepardfaut"/>
    <w:link w:val="Textedebulles"/>
    <w:uiPriority w:val="99"/>
    <w:semiHidden/>
    <w:qFormat/>
    <w:rsid w:val="00304E76"/>
    <w:rPr>
      <w:rFonts w:ascii="Segoe UI" w:hAnsi="Segoe UI" w:cs="Segoe UI"/>
      <w:sz w:val="18"/>
      <w:szCs w:val="18"/>
    </w:rPr>
  </w:style>
  <w:style w:type="character" w:styleId="Marquedecommentaire">
    <w:name w:val="annotation reference"/>
    <w:basedOn w:val="Policepardfaut"/>
    <w:uiPriority w:val="99"/>
    <w:semiHidden/>
    <w:unhideWhenUsed/>
    <w:qFormat/>
    <w:rsid w:val="00B512F9"/>
    <w:rPr>
      <w:sz w:val="16"/>
      <w:szCs w:val="16"/>
    </w:rPr>
  </w:style>
  <w:style w:type="character" w:customStyle="1" w:styleId="CommentaireCar">
    <w:name w:val="Commentaire Car"/>
    <w:basedOn w:val="Policepardfaut"/>
    <w:link w:val="Commentaire"/>
    <w:uiPriority w:val="99"/>
    <w:semiHidden/>
    <w:qFormat/>
    <w:rsid w:val="00B512F9"/>
    <w:rPr>
      <w:sz w:val="20"/>
      <w:szCs w:val="20"/>
    </w:rPr>
  </w:style>
  <w:style w:type="character" w:customStyle="1" w:styleId="ObjetducommentaireCar">
    <w:name w:val="Objet du commentaire Car"/>
    <w:basedOn w:val="CommentaireCar"/>
    <w:link w:val="Objetducommentaire"/>
    <w:uiPriority w:val="99"/>
    <w:semiHidden/>
    <w:qFormat/>
    <w:rsid w:val="00B512F9"/>
    <w:rPr>
      <w:b/>
      <w:bCs/>
      <w:sz w:val="20"/>
      <w:szCs w:val="20"/>
    </w:rPr>
  </w:style>
  <w:style w:type="character" w:customStyle="1" w:styleId="LienInternet">
    <w:name w:val="Lien Internet"/>
    <w:basedOn w:val="Policepardfaut"/>
    <w:uiPriority w:val="99"/>
    <w:unhideWhenUsed/>
    <w:rsid w:val="00871850"/>
    <w:rPr>
      <w:color w:val="0563C1" w:themeColor="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Symbol"/>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Symbol"/>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cs="Symbol"/>
    </w:rPr>
  </w:style>
  <w:style w:type="character" w:customStyle="1" w:styleId="ListLabel177">
    <w:name w:val="ListLabel 177"/>
    <w:qFormat/>
    <w:rPr>
      <w:rFonts w:cs="Courier New"/>
    </w:rPr>
  </w:style>
  <w:style w:type="character" w:customStyle="1" w:styleId="ListLabel178">
    <w:name w:val="ListLabel 178"/>
    <w:qFormat/>
    <w:rPr>
      <w:rFonts w:cs="Wingdings"/>
    </w:rPr>
  </w:style>
  <w:style w:type="character" w:customStyle="1" w:styleId="ListLabel179">
    <w:name w:val="ListLabel 179"/>
    <w:qFormat/>
    <w:rPr>
      <w:rFonts w:cs="Symbol"/>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cs="Symbol"/>
    </w:rPr>
  </w:style>
  <w:style w:type="character" w:customStyle="1" w:styleId="ListLabel186">
    <w:name w:val="ListLabel 186"/>
    <w:qFormat/>
    <w:rPr>
      <w:rFonts w:cs="Courier New"/>
    </w:rPr>
  </w:style>
  <w:style w:type="character" w:customStyle="1" w:styleId="ListLabel187">
    <w:name w:val="ListLabel 187"/>
    <w:qFormat/>
    <w:rPr>
      <w:rFonts w:cs="Wingdings"/>
    </w:rPr>
  </w:style>
  <w:style w:type="character" w:customStyle="1" w:styleId="ListLabel188">
    <w:name w:val="ListLabel 188"/>
    <w:qFormat/>
    <w:rPr>
      <w:rFonts w:cs="Symbol"/>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cs="Symbol"/>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cs="Symbol"/>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Symbol"/>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eastAsiaTheme="minorHAnsi" w:cstheme="minorBidi"/>
      <w:color w:val="auto"/>
      <w:u w:val="none"/>
    </w:rPr>
  </w:style>
  <w:style w:type="character" w:customStyle="1" w:styleId="ListLabel279">
    <w:name w:val="ListLabel 279"/>
    <w:qFormat/>
    <w:rPr>
      <w:rFonts w:eastAsiaTheme="minorHAnsi" w:cstheme="minorBidi"/>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Paragraphedeliste">
    <w:name w:val="List Paragraph"/>
    <w:basedOn w:val="Normal"/>
    <w:uiPriority w:val="34"/>
    <w:qFormat/>
    <w:rsid w:val="004112B8"/>
    <w:pPr>
      <w:ind w:left="720"/>
      <w:contextualSpacing/>
    </w:pPr>
  </w:style>
  <w:style w:type="paragraph" w:styleId="En-tte">
    <w:name w:val="header"/>
    <w:basedOn w:val="Normal"/>
    <w:uiPriority w:val="99"/>
    <w:unhideWhenUsed/>
    <w:rsid w:val="00094312"/>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304E76"/>
    <w:pPr>
      <w:spacing w:after="0" w:line="240" w:lineRule="auto"/>
    </w:pPr>
    <w:rPr>
      <w:rFonts w:ascii="Segoe UI" w:hAnsi="Segoe UI" w:cs="Segoe UI"/>
      <w:sz w:val="18"/>
      <w:szCs w:val="18"/>
    </w:rPr>
  </w:style>
  <w:style w:type="paragraph" w:styleId="Commentaire">
    <w:name w:val="annotation text"/>
    <w:basedOn w:val="Normal"/>
    <w:link w:val="CommentaireCar"/>
    <w:uiPriority w:val="99"/>
    <w:semiHidden/>
    <w:unhideWhenUsed/>
    <w:qFormat/>
    <w:rsid w:val="00B512F9"/>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B512F9"/>
    <w:rPr>
      <w:b/>
      <w:bCs/>
    </w:rPr>
  </w:style>
  <w:style w:type="paragraph" w:styleId="Pieddepage">
    <w:name w:val="footer"/>
    <w:basedOn w:val="Normal"/>
    <w:pPr>
      <w:suppressLineNumbers/>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lice.fey@culture.gouv.fr" TargetMode="External"/><Relationship Id="rId3" Type="http://schemas.openxmlformats.org/officeDocument/2006/relationships/settings" Target="settings.xml"/><Relationship Id="rId7" Type="http://schemas.openxmlformats.org/officeDocument/2006/relationships/hyperlink" Target="mailto:alice.fey@culture.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2556</Words>
  <Characters>14062</Characters>
  <Application>Microsoft Office Word</Application>
  <DocSecurity>0</DocSecurity>
  <Lines>117</Lines>
  <Paragraphs>33</Paragraphs>
  <ScaleCrop>false</ScaleCrop>
  <Company>Ministère de la Culture</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MBENGUE Mactar</cp:lastModifiedBy>
  <cp:revision>3</cp:revision>
  <dcterms:created xsi:type="dcterms:W3CDTF">2024-01-24T11:45:00Z</dcterms:created>
  <dcterms:modified xsi:type="dcterms:W3CDTF">2024-12-20T14:07:00Z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 la Culture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37f782e2-1048-4ae6-8561-ea50d7047004_Enabled">
    <vt:lpwstr>true</vt:lpwstr>
  </property>
  <property fmtid="{D5CDD505-2E9C-101B-9397-08002B2CF9AE}" pid="10" name="MSIP_Label_37f782e2-1048-4ae6-8561-ea50d7047004_SetDate">
    <vt:lpwstr>2024-12-20T14:07:55Z</vt:lpwstr>
  </property>
  <property fmtid="{D5CDD505-2E9C-101B-9397-08002B2CF9AE}" pid="11" name="MSIP_Label_37f782e2-1048-4ae6-8561-ea50d7047004_Method">
    <vt:lpwstr>Standard</vt:lpwstr>
  </property>
  <property fmtid="{D5CDD505-2E9C-101B-9397-08002B2CF9AE}" pid="12" name="MSIP_Label_37f782e2-1048-4ae6-8561-ea50d7047004_Name">
    <vt:lpwstr>Donnée Interne</vt:lpwstr>
  </property>
  <property fmtid="{D5CDD505-2E9C-101B-9397-08002B2CF9AE}" pid="13" name="MSIP_Label_37f782e2-1048-4ae6-8561-ea50d7047004_SiteId">
    <vt:lpwstr>5d0b42b2-7ba0-42b9-bd88-2dd1558bd190</vt:lpwstr>
  </property>
  <property fmtid="{D5CDD505-2E9C-101B-9397-08002B2CF9AE}" pid="14" name="MSIP_Label_37f782e2-1048-4ae6-8561-ea50d7047004_ActionId">
    <vt:lpwstr>634feb99-b8c5-4cd9-a73f-45ef4dc69465</vt:lpwstr>
  </property>
  <property fmtid="{D5CDD505-2E9C-101B-9397-08002B2CF9AE}" pid="15" name="MSIP_Label_37f782e2-1048-4ae6-8561-ea50d7047004_ContentBits">
    <vt:lpwstr>2</vt:lpwstr>
  </property>
</Properties>
</file>