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BF4B" w14:textId="77777777" w:rsidR="00AC56EA" w:rsidRDefault="00AC56EA">
      <w:pPr>
        <w:rPr>
          <w:sz w:val="24"/>
          <w:u w:val="single"/>
        </w:rPr>
      </w:pPr>
    </w:p>
    <w:p w14:paraId="7AA3F454" w14:textId="390C0D6A" w:rsidR="00695B03" w:rsidRDefault="00172DCD" w:rsidP="0077256D">
      <w:pPr>
        <w:jc w:val="center"/>
        <w:rPr>
          <w:b/>
          <w:color w:val="FF0000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29ECA4B8" w14:textId="2AA28D1B" w:rsidR="00BD292C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47FD0211" w14:textId="77777777" w:rsidR="00E217A5" w:rsidRPr="00694922" w:rsidRDefault="00E217A5" w:rsidP="00694922">
      <w:pPr>
        <w:jc w:val="both"/>
      </w:pPr>
    </w:p>
    <w:p w14:paraId="1C98A68D" w14:textId="7FDA8FD9" w:rsidR="00424A4C" w:rsidRPr="00926162" w:rsidRDefault="001418E2" w:rsidP="0092616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705" w:hanging="705"/>
        <w:rPr>
          <w:b/>
        </w:rPr>
      </w:pPr>
      <w:r>
        <w:rPr>
          <w:b/>
        </w:rPr>
        <w:t xml:space="preserve">1. Adéquation </w:t>
      </w:r>
      <w:r w:rsidR="007D331C">
        <w:rPr>
          <w:b/>
        </w:rPr>
        <w:t>de la méthodologie utilisée de la fabrication à la pose</w:t>
      </w:r>
    </w:p>
    <w:p w14:paraId="3BB6DA0C" w14:textId="67FCD0BD" w:rsidR="00424A4C" w:rsidRDefault="006E66A7" w:rsidP="00424A4C">
      <w:pPr>
        <w:jc w:val="both"/>
      </w:pPr>
      <w:r>
        <w:t>Le candidat détaille</w:t>
      </w:r>
      <w:r w:rsidR="00C95652">
        <w:t xml:space="preserve"> la méthodologie mise en œuvre</w:t>
      </w:r>
      <w:r w:rsidR="00424A4C">
        <w:t xml:space="preserve"> pour</w:t>
      </w:r>
      <w:r w:rsidR="00BD292C">
        <w:t xml:space="preserve"> l'ensemble du processus, de</w:t>
      </w:r>
      <w:r w:rsidR="00424A4C">
        <w:t xml:space="preserve"> la fabrication des éléments de signalétique jusqu'à leur pose sur site. Cela </w:t>
      </w:r>
      <w:r w:rsidR="008C592C">
        <w:t>inclut</w:t>
      </w:r>
      <w:r w:rsidR="00424A4C">
        <w:t xml:space="preserve"> :</w:t>
      </w:r>
    </w:p>
    <w:p w14:paraId="048CB9FB" w14:textId="77777777" w:rsidR="00683C54" w:rsidRDefault="00677268" w:rsidP="00926162">
      <w:pPr>
        <w:pStyle w:val="Paragraphedeliste"/>
        <w:numPr>
          <w:ilvl w:val="0"/>
          <w:numId w:val="26"/>
        </w:numPr>
        <w:jc w:val="both"/>
      </w:pPr>
      <w:r>
        <w:t>Une d</w:t>
      </w:r>
      <w:r w:rsidR="00424A4C">
        <w:t>escription des étapes c</w:t>
      </w:r>
      <w:r w:rsidR="00995DE2">
        <w:t>lés du processus de fabrication</w:t>
      </w:r>
    </w:p>
    <w:p w14:paraId="431F61ED" w14:textId="31CD3D99" w:rsidR="00683C54" w:rsidRDefault="00677268" w:rsidP="00926162">
      <w:pPr>
        <w:pStyle w:val="Paragraphedeliste"/>
        <w:numPr>
          <w:ilvl w:val="0"/>
          <w:numId w:val="26"/>
        </w:numPr>
        <w:jc w:val="both"/>
      </w:pPr>
      <w:r>
        <w:t>Une présentation de la gestion des délais</w:t>
      </w:r>
    </w:p>
    <w:p w14:paraId="29C0D9DF" w14:textId="5CF58D31" w:rsidR="00683C54" w:rsidRDefault="00683C54" w:rsidP="00683C54">
      <w:pPr>
        <w:pStyle w:val="Paragraphedeliste"/>
        <w:numPr>
          <w:ilvl w:val="0"/>
          <w:numId w:val="26"/>
        </w:numPr>
        <w:jc w:val="both"/>
      </w:pPr>
      <w:r>
        <w:t>Une description des méthodes de pose</w:t>
      </w:r>
    </w:p>
    <w:p w14:paraId="4D80B03A" w14:textId="1C1779D6" w:rsidR="00683C54" w:rsidRDefault="00683C54">
      <w:pPr>
        <w:jc w:val="both"/>
      </w:pPr>
    </w:p>
    <w:p w14:paraId="74CB76CC" w14:textId="7D5DA67A" w:rsidR="006E66A7" w:rsidRDefault="001418E2" w:rsidP="009261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rPr>
          <w:b/>
        </w:rPr>
        <w:t xml:space="preserve">2. </w:t>
      </w:r>
      <w:r w:rsidR="007D331C">
        <w:rPr>
          <w:b/>
        </w:rPr>
        <w:t>Adéquation de la méthodologie utilisée pour la conception</w:t>
      </w:r>
    </w:p>
    <w:p w14:paraId="7A3E9E21" w14:textId="6D26B370" w:rsidR="00CA4C40" w:rsidRDefault="006E66A7">
      <w:pPr>
        <w:jc w:val="both"/>
      </w:pPr>
      <w:r>
        <w:t xml:space="preserve">Le candidat </w:t>
      </w:r>
      <w:r w:rsidR="0066066D">
        <w:t>détaille</w:t>
      </w:r>
      <w:r>
        <w:t xml:space="preserve"> la méthodologie adoptée pour la conception des éléments de signalétique. </w:t>
      </w:r>
      <w:r w:rsidR="008C592C">
        <w:t>Le candidat apporte des précisions sur</w:t>
      </w:r>
      <w:r>
        <w:t xml:space="preserve"> :</w:t>
      </w:r>
    </w:p>
    <w:p w14:paraId="64E7C4DE" w14:textId="4058B1C9" w:rsidR="00CA4C40" w:rsidRDefault="008C592C" w:rsidP="00926162">
      <w:pPr>
        <w:pStyle w:val="Paragraphedeliste"/>
        <w:numPr>
          <w:ilvl w:val="0"/>
          <w:numId w:val="21"/>
        </w:numPr>
        <w:jc w:val="both"/>
      </w:pPr>
      <w:r>
        <w:t>Le d</w:t>
      </w:r>
      <w:r w:rsidR="006E66A7">
        <w:t>éroulement de la phase de conception</w:t>
      </w:r>
    </w:p>
    <w:p w14:paraId="000C50A6" w14:textId="269DCA07" w:rsidR="00CA4C40" w:rsidRDefault="008C592C" w:rsidP="00926162">
      <w:pPr>
        <w:pStyle w:val="Paragraphedeliste"/>
        <w:numPr>
          <w:ilvl w:val="0"/>
          <w:numId w:val="21"/>
        </w:numPr>
      </w:pPr>
      <w:r>
        <w:t>L</w:t>
      </w:r>
      <w:r w:rsidR="00683CEC">
        <w:t>es outils et méthodes utilisés</w:t>
      </w:r>
    </w:p>
    <w:p w14:paraId="7F229E3F" w14:textId="77777777" w:rsidR="00CA4C40" w:rsidRDefault="00CA4C40" w:rsidP="00926162"/>
    <w:p w14:paraId="6324DBA6" w14:textId="2D6B02F8" w:rsidR="00BD6B63" w:rsidRPr="00BD6B63" w:rsidRDefault="00C21A4C" w:rsidP="00BD6B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 xml:space="preserve">3. </w:t>
      </w:r>
      <w:r w:rsidR="007D331C">
        <w:rPr>
          <w:b/>
        </w:rPr>
        <w:t>Précision et pertinence de l’organisation mise en place pour répondre aux prestations du marché</w:t>
      </w:r>
    </w:p>
    <w:p w14:paraId="72B73198" w14:textId="39D4FDFA" w:rsidR="00CA4C40" w:rsidRDefault="009A075E" w:rsidP="00CA4C40">
      <w:pPr>
        <w:jc w:val="both"/>
      </w:pPr>
      <w:r>
        <w:t>Le candidat détaille</w:t>
      </w:r>
      <w:r w:rsidR="00F10780">
        <w:t xml:space="preserve"> l’organisation </w:t>
      </w:r>
      <w:r w:rsidR="00CA4C40">
        <w:t>mise en place pour assurer la bonne exécution des prestations. Cela inclut :</w:t>
      </w:r>
    </w:p>
    <w:p w14:paraId="3B2034B7" w14:textId="4537BE86" w:rsidR="00F10780" w:rsidRDefault="0066066D" w:rsidP="00926162">
      <w:pPr>
        <w:pStyle w:val="Paragraphedeliste"/>
        <w:numPr>
          <w:ilvl w:val="0"/>
          <w:numId w:val="24"/>
        </w:numPr>
        <w:jc w:val="both"/>
      </w:pPr>
      <w:r>
        <w:t>La désignation d’un i</w:t>
      </w:r>
      <w:r w:rsidR="00F10780">
        <w:t>nterlocuteur dédié</w:t>
      </w:r>
    </w:p>
    <w:p w14:paraId="1A09FC42" w14:textId="213B6A25" w:rsidR="00F10780" w:rsidRDefault="0066066D" w:rsidP="00926162">
      <w:pPr>
        <w:pStyle w:val="Paragraphedeliste"/>
        <w:numPr>
          <w:ilvl w:val="0"/>
          <w:numId w:val="24"/>
        </w:numPr>
        <w:jc w:val="both"/>
      </w:pPr>
      <w:r>
        <w:t>La description des m</w:t>
      </w:r>
      <w:r w:rsidR="00F10780">
        <w:t>oyens humains (compétences, expériences)</w:t>
      </w:r>
    </w:p>
    <w:p w14:paraId="3718FC41" w14:textId="2E251E95" w:rsidR="00F10780" w:rsidRDefault="0066066D" w:rsidP="00926162">
      <w:pPr>
        <w:pStyle w:val="Paragraphedeliste"/>
        <w:numPr>
          <w:ilvl w:val="0"/>
          <w:numId w:val="24"/>
        </w:numPr>
        <w:jc w:val="both"/>
      </w:pPr>
      <w:r>
        <w:t>La description des m</w:t>
      </w:r>
      <w:r w:rsidR="00F10780">
        <w:t>oyens matériels (quantité, capacité)</w:t>
      </w:r>
    </w:p>
    <w:p w14:paraId="6B486D05" w14:textId="0063B77A" w:rsidR="00F10780" w:rsidRDefault="0066066D" w:rsidP="00926162">
      <w:pPr>
        <w:pStyle w:val="Paragraphedeliste"/>
        <w:numPr>
          <w:ilvl w:val="0"/>
          <w:numId w:val="24"/>
        </w:numPr>
        <w:jc w:val="both"/>
      </w:pPr>
      <w:r>
        <w:t>Les précisions sur la g</w:t>
      </w:r>
      <w:r w:rsidR="00F10780">
        <w:t>estion administrative des demandes (traitement des demandes de devis et des commandes)</w:t>
      </w:r>
    </w:p>
    <w:p w14:paraId="0BFBD9F0" w14:textId="221F187D" w:rsidR="00F10780" w:rsidRDefault="00891263" w:rsidP="00926162">
      <w:pPr>
        <w:pStyle w:val="Paragraphedeliste"/>
        <w:numPr>
          <w:ilvl w:val="0"/>
          <w:numId w:val="24"/>
        </w:numPr>
        <w:jc w:val="both"/>
      </w:pPr>
      <w:r>
        <w:t>U</w:t>
      </w:r>
      <w:r w:rsidR="0066066D">
        <w:t>n d</w:t>
      </w:r>
      <w:r w:rsidR="00F10780">
        <w:t>élai de remise des devis suite à une visite sur site</w:t>
      </w:r>
    </w:p>
    <w:p w14:paraId="3D6E74FD" w14:textId="168FDEE4" w:rsidR="0071260C" w:rsidRDefault="00891263" w:rsidP="0071260C">
      <w:pPr>
        <w:pStyle w:val="Paragraphedeliste"/>
        <w:numPr>
          <w:ilvl w:val="0"/>
          <w:numId w:val="24"/>
        </w:numPr>
        <w:jc w:val="both"/>
      </w:pPr>
      <w:r>
        <w:t xml:space="preserve">Un </w:t>
      </w:r>
      <w:r w:rsidR="0066066D">
        <w:t>d</w:t>
      </w:r>
      <w:r w:rsidR="00F10780">
        <w:t>élai de fabrication et de pose ARC</w:t>
      </w:r>
    </w:p>
    <w:p w14:paraId="286697F0" w14:textId="0388F8C5" w:rsidR="00C853E8" w:rsidRDefault="00C853E8" w:rsidP="00C853E8">
      <w:pPr>
        <w:jc w:val="both"/>
      </w:pPr>
    </w:p>
    <w:p w14:paraId="38BC41E8" w14:textId="29393ECB" w:rsidR="00C853E8" w:rsidRDefault="00C853E8" w:rsidP="00C853E8">
      <w:pPr>
        <w:jc w:val="both"/>
      </w:pPr>
    </w:p>
    <w:p w14:paraId="142ABF99" w14:textId="47051FDB" w:rsidR="00C853E8" w:rsidRDefault="00C853E8" w:rsidP="00C853E8">
      <w:pPr>
        <w:jc w:val="both"/>
      </w:pPr>
    </w:p>
    <w:p w14:paraId="2AA3F525" w14:textId="77777777" w:rsidR="00C853E8" w:rsidRDefault="00C853E8" w:rsidP="00C853E8">
      <w:pPr>
        <w:jc w:val="both"/>
      </w:pPr>
    </w:p>
    <w:p w14:paraId="6F0EE952" w14:textId="55D60A12" w:rsidR="0071260C" w:rsidRPr="00BD6B63" w:rsidRDefault="008578C3" w:rsidP="0071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4. Qualité des mesures environnementales prises en lien avec l’objet des prestations du marché</w:t>
      </w:r>
    </w:p>
    <w:p w14:paraId="0FF9C765" w14:textId="77777777" w:rsidR="008578C3" w:rsidRDefault="008578C3" w:rsidP="008578C3">
      <w:pPr>
        <w:spacing w:after="0"/>
        <w:ind w:left="80" w:right="80"/>
        <w:rPr>
          <w:rFonts w:eastAsia="Arial" w:cs="Arial"/>
        </w:rPr>
      </w:pPr>
      <w:r>
        <w:rPr>
          <w:rFonts w:eastAsia="Arial" w:cs="Arial"/>
        </w:rPr>
        <w:t xml:space="preserve">Le candidat </w:t>
      </w:r>
      <w:r w:rsidRPr="00B844A5">
        <w:rPr>
          <w:rFonts w:eastAsia="Arial" w:cs="Arial"/>
          <w:b/>
        </w:rPr>
        <w:t>préciser</w:t>
      </w:r>
      <w:r>
        <w:rPr>
          <w:rFonts w:eastAsia="Arial" w:cs="Arial"/>
          <w:b/>
        </w:rPr>
        <w:t>a</w:t>
      </w:r>
      <w:r w:rsidRPr="00B844A5">
        <w:rPr>
          <w:rFonts w:eastAsia="Arial" w:cs="Arial"/>
          <w:b/>
        </w:rPr>
        <w:t xml:space="preserve"> les mesures enviro</w:t>
      </w:r>
      <w:r>
        <w:rPr>
          <w:rFonts w:eastAsia="Arial" w:cs="Arial"/>
          <w:b/>
        </w:rPr>
        <w:t xml:space="preserve">nnementales prises en lien pour l’exécution </w:t>
      </w:r>
      <w:r w:rsidRPr="00B844A5">
        <w:rPr>
          <w:rFonts w:eastAsia="Arial" w:cs="Arial"/>
          <w:b/>
        </w:rPr>
        <w:t>du marché</w:t>
      </w:r>
      <w:r>
        <w:rPr>
          <w:rFonts w:eastAsia="Arial" w:cs="Arial"/>
        </w:rPr>
        <w:t xml:space="preserve"> telles que :</w:t>
      </w:r>
    </w:p>
    <w:p w14:paraId="7C631553" w14:textId="77777777" w:rsidR="008578C3" w:rsidRPr="008578C3" w:rsidRDefault="008578C3" w:rsidP="008578C3">
      <w:pPr>
        <w:pStyle w:val="Paragraphedeliste"/>
        <w:numPr>
          <w:ilvl w:val="0"/>
          <w:numId w:val="27"/>
        </w:numPr>
        <w:spacing w:after="0"/>
        <w:ind w:right="80"/>
        <w:rPr>
          <w:rFonts w:eastAsia="Arial" w:cs="Arial"/>
        </w:rPr>
      </w:pPr>
      <w:r w:rsidRPr="008578C3">
        <w:rPr>
          <w:rFonts w:eastAsia="Arial" w:cs="Arial"/>
        </w:rPr>
        <w:t>Les actions en faveur du réemploi, de la réutilisation, du reconditionnement, de l’intégration de matières recyclées et du recyclage ;</w:t>
      </w:r>
    </w:p>
    <w:p w14:paraId="003614BB" w14:textId="6D041183" w:rsidR="008578C3" w:rsidRPr="008578C3" w:rsidRDefault="008578C3" w:rsidP="008578C3">
      <w:pPr>
        <w:pStyle w:val="Paragraphedeliste"/>
        <w:numPr>
          <w:ilvl w:val="0"/>
          <w:numId w:val="27"/>
        </w:numPr>
        <w:spacing w:after="0"/>
        <w:ind w:right="80"/>
        <w:rPr>
          <w:rFonts w:eastAsia="Arial" w:cs="Arial"/>
        </w:rPr>
      </w:pPr>
      <w:r w:rsidRPr="008578C3">
        <w:rPr>
          <w:rFonts w:eastAsia="Arial" w:cs="Arial"/>
        </w:rPr>
        <w:t>La composition des produits et notamment leur caractère écologique / polluant / toxique ;</w:t>
      </w:r>
    </w:p>
    <w:p w14:paraId="35C5FBE9" w14:textId="77777777" w:rsidR="008578C3" w:rsidRPr="008578C3" w:rsidRDefault="008578C3" w:rsidP="008578C3">
      <w:pPr>
        <w:pStyle w:val="Paragraphedeliste"/>
        <w:numPr>
          <w:ilvl w:val="0"/>
          <w:numId w:val="27"/>
        </w:numPr>
        <w:spacing w:after="0"/>
        <w:ind w:right="80"/>
        <w:rPr>
          <w:rFonts w:eastAsia="Arial" w:cs="Arial"/>
        </w:rPr>
      </w:pPr>
      <w:r w:rsidRPr="008578C3">
        <w:rPr>
          <w:rFonts w:eastAsia="Arial" w:cs="Arial"/>
        </w:rPr>
        <w:t>La prévention de la production des déchets et leur orientation vers des filières de valorisation ;</w:t>
      </w:r>
    </w:p>
    <w:p w14:paraId="6B27C073" w14:textId="34B7F333" w:rsidR="0071260C" w:rsidRPr="004A5F64" w:rsidRDefault="0071260C" w:rsidP="008578C3">
      <w:pPr>
        <w:jc w:val="both"/>
      </w:pPr>
      <w:bookmarkStart w:id="0" w:name="_GoBack"/>
      <w:bookmarkEnd w:id="0"/>
    </w:p>
    <w:sectPr w:rsidR="0071260C" w:rsidRPr="004A5F64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7335" w14:textId="77777777" w:rsidR="00E07722" w:rsidRDefault="00E07722" w:rsidP="00E4364B">
      <w:pPr>
        <w:spacing w:after="0" w:line="240" w:lineRule="auto"/>
      </w:pPr>
      <w:r>
        <w:separator/>
      </w:r>
    </w:p>
  </w:endnote>
  <w:endnote w:type="continuationSeparator" w:id="0">
    <w:p w14:paraId="0DF0F91B" w14:textId="77777777" w:rsidR="00E07722" w:rsidRDefault="00E07722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085F" w14:textId="77777777" w:rsidR="00E07722" w:rsidRDefault="00E07722" w:rsidP="00E4364B">
      <w:pPr>
        <w:spacing w:after="0" w:line="240" w:lineRule="auto"/>
      </w:pPr>
      <w:r>
        <w:separator/>
      </w:r>
    </w:p>
  </w:footnote>
  <w:footnote w:type="continuationSeparator" w:id="0">
    <w:p w14:paraId="46BC7A64" w14:textId="77777777" w:rsidR="00E07722" w:rsidRDefault="00E07722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3652CA20" w:rsidR="00360D6D" w:rsidRDefault="00360D6D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2120F09D" wp14:editId="7EC60840">
          <wp:simplePos x="0" y="0"/>
          <wp:positionH relativeFrom="margin">
            <wp:posOffset>0</wp:posOffset>
          </wp:positionH>
          <wp:positionV relativeFrom="paragraph">
            <wp:posOffset>-318135</wp:posOffset>
          </wp:positionV>
          <wp:extent cx="5838190" cy="488950"/>
          <wp:effectExtent l="0" t="0" r="0" b="635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51EA" w14:textId="1AD65006" w:rsidR="00AC56EA" w:rsidRPr="00AC56EA" w:rsidRDefault="00AC56EA" w:rsidP="00AC56EA">
    <w:pPr>
      <w:pStyle w:val="En-tte"/>
      <w:jc w:val="center"/>
      <w:rPr>
        <w:b/>
      </w:rPr>
    </w:pPr>
    <w:r w:rsidRPr="00AC56EA">
      <w:rPr>
        <w:b/>
      </w:rPr>
      <w:t xml:space="preserve">Marché </w:t>
    </w:r>
    <w:r w:rsidR="003D7788">
      <w:rPr>
        <w:b/>
      </w:rPr>
      <w:t>n°</w:t>
    </w:r>
    <w:r w:rsidR="00625A53">
      <w:rPr>
        <w:b/>
      </w:rPr>
      <w:t>2</w:t>
    </w:r>
    <w:r w:rsidR="008D01EA">
      <w:rPr>
        <w:b/>
      </w:rPr>
      <w:t>4TE0</w:t>
    </w:r>
    <w:r w:rsidR="00C728FB">
      <w:rPr>
        <w:b/>
      </w:rPr>
      <w:t>182</w:t>
    </w:r>
  </w:p>
  <w:p w14:paraId="359B6732" w14:textId="0BA7AAAA" w:rsidR="00784FA2" w:rsidRPr="00E4364B" w:rsidRDefault="00C728FB" w:rsidP="00E0060D">
    <w:pPr>
      <w:pStyle w:val="En-tte"/>
      <w:jc w:val="center"/>
      <w:rPr>
        <w:b/>
      </w:rPr>
    </w:pPr>
    <w:r>
      <w:rPr>
        <w:b/>
      </w:rPr>
      <w:t>Fourniture</w:t>
    </w:r>
    <w:r w:rsidR="0077256D">
      <w:rPr>
        <w:b/>
      </w:rPr>
      <w:t xml:space="preserve"> et</w:t>
    </w:r>
    <w:r>
      <w:rPr>
        <w:b/>
      </w:rPr>
      <w:t xml:space="preserve"> pose de la signalétique intérieure du CHU Amiens Picardie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3B35"/>
    <w:multiLevelType w:val="hybridMultilevel"/>
    <w:tmpl w:val="0D7A50F4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E214FD"/>
    <w:multiLevelType w:val="hybridMultilevel"/>
    <w:tmpl w:val="DBBC41F6"/>
    <w:lvl w:ilvl="0" w:tplc="750E32B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405A"/>
    <w:multiLevelType w:val="hybridMultilevel"/>
    <w:tmpl w:val="1D42C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20A7"/>
    <w:multiLevelType w:val="hybridMultilevel"/>
    <w:tmpl w:val="C1FEA9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24774"/>
    <w:multiLevelType w:val="hybridMultilevel"/>
    <w:tmpl w:val="E5C42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9535C9"/>
    <w:multiLevelType w:val="hybridMultilevel"/>
    <w:tmpl w:val="403A5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6189A"/>
    <w:multiLevelType w:val="hybridMultilevel"/>
    <w:tmpl w:val="FD3A4F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931AB"/>
    <w:multiLevelType w:val="hybridMultilevel"/>
    <w:tmpl w:val="3EE8CB68"/>
    <w:lvl w:ilvl="0" w:tplc="C7CA36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B5E08"/>
    <w:multiLevelType w:val="hybridMultilevel"/>
    <w:tmpl w:val="24289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A78BB"/>
    <w:multiLevelType w:val="hybridMultilevel"/>
    <w:tmpl w:val="2A0A4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E3775"/>
    <w:multiLevelType w:val="hybridMultilevel"/>
    <w:tmpl w:val="5ED6A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B079E6"/>
    <w:multiLevelType w:val="hybridMultilevel"/>
    <w:tmpl w:val="4D5A0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D1BB5"/>
    <w:multiLevelType w:val="hybridMultilevel"/>
    <w:tmpl w:val="6EEE0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520ED"/>
    <w:multiLevelType w:val="hybridMultilevel"/>
    <w:tmpl w:val="DE503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95E424C"/>
    <w:multiLevelType w:val="hybridMultilevel"/>
    <w:tmpl w:val="22707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B6A74"/>
    <w:multiLevelType w:val="hybridMultilevel"/>
    <w:tmpl w:val="6F9895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270A2"/>
    <w:multiLevelType w:val="hybridMultilevel"/>
    <w:tmpl w:val="86F01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C56CF"/>
    <w:multiLevelType w:val="hybridMultilevel"/>
    <w:tmpl w:val="A184B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21"/>
  </w:num>
  <w:num w:numId="7">
    <w:abstractNumId w:val="10"/>
  </w:num>
  <w:num w:numId="8">
    <w:abstractNumId w:val="13"/>
  </w:num>
  <w:num w:numId="9">
    <w:abstractNumId w:val="12"/>
  </w:num>
  <w:num w:numId="10">
    <w:abstractNumId w:val="4"/>
  </w:num>
  <w:num w:numId="11">
    <w:abstractNumId w:val="14"/>
  </w:num>
  <w:num w:numId="12">
    <w:abstractNumId w:val="18"/>
  </w:num>
  <w:num w:numId="13">
    <w:abstractNumId w:val="7"/>
  </w:num>
  <w:num w:numId="14">
    <w:abstractNumId w:val="19"/>
  </w:num>
  <w:num w:numId="15">
    <w:abstractNumId w:val="22"/>
  </w:num>
  <w:num w:numId="16">
    <w:abstractNumId w:val="6"/>
  </w:num>
  <w:num w:numId="17">
    <w:abstractNumId w:val="9"/>
  </w:num>
  <w:num w:numId="18">
    <w:abstractNumId w:val="17"/>
  </w:num>
  <w:num w:numId="19">
    <w:abstractNumId w:val="23"/>
  </w:num>
  <w:num w:numId="20">
    <w:abstractNumId w:val="5"/>
  </w:num>
  <w:num w:numId="21">
    <w:abstractNumId w:val="16"/>
  </w:num>
  <w:num w:numId="22">
    <w:abstractNumId w:val="25"/>
  </w:num>
  <w:num w:numId="23">
    <w:abstractNumId w:val="11"/>
  </w:num>
  <w:num w:numId="24">
    <w:abstractNumId w:val="24"/>
  </w:num>
  <w:num w:numId="25">
    <w:abstractNumId w:val="15"/>
  </w:num>
  <w:num w:numId="26">
    <w:abstractNumId w:val="2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33197"/>
    <w:rsid w:val="001418E2"/>
    <w:rsid w:val="00143187"/>
    <w:rsid w:val="00172DCD"/>
    <w:rsid w:val="001C1AE1"/>
    <w:rsid w:val="00235B4D"/>
    <w:rsid w:val="00247DFF"/>
    <w:rsid w:val="002D61B8"/>
    <w:rsid w:val="002E1B38"/>
    <w:rsid w:val="002F61A5"/>
    <w:rsid w:val="00307C76"/>
    <w:rsid w:val="00315A68"/>
    <w:rsid w:val="00360D6D"/>
    <w:rsid w:val="003D7788"/>
    <w:rsid w:val="003E1BB8"/>
    <w:rsid w:val="00424A4C"/>
    <w:rsid w:val="00430402"/>
    <w:rsid w:val="00433FB3"/>
    <w:rsid w:val="00454FB5"/>
    <w:rsid w:val="004A5F64"/>
    <w:rsid w:val="004D1486"/>
    <w:rsid w:val="004E0154"/>
    <w:rsid w:val="00511B89"/>
    <w:rsid w:val="0052586F"/>
    <w:rsid w:val="005B3777"/>
    <w:rsid w:val="005C3AAF"/>
    <w:rsid w:val="00625A53"/>
    <w:rsid w:val="0066066D"/>
    <w:rsid w:val="0067634D"/>
    <w:rsid w:val="00677268"/>
    <w:rsid w:val="00683C54"/>
    <w:rsid w:val="00683CEC"/>
    <w:rsid w:val="00694922"/>
    <w:rsid w:val="00695B03"/>
    <w:rsid w:val="006A6EE8"/>
    <w:rsid w:val="006C3454"/>
    <w:rsid w:val="006E66A7"/>
    <w:rsid w:val="0071260C"/>
    <w:rsid w:val="00725A7B"/>
    <w:rsid w:val="0077256D"/>
    <w:rsid w:val="00784FA2"/>
    <w:rsid w:val="007D331C"/>
    <w:rsid w:val="00851245"/>
    <w:rsid w:val="00853C6F"/>
    <w:rsid w:val="008578C3"/>
    <w:rsid w:val="00864962"/>
    <w:rsid w:val="00891263"/>
    <w:rsid w:val="008B0812"/>
    <w:rsid w:val="008C3792"/>
    <w:rsid w:val="008C592C"/>
    <w:rsid w:val="008D01EA"/>
    <w:rsid w:val="008E6486"/>
    <w:rsid w:val="008F12FD"/>
    <w:rsid w:val="00926162"/>
    <w:rsid w:val="00926A98"/>
    <w:rsid w:val="00947567"/>
    <w:rsid w:val="00950675"/>
    <w:rsid w:val="00975DDF"/>
    <w:rsid w:val="00986F00"/>
    <w:rsid w:val="00995DE2"/>
    <w:rsid w:val="009A075E"/>
    <w:rsid w:val="00A1427B"/>
    <w:rsid w:val="00A167CA"/>
    <w:rsid w:val="00A45728"/>
    <w:rsid w:val="00A56A2B"/>
    <w:rsid w:val="00A61A75"/>
    <w:rsid w:val="00A804F2"/>
    <w:rsid w:val="00AC56EA"/>
    <w:rsid w:val="00AE10FC"/>
    <w:rsid w:val="00B6081A"/>
    <w:rsid w:val="00B922CC"/>
    <w:rsid w:val="00BD292C"/>
    <w:rsid w:val="00BD6B63"/>
    <w:rsid w:val="00C13446"/>
    <w:rsid w:val="00C21A4C"/>
    <w:rsid w:val="00C23325"/>
    <w:rsid w:val="00C62E63"/>
    <w:rsid w:val="00C63544"/>
    <w:rsid w:val="00C728FB"/>
    <w:rsid w:val="00C853E8"/>
    <w:rsid w:val="00C95652"/>
    <w:rsid w:val="00CA2DD7"/>
    <w:rsid w:val="00CA4C40"/>
    <w:rsid w:val="00D533B5"/>
    <w:rsid w:val="00D574FF"/>
    <w:rsid w:val="00D863D3"/>
    <w:rsid w:val="00DD2DE6"/>
    <w:rsid w:val="00DD6B6A"/>
    <w:rsid w:val="00E0060D"/>
    <w:rsid w:val="00E07722"/>
    <w:rsid w:val="00E217A5"/>
    <w:rsid w:val="00E4364B"/>
    <w:rsid w:val="00E6129B"/>
    <w:rsid w:val="00E626CE"/>
    <w:rsid w:val="00E65157"/>
    <w:rsid w:val="00ED1053"/>
    <w:rsid w:val="00EE3397"/>
    <w:rsid w:val="00F10780"/>
    <w:rsid w:val="00F25944"/>
    <w:rsid w:val="00F5521D"/>
    <w:rsid w:val="00FA38EA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Meranger Francois</cp:lastModifiedBy>
  <cp:revision>85</cp:revision>
  <dcterms:created xsi:type="dcterms:W3CDTF">2022-08-08T14:23:00Z</dcterms:created>
  <dcterms:modified xsi:type="dcterms:W3CDTF">2025-01-22T12:59:00Z</dcterms:modified>
</cp:coreProperties>
</file>