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2B2591"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Default="00813B4C" w:rsidP="00A777EE">
      <w:pPr>
        <w:jc w:val="center"/>
        <w:rPr>
          <w:rFonts w:ascii="Marianne" w:hAnsi="Marianne"/>
          <w:b/>
          <w:sz w:val="24"/>
          <w:szCs w:val="24"/>
        </w:rPr>
      </w:pPr>
      <w:r w:rsidRPr="00271F4B">
        <w:rPr>
          <w:rFonts w:ascii="Marianne" w:hAnsi="Marianne"/>
          <w:b/>
          <w:sz w:val="24"/>
          <w:szCs w:val="24"/>
        </w:rPr>
        <w:t xml:space="preserve">SERVICE D’INFRASTRUCTURE DE LA DÉFENSE </w:t>
      </w:r>
      <w:r w:rsidR="00374D91">
        <w:rPr>
          <w:rFonts w:ascii="Marianne" w:hAnsi="Marianne"/>
          <w:b/>
          <w:sz w:val="24"/>
          <w:szCs w:val="24"/>
        </w:rPr>
        <w:t>NORD OUEST</w:t>
      </w:r>
    </w:p>
    <w:p w:rsidR="00B82FCE" w:rsidRDefault="00374D91" w:rsidP="00813B4C">
      <w:pPr>
        <w:jc w:val="center"/>
        <w:rPr>
          <w:rFonts w:ascii="Marianne" w:hAnsi="Marianne"/>
          <w:b/>
          <w:sz w:val="24"/>
          <w:szCs w:val="24"/>
        </w:rPr>
      </w:pPr>
      <w:r>
        <w:rPr>
          <w:rFonts w:ascii="Marianne" w:hAnsi="Marianne"/>
          <w:b/>
          <w:sz w:val="24"/>
          <w:szCs w:val="24"/>
        </w:rPr>
        <w:t>POLE CONDUITE DES OPERATIONS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894611">
        <w:rPr>
          <w:rFonts w:ascii="Marianne" w:hAnsi="Marianne"/>
          <w:b/>
          <w:sz w:val="24"/>
          <w:szCs w:val="24"/>
        </w:rPr>
        <w:t>PRESTATIONS INTELLECTUELLES</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Marché à procédure ad</w:t>
      </w:r>
      <w:r w:rsidR="00624A34">
        <w:rPr>
          <w:rFonts w:ascii="Marianne" w:hAnsi="Marianne"/>
          <w:b/>
          <w:sz w:val="24"/>
          <w:szCs w:val="24"/>
        </w:rPr>
        <w:t xml:space="preserve">aptée </w:t>
      </w:r>
      <w:r w:rsidR="002847CC">
        <w:rPr>
          <w:rFonts w:ascii="Marianne" w:hAnsi="Marianne"/>
          <w:b/>
          <w:sz w:val="24"/>
          <w:szCs w:val="24"/>
        </w:rPr>
        <w:t>restreinte</w:t>
      </w:r>
      <w:r w:rsidR="007E392B">
        <w:rPr>
          <w:rFonts w:ascii="Marianne" w:hAnsi="Marianne"/>
          <w:b/>
          <w:sz w:val="24"/>
          <w:szCs w:val="24"/>
        </w:rPr>
        <w:t xml:space="preserve"> avec mise en publicité</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894611">
        <w:rPr>
          <w:rFonts w:ascii="Marianne" w:hAnsi="Marianne"/>
          <w:b/>
          <w:sz w:val="24"/>
          <w:szCs w:val="24"/>
        </w:rPr>
        <w:t xml:space="preserve"> </w:t>
      </w:r>
      <w:r w:rsidR="002847CC">
        <w:rPr>
          <w:rFonts w:ascii="Marianne" w:hAnsi="Marianne"/>
          <w:b/>
          <w:sz w:val="24"/>
          <w:szCs w:val="24"/>
        </w:rPr>
        <w:t>L2512-3</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2847CC">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OBJET DU MARCHE</w:t>
      </w:r>
    </w:p>
    <w:p w:rsidR="00A777EE" w:rsidRPr="00271F4B" w:rsidRDefault="00A777E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894611"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ROSNAY (36) Centre de Transmission de la Marine </w:t>
      </w:r>
    </w:p>
    <w:p w:rsidR="002847CC" w:rsidRPr="006375D3"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Missions géotechniques </w:t>
      </w:r>
      <w:r w:rsidR="00A777EE">
        <w:rPr>
          <w:rFonts w:ascii="Marianne" w:hAnsi="Marianne"/>
          <w:b/>
          <w:color w:val="000000" w:themeColor="text1"/>
          <w:sz w:val="24"/>
          <w:szCs w:val="24"/>
        </w:rPr>
        <w:t>G1 PGC</w:t>
      </w:r>
      <w:r w:rsidR="00374D91">
        <w:rPr>
          <w:rFonts w:ascii="Marianne" w:hAnsi="Marianne"/>
          <w:b/>
          <w:color w:val="000000" w:themeColor="text1"/>
          <w:sz w:val="24"/>
          <w:szCs w:val="24"/>
        </w:rPr>
        <w:t>, G2 AVP, G2 PRO et relevés piézométriques</w:t>
      </w:r>
      <w:r>
        <w:rPr>
          <w:rFonts w:ascii="Marianne" w:hAnsi="Marianne"/>
          <w:b/>
          <w:color w:val="000000" w:themeColor="text1"/>
          <w:sz w:val="24"/>
          <w:szCs w:val="24"/>
        </w:rPr>
        <w:t xml:space="preserve"> </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rPr>
          <w:rFonts w:ascii="Marianne" w:hAnsi="Marianne"/>
          <w:b/>
          <w:sz w:val="24"/>
          <w:szCs w:val="24"/>
        </w:rPr>
      </w:pPr>
    </w:p>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0" w:name="_Toc476110517"/>
      <w:bookmarkStart w:id="1" w:name="_Toc38338429"/>
      <w:bookmarkStart w:id="2" w:name="_Toc412536671"/>
      <w:bookmarkStart w:id="3" w:name="_Toc413825434"/>
      <w:bookmarkStart w:id="4" w:name="_Toc413825610"/>
      <w:bookmarkStart w:id="5" w:name="_Toc413825994"/>
      <w:bookmarkStart w:id="6" w:name="_Toc413826145"/>
      <w:bookmarkStart w:id="7" w:name="_Toc413826788"/>
      <w:bookmarkStart w:id="8" w:name="_Toc413826912"/>
      <w:bookmarkStart w:id="9" w:name="_Toc413826948"/>
      <w:bookmarkStart w:id="10" w:name="_Toc413827215"/>
      <w:bookmarkStart w:id="11" w:name="_Toc413827491"/>
      <w:bookmarkStart w:id="12" w:name="_Toc413827616"/>
      <w:bookmarkStart w:id="13" w:name="_Toc413827750"/>
      <w:bookmarkStart w:id="14" w:name="_Toc413827828"/>
      <w:bookmarkStart w:id="15" w:name="_Toc413827946"/>
      <w:bookmarkStart w:id="16" w:name="_Toc413828046"/>
      <w:bookmarkStart w:id="17" w:name="_Toc413828127"/>
      <w:bookmarkStart w:id="18" w:name="_Toc413830872"/>
      <w:bookmarkStart w:id="19" w:name="_Toc413830963"/>
      <w:bookmarkStart w:id="20" w:name="_Toc413831278"/>
      <w:bookmarkStart w:id="21" w:name="_Toc413831368"/>
      <w:bookmarkStart w:id="22" w:name="_Toc413831617"/>
    </w:p>
    <w:p w:rsidR="00374D91" w:rsidRPr="00374D91" w:rsidRDefault="00374D91" w:rsidP="00374D91">
      <w:pPr>
        <w:jc w:val="center"/>
        <w:rPr>
          <w:rFonts w:ascii="Marianne" w:eastAsia="Times New Roman" w:hAnsi="Marianne"/>
          <w:b/>
          <w:bCs/>
          <w:caps/>
          <w:color w:val="FF0000"/>
          <w:szCs w:val="20"/>
          <w:u w:val="single"/>
          <w:lang w:eastAsia="fr-FR"/>
        </w:rPr>
      </w:pPr>
      <w:r w:rsidRPr="00374D91">
        <w:rPr>
          <w:rFonts w:ascii="Marianne" w:eastAsia="Times New Roman" w:hAnsi="Marianne"/>
          <w:b/>
          <w:bCs/>
          <w:caps/>
          <w:color w:val="FF0000"/>
          <w:szCs w:val="20"/>
          <w:u w:val="single"/>
          <w:lang w:eastAsia="fr-FR"/>
        </w:rPr>
        <w:t>marche special France</w:t>
      </w:r>
    </w:p>
    <w:p w:rsidR="00185DFF" w:rsidRDefault="00374D91" w:rsidP="00374D91">
      <w:pPr>
        <w:jc w:val="center"/>
        <w:rPr>
          <w:rFonts w:ascii="Marianne" w:eastAsia="Times New Roman" w:hAnsi="Marianne"/>
          <w:b/>
          <w:bCs/>
          <w:caps/>
          <w:szCs w:val="20"/>
          <w:u w:val="single"/>
          <w:lang w:eastAsia="fr-FR"/>
        </w:rPr>
      </w:pPr>
      <w:r w:rsidRPr="00374D91">
        <w:rPr>
          <w:rFonts w:ascii="Marianne" w:eastAsia="Times New Roman" w:hAnsi="Marianne"/>
          <w:b/>
          <w:bCs/>
          <w:caps/>
          <w:color w:val="FF0000"/>
          <w:szCs w:val="20"/>
          <w:u w:val="single"/>
          <w:lang w:eastAsia="fr-FR"/>
        </w:rPr>
        <w:t>marché avec détentions d’informations et supports en «</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b/>
          <w:bCs/>
          <w:caps/>
          <w:color w:val="FF0000"/>
          <w:szCs w:val="20"/>
          <w:u w:val="single"/>
          <w:lang w:eastAsia="fr-FR"/>
        </w:rPr>
        <w:t>diffusion restreinte</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cs="Marianne"/>
          <w:b/>
          <w:bCs/>
          <w:caps/>
          <w:color w:val="FF0000"/>
          <w:szCs w:val="20"/>
          <w:u w:val="single"/>
          <w:lang w:eastAsia="fr-FR"/>
        </w:rPr>
        <w:t>»</w:t>
      </w:r>
      <w:r w:rsidR="00185DFF">
        <w:rPr>
          <w:rFonts w:ascii="Marianne" w:eastAsia="Times New Roman" w:hAnsi="Marianne"/>
          <w:b/>
          <w:bCs/>
          <w:caps/>
          <w:szCs w:val="20"/>
          <w:u w:val="single"/>
          <w:lang w:eastAsia="fr-FR"/>
        </w:rPr>
        <w:br w:type="page"/>
      </w:r>
    </w:p>
    <w:p w:rsidR="00F408C2" w:rsidRPr="00271F4B"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i/>
          <w:sz w:val="28"/>
          <w:szCs w:val="28"/>
        </w:rPr>
      </w:pPr>
      <w:r w:rsidRPr="00271F4B">
        <w:rPr>
          <w:rFonts w:ascii="Marianne" w:hAnsi="Marianne"/>
          <w:i/>
          <w:sz w:val="28"/>
          <w:szCs w:val="28"/>
        </w:rPr>
        <w:lastRenderedPageBreak/>
        <w:t>CAHIER DES CLAUSES PARTICULIERES</w:t>
      </w:r>
    </w:p>
    <w:p w:rsidR="00F408C2" w:rsidRDefault="00F408C2" w:rsidP="00F408C2">
      <w:pPr>
        <w:rPr>
          <w:rFonts w:ascii="Marianne" w:hAnsi="Marianne"/>
          <w:b/>
          <w:sz w:val="22"/>
          <w:szCs w:val="20"/>
          <w:u w:val="single"/>
        </w:rPr>
      </w:pPr>
      <w:bookmarkStart w:id="23" w:name="_Toc64554761"/>
      <w:r w:rsidRPr="006176B2">
        <w:rPr>
          <w:rFonts w:ascii="Marianne" w:hAnsi="Marianne"/>
          <w:b/>
          <w:sz w:val="22"/>
          <w:szCs w:val="20"/>
          <w:u w:val="single"/>
        </w:rPr>
        <w:t>ARTICLE 1. OBJET DU MARCHÉ</w:t>
      </w:r>
      <w:bookmarkEnd w:id="23"/>
    </w:p>
    <w:p w:rsidR="00C401B4" w:rsidRPr="006176B2" w:rsidRDefault="00C401B4" w:rsidP="00F408C2">
      <w:pPr>
        <w:rPr>
          <w:rFonts w:ascii="Marianne" w:hAnsi="Marianne"/>
          <w:b/>
          <w:sz w:val="22"/>
          <w:szCs w:val="20"/>
          <w:u w:val="single"/>
        </w:rPr>
      </w:pPr>
    </w:p>
    <w:p w:rsidR="007E2811" w:rsidRDefault="00C401B4" w:rsidP="00F408C2">
      <w:pPr>
        <w:rPr>
          <w:rFonts w:ascii="Marianne" w:hAnsi="Marianne"/>
          <w:color w:val="000000" w:themeColor="text1"/>
          <w:szCs w:val="20"/>
          <w:shd w:val="clear" w:color="auto" w:fill="FFFFFF"/>
        </w:rPr>
      </w:pPr>
      <w:r w:rsidRPr="00392C1F">
        <w:rPr>
          <w:rFonts w:ascii="Marianne" w:hAnsi="Marianne"/>
          <w:color w:val="000000" w:themeColor="text1"/>
          <w:szCs w:val="20"/>
          <w:shd w:val="clear" w:color="auto" w:fill="FFFFFF"/>
        </w:rPr>
        <w:t xml:space="preserve">Le présent marché a pour objet </w:t>
      </w:r>
      <w:r w:rsidR="00676D31" w:rsidRPr="00392C1F">
        <w:rPr>
          <w:rFonts w:ascii="Marianne" w:hAnsi="Marianne"/>
          <w:color w:val="000000" w:themeColor="text1"/>
          <w:szCs w:val="20"/>
          <w:shd w:val="clear" w:color="auto" w:fill="FFFFFF"/>
        </w:rPr>
        <w:t xml:space="preserve">de </w:t>
      </w:r>
      <w:r w:rsidR="00894611">
        <w:rPr>
          <w:rFonts w:ascii="Marianne" w:hAnsi="Marianne"/>
          <w:color w:val="000000" w:themeColor="text1"/>
          <w:szCs w:val="20"/>
          <w:shd w:val="clear" w:color="auto" w:fill="FFFFFF"/>
        </w:rPr>
        <w:t xml:space="preserve">réaliser </w:t>
      </w:r>
      <w:r w:rsidR="00374D91">
        <w:rPr>
          <w:rFonts w:ascii="Marianne" w:hAnsi="Marianne"/>
          <w:color w:val="000000" w:themeColor="text1"/>
          <w:szCs w:val="20"/>
          <w:shd w:val="clear" w:color="auto" w:fill="FFFFFF"/>
        </w:rPr>
        <w:t>des missions géotechniques relatives à la construction de deux bâtiments au profit du Centre de Transmission de la Marine de Rosnay (36).</w:t>
      </w:r>
    </w:p>
    <w:p w:rsidR="00894611" w:rsidRPr="00392C1F" w:rsidRDefault="00894611" w:rsidP="00F408C2">
      <w:pPr>
        <w:rPr>
          <w:rFonts w:ascii="Marianne" w:hAnsi="Marianne"/>
          <w:color w:val="000000" w:themeColor="text1"/>
          <w:szCs w:val="20"/>
          <w:shd w:val="clear" w:color="auto" w:fill="FFFFFF"/>
        </w:rPr>
      </w:pPr>
      <w:r>
        <w:rPr>
          <w:rFonts w:ascii="Marianne" w:hAnsi="Marianne"/>
          <w:color w:val="000000" w:themeColor="text1"/>
          <w:szCs w:val="20"/>
          <w:shd w:val="clear" w:color="auto" w:fill="FFFFFF"/>
        </w:rPr>
        <w:t xml:space="preserve">Les prestations à réaliser sont décrites dans le </w:t>
      </w:r>
      <w:r w:rsidR="00374D91">
        <w:rPr>
          <w:rFonts w:ascii="Marianne" w:hAnsi="Marianne"/>
          <w:color w:val="000000" w:themeColor="text1"/>
          <w:szCs w:val="20"/>
          <w:shd w:val="clear" w:color="auto" w:fill="FFFFFF"/>
        </w:rPr>
        <w:t>descriptif des travaux.</w:t>
      </w:r>
    </w:p>
    <w:p w:rsidR="007E2811" w:rsidRDefault="007E2811" w:rsidP="00F408C2">
      <w:pPr>
        <w:rPr>
          <w:rFonts w:ascii="Marianne" w:hAnsi="Marianne"/>
          <w:szCs w:val="20"/>
          <w:shd w:val="clear" w:color="auto" w:fill="FFFFFF"/>
        </w:rPr>
      </w:pPr>
      <w:r>
        <w:rPr>
          <w:rFonts w:ascii="Marianne" w:hAnsi="Marianne"/>
          <w:szCs w:val="20"/>
          <w:shd w:val="clear" w:color="auto" w:fill="FFFFFF"/>
        </w:rPr>
        <w:t xml:space="preserve"> </w:t>
      </w: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2. DUREE DU MARCHE</w:t>
      </w:r>
    </w:p>
    <w:p w:rsidR="00F408C2" w:rsidRDefault="00373808" w:rsidP="00F408C2">
      <w:pPr>
        <w:rPr>
          <w:rFonts w:ascii="Marianne" w:hAnsi="Marianne"/>
          <w:color w:val="000000" w:themeColor="text1"/>
          <w:szCs w:val="20"/>
        </w:rPr>
      </w:pPr>
      <w:r>
        <w:rPr>
          <w:rFonts w:ascii="Marianne" w:hAnsi="Marianne"/>
          <w:color w:val="000000" w:themeColor="text1"/>
          <w:szCs w:val="20"/>
        </w:rPr>
        <w:t>Les prestations seront réalisées en quatre phases techniques, avec pour délai d’exécution</w:t>
      </w:r>
      <w:r>
        <w:rPr>
          <w:rFonts w:ascii="Calibri" w:hAnsi="Calibri" w:cs="Calibri"/>
          <w:color w:val="000000" w:themeColor="text1"/>
          <w:szCs w:val="20"/>
        </w:rPr>
        <w:t> </w:t>
      </w:r>
      <w:r>
        <w:rPr>
          <w:rFonts w:ascii="Marianne" w:hAnsi="Marianne"/>
          <w:color w:val="000000" w:themeColor="text1"/>
          <w:szCs w:val="20"/>
        </w:rPr>
        <w:t xml:space="preserve">: </w:t>
      </w:r>
    </w:p>
    <w:p w:rsidR="00373808" w:rsidRPr="00373808" w:rsidRDefault="00373808" w:rsidP="00373808">
      <w:pPr>
        <w:keepNext/>
        <w:keepLines/>
        <w:spacing w:before="120" w:after="120"/>
        <w:jc w:val="left"/>
        <w:outlineLvl w:val="2"/>
        <w:rPr>
          <w:rFonts w:ascii="Marianne" w:eastAsia="SimSun" w:hAnsi="Marianne"/>
          <w:color w:val="404040"/>
          <w:szCs w:val="20"/>
          <w:u w:val="single"/>
          <w:lang w:eastAsia="fr-FR"/>
        </w:rPr>
      </w:pPr>
      <w:bookmarkStart w:id="24" w:name="_Toc48807934"/>
      <w:r w:rsidRPr="00373808">
        <w:rPr>
          <w:rFonts w:ascii="Marianne" w:eastAsia="SimSun" w:hAnsi="Marianne"/>
          <w:color w:val="404040"/>
          <w:szCs w:val="20"/>
          <w:u w:val="single"/>
          <w:lang w:eastAsia="fr-FR"/>
        </w:rPr>
        <w:t>Partie technique n°1 (PT1)</w:t>
      </w:r>
      <w:bookmarkEnd w:id="24"/>
      <w:r w:rsidRPr="00373808">
        <w:rPr>
          <w:rFonts w:ascii="Marianne" w:eastAsia="SimSun" w:hAnsi="Marianne"/>
          <w:color w:val="404040"/>
          <w:szCs w:val="20"/>
          <w:u w:val="single"/>
          <w:lang w:eastAsia="fr-FR"/>
        </w:rPr>
        <w:t xml:space="preserve"> Mission G1 GPC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855"/>
      </w:tblGrid>
      <w:tr w:rsidR="00373808" w:rsidRPr="00373808" w:rsidTr="00373808">
        <w:tc>
          <w:tcPr>
            <w:tcW w:w="3117"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Prestation</w:t>
            </w:r>
          </w:p>
        </w:tc>
        <w:tc>
          <w:tcPr>
            <w:tcW w:w="3088"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Délai attribué</w:t>
            </w:r>
          </w:p>
        </w:tc>
        <w:tc>
          <w:tcPr>
            <w:tcW w:w="3855"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Date de démarrage du délai</w:t>
            </w:r>
          </w:p>
        </w:tc>
      </w:tr>
      <w:tr w:rsidR="00373808" w:rsidRPr="00373808" w:rsidTr="00373808">
        <w:tc>
          <w:tcPr>
            <w:tcW w:w="3117"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Rapport de mission</w:t>
            </w:r>
          </w:p>
        </w:tc>
        <w:tc>
          <w:tcPr>
            <w:tcW w:w="3088"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1 mois calendaire</w:t>
            </w:r>
          </w:p>
        </w:tc>
        <w:tc>
          <w:tcPr>
            <w:tcW w:w="3855"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A l’accusé de réception par le maître d’ouvrage de l’ordre de service notifiant le démarrage de la PT1.</w:t>
            </w:r>
          </w:p>
        </w:tc>
      </w:tr>
    </w:tbl>
    <w:p w:rsidR="00373808" w:rsidRPr="00373808" w:rsidRDefault="00373808" w:rsidP="00373808">
      <w:pPr>
        <w:keepNext/>
        <w:keepLines/>
        <w:spacing w:before="120" w:after="120"/>
        <w:jc w:val="left"/>
        <w:outlineLvl w:val="2"/>
        <w:rPr>
          <w:rFonts w:ascii="Marianne" w:eastAsia="SimSun" w:hAnsi="Marianne"/>
          <w:color w:val="404040"/>
          <w:szCs w:val="20"/>
          <w:u w:val="single"/>
          <w:lang w:eastAsia="fr-FR"/>
        </w:rPr>
      </w:pPr>
      <w:bookmarkStart w:id="25" w:name="_Toc48807935"/>
      <w:r w:rsidRPr="00373808">
        <w:rPr>
          <w:rFonts w:ascii="Marianne" w:eastAsia="SimSun" w:hAnsi="Marianne"/>
          <w:color w:val="404040"/>
          <w:szCs w:val="20"/>
          <w:u w:val="single"/>
          <w:lang w:eastAsia="fr-FR"/>
        </w:rPr>
        <w:t>Partie technique n°2 (PT2)</w:t>
      </w:r>
      <w:bookmarkEnd w:id="25"/>
      <w:r w:rsidRPr="00373808">
        <w:rPr>
          <w:rFonts w:ascii="Marianne" w:eastAsia="SimSun" w:hAnsi="Marianne"/>
          <w:color w:val="404040"/>
          <w:szCs w:val="20"/>
          <w:u w:val="single"/>
          <w:lang w:eastAsia="fr-FR"/>
        </w:rPr>
        <w:t xml:space="preserve"> Mission G2 AVP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855"/>
      </w:tblGrid>
      <w:tr w:rsidR="00373808" w:rsidRPr="00373808" w:rsidTr="00373808">
        <w:tc>
          <w:tcPr>
            <w:tcW w:w="3117"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Prestation</w:t>
            </w:r>
          </w:p>
        </w:tc>
        <w:tc>
          <w:tcPr>
            <w:tcW w:w="3088"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Délai attribué</w:t>
            </w:r>
          </w:p>
        </w:tc>
        <w:tc>
          <w:tcPr>
            <w:tcW w:w="3855"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Date de démarrage du délai</w:t>
            </w:r>
          </w:p>
        </w:tc>
      </w:tr>
      <w:tr w:rsidR="00373808" w:rsidRPr="00373808" w:rsidTr="00373808">
        <w:tc>
          <w:tcPr>
            <w:tcW w:w="3117"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Rapport de mission</w:t>
            </w:r>
          </w:p>
        </w:tc>
        <w:tc>
          <w:tcPr>
            <w:tcW w:w="3088"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1 mois calendaire</w:t>
            </w:r>
          </w:p>
        </w:tc>
        <w:tc>
          <w:tcPr>
            <w:tcW w:w="3855"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A l’accusé de réception par le maître d’ouvrage de l’ordre de service notifiant le démarrage de la PT2.</w:t>
            </w:r>
          </w:p>
        </w:tc>
      </w:tr>
    </w:tbl>
    <w:p w:rsidR="00373808" w:rsidRPr="00373808" w:rsidRDefault="00373808" w:rsidP="00373808">
      <w:pPr>
        <w:keepNext/>
        <w:keepLines/>
        <w:spacing w:before="120" w:after="120"/>
        <w:jc w:val="left"/>
        <w:outlineLvl w:val="2"/>
        <w:rPr>
          <w:rFonts w:ascii="Marianne" w:eastAsia="SimSun" w:hAnsi="Marianne"/>
          <w:color w:val="404040"/>
          <w:szCs w:val="20"/>
          <w:u w:val="single"/>
          <w:lang w:eastAsia="fr-FR"/>
        </w:rPr>
      </w:pPr>
      <w:bookmarkStart w:id="26" w:name="_Toc48807936"/>
      <w:r w:rsidRPr="00373808">
        <w:rPr>
          <w:rFonts w:ascii="Marianne" w:eastAsia="SimSun" w:hAnsi="Marianne"/>
          <w:color w:val="404040"/>
          <w:szCs w:val="20"/>
          <w:u w:val="single"/>
          <w:lang w:eastAsia="fr-FR"/>
        </w:rPr>
        <w:t>Partie technique n°3 (PT3)</w:t>
      </w:r>
      <w:bookmarkEnd w:id="26"/>
      <w:r w:rsidRPr="00373808">
        <w:rPr>
          <w:rFonts w:ascii="Marianne" w:eastAsia="SimSun" w:hAnsi="Marianne"/>
          <w:color w:val="404040"/>
          <w:szCs w:val="20"/>
          <w:u w:val="single"/>
          <w:lang w:eastAsia="fr-FR"/>
        </w:rPr>
        <w:t xml:space="preserve"> Mission G2 PRO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855"/>
      </w:tblGrid>
      <w:tr w:rsidR="00373808" w:rsidRPr="00373808" w:rsidTr="00373808">
        <w:tc>
          <w:tcPr>
            <w:tcW w:w="3117"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Prestation</w:t>
            </w:r>
          </w:p>
        </w:tc>
        <w:tc>
          <w:tcPr>
            <w:tcW w:w="3088"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Délai attribué</w:t>
            </w:r>
          </w:p>
        </w:tc>
        <w:tc>
          <w:tcPr>
            <w:tcW w:w="3855"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Date de démarrage du délai</w:t>
            </w:r>
          </w:p>
        </w:tc>
      </w:tr>
      <w:tr w:rsidR="00373808" w:rsidRPr="00373808" w:rsidTr="00373808">
        <w:tc>
          <w:tcPr>
            <w:tcW w:w="3117"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Rapport de mission</w:t>
            </w:r>
          </w:p>
        </w:tc>
        <w:tc>
          <w:tcPr>
            <w:tcW w:w="3088"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1 mois calendaire</w:t>
            </w:r>
          </w:p>
        </w:tc>
        <w:tc>
          <w:tcPr>
            <w:tcW w:w="3855"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A l’accusé de réception par le maître d’ouvrage de l’ordre de service notifiant le démarrage de la PT3.</w:t>
            </w:r>
          </w:p>
        </w:tc>
      </w:tr>
    </w:tbl>
    <w:p w:rsidR="00373808" w:rsidRPr="00373808" w:rsidRDefault="00373808" w:rsidP="00373808">
      <w:pPr>
        <w:keepNext/>
        <w:keepLines/>
        <w:spacing w:before="120" w:after="120"/>
        <w:jc w:val="left"/>
        <w:outlineLvl w:val="2"/>
        <w:rPr>
          <w:rFonts w:ascii="Marianne" w:eastAsia="SimSun" w:hAnsi="Marianne"/>
          <w:color w:val="404040"/>
          <w:szCs w:val="20"/>
          <w:u w:val="single"/>
          <w:lang w:eastAsia="fr-FR"/>
        </w:rPr>
      </w:pPr>
      <w:r w:rsidRPr="00373808">
        <w:rPr>
          <w:rFonts w:ascii="Marianne" w:eastAsia="SimSun" w:hAnsi="Marianne"/>
          <w:color w:val="404040"/>
          <w:szCs w:val="20"/>
          <w:u w:val="single"/>
          <w:lang w:eastAsia="fr-FR"/>
        </w:rPr>
        <w:t>Partie technique n°4 (PT4) Relevés piézométriques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855"/>
      </w:tblGrid>
      <w:tr w:rsidR="00373808" w:rsidRPr="00373808" w:rsidTr="00373808">
        <w:tc>
          <w:tcPr>
            <w:tcW w:w="3117"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Prestation</w:t>
            </w:r>
          </w:p>
        </w:tc>
        <w:tc>
          <w:tcPr>
            <w:tcW w:w="3088"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Délai attribué</w:t>
            </w:r>
          </w:p>
        </w:tc>
        <w:tc>
          <w:tcPr>
            <w:tcW w:w="3855" w:type="dxa"/>
            <w:shd w:val="clear" w:color="auto" w:fill="auto"/>
          </w:tcPr>
          <w:p w:rsidR="00373808" w:rsidRPr="00373808" w:rsidRDefault="00373808" w:rsidP="00373808">
            <w:pPr>
              <w:jc w:val="center"/>
              <w:rPr>
                <w:rFonts w:ascii="Marianne" w:eastAsia="Times New Roman" w:hAnsi="Marianne" w:cs="Calibri"/>
                <w:b/>
                <w:szCs w:val="20"/>
                <w:lang w:eastAsia="fr-FR"/>
              </w:rPr>
            </w:pPr>
            <w:r w:rsidRPr="00373808">
              <w:rPr>
                <w:rFonts w:ascii="Marianne" w:eastAsia="Times New Roman" w:hAnsi="Marianne" w:cs="Calibri"/>
                <w:b/>
                <w:szCs w:val="20"/>
                <w:lang w:eastAsia="fr-FR"/>
              </w:rPr>
              <w:t>Date de démarrage du délai</w:t>
            </w:r>
          </w:p>
        </w:tc>
      </w:tr>
      <w:tr w:rsidR="00373808" w:rsidRPr="00373808" w:rsidTr="00373808">
        <w:tc>
          <w:tcPr>
            <w:tcW w:w="3117"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Compte rendu de mise en place des instruments de mesure</w:t>
            </w:r>
          </w:p>
        </w:tc>
        <w:tc>
          <w:tcPr>
            <w:tcW w:w="3088"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15 jours calendaires</w:t>
            </w:r>
          </w:p>
        </w:tc>
        <w:tc>
          <w:tcPr>
            <w:tcW w:w="3855"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A l’accusé de réception par le maître d’ouvrage de l’ordre de service notifiant le démarrage de la PT4.</w:t>
            </w:r>
          </w:p>
        </w:tc>
      </w:tr>
      <w:tr w:rsidR="00373808" w:rsidRPr="00373808" w:rsidTr="00373808">
        <w:tc>
          <w:tcPr>
            <w:tcW w:w="3117"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Rapports trimestriels</w:t>
            </w:r>
          </w:p>
        </w:tc>
        <w:tc>
          <w:tcPr>
            <w:tcW w:w="3088"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15 jours calendaires</w:t>
            </w:r>
          </w:p>
        </w:tc>
        <w:tc>
          <w:tcPr>
            <w:tcW w:w="3855" w:type="dxa"/>
            <w:shd w:val="clear" w:color="auto" w:fill="auto"/>
            <w:vAlign w:val="center"/>
          </w:tcPr>
          <w:p w:rsidR="00373808" w:rsidRPr="00373808" w:rsidRDefault="00373808" w:rsidP="00373808">
            <w:pPr>
              <w:jc w:val="center"/>
              <w:rPr>
                <w:rFonts w:ascii="Marianne" w:eastAsia="Times New Roman" w:hAnsi="Marianne" w:cs="Calibri"/>
                <w:szCs w:val="20"/>
                <w:lang w:eastAsia="fr-FR"/>
              </w:rPr>
            </w:pPr>
            <w:r w:rsidRPr="00373808">
              <w:rPr>
                <w:rFonts w:ascii="Marianne" w:eastAsia="Times New Roman" w:hAnsi="Marianne" w:cs="Calibri"/>
                <w:szCs w:val="20"/>
                <w:lang w:eastAsia="fr-FR"/>
              </w:rPr>
              <w:t>3 mois après la date de mise en place des capteurs ou 3 mois après l’échéance précédente à compter du 2</w:t>
            </w:r>
            <w:r w:rsidRPr="00373808">
              <w:rPr>
                <w:rFonts w:ascii="Marianne" w:eastAsia="Times New Roman" w:hAnsi="Marianne" w:cs="Calibri"/>
                <w:szCs w:val="20"/>
                <w:vertAlign w:val="superscript"/>
                <w:lang w:eastAsia="fr-FR"/>
              </w:rPr>
              <w:t>ème</w:t>
            </w:r>
            <w:r w:rsidRPr="00373808">
              <w:rPr>
                <w:rFonts w:ascii="Marianne" w:eastAsia="Times New Roman" w:hAnsi="Marianne" w:cs="Calibri"/>
                <w:szCs w:val="20"/>
                <w:lang w:eastAsia="fr-FR"/>
              </w:rPr>
              <w:t xml:space="preserve"> rapport trimestriel.</w:t>
            </w:r>
          </w:p>
        </w:tc>
      </w:tr>
      <w:tr w:rsidR="00373808" w:rsidRPr="00373808" w:rsidTr="00373808">
        <w:tc>
          <w:tcPr>
            <w:tcW w:w="3117" w:type="dxa"/>
            <w:shd w:val="clear" w:color="auto" w:fill="auto"/>
            <w:vAlign w:val="center"/>
          </w:tcPr>
          <w:p w:rsidR="00373808" w:rsidRPr="00373808" w:rsidRDefault="00373808" w:rsidP="00373808">
            <w:pPr>
              <w:jc w:val="center"/>
              <w:rPr>
                <w:rFonts w:ascii="Calibri" w:eastAsia="Times New Roman" w:hAnsi="Calibri" w:cs="Calibri"/>
                <w:sz w:val="24"/>
                <w:lang w:eastAsia="fr-FR"/>
              </w:rPr>
            </w:pPr>
            <w:r w:rsidRPr="00373808">
              <w:rPr>
                <w:rFonts w:ascii="Calibri" w:eastAsia="Times New Roman" w:hAnsi="Calibri" w:cs="Calibri"/>
                <w:sz w:val="24"/>
                <w:lang w:eastAsia="fr-FR"/>
              </w:rPr>
              <w:t>Rapport final</w:t>
            </w:r>
          </w:p>
        </w:tc>
        <w:tc>
          <w:tcPr>
            <w:tcW w:w="3088" w:type="dxa"/>
            <w:shd w:val="clear" w:color="auto" w:fill="auto"/>
            <w:vAlign w:val="center"/>
          </w:tcPr>
          <w:p w:rsidR="00373808" w:rsidRPr="00373808" w:rsidRDefault="00373808" w:rsidP="00373808">
            <w:pPr>
              <w:jc w:val="center"/>
              <w:rPr>
                <w:rFonts w:ascii="Calibri" w:eastAsia="Times New Roman" w:hAnsi="Calibri" w:cs="Calibri"/>
                <w:sz w:val="24"/>
                <w:szCs w:val="24"/>
                <w:lang w:eastAsia="fr-FR"/>
              </w:rPr>
            </w:pPr>
            <w:r w:rsidRPr="00373808">
              <w:rPr>
                <w:rFonts w:ascii="Calibri" w:eastAsia="Times New Roman" w:hAnsi="Calibri" w:cs="Calibri"/>
                <w:sz w:val="24"/>
                <w:szCs w:val="24"/>
                <w:lang w:eastAsia="fr-FR"/>
              </w:rPr>
              <w:t>15 jours calendaires</w:t>
            </w:r>
          </w:p>
        </w:tc>
        <w:tc>
          <w:tcPr>
            <w:tcW w:w="3855" w:type="dxa"/>
            <w:shd w:val="clear" w:color="auto" w:fill="auto"/>
            <w:vAlign w:val="center"/>
          </w:tcPr>
          <w:p w:rsidR="00373808" w:rsidRPr="00373808" w:rsidRDefault="00373808" w:rsidP="00373808">
            <w:pPr>
              <w:jc w:val="center"/>
              <w:rPr>
                <w:rFonts w:ascii="Calibri" w:eastAsia="Times New Roman" w:hAnsi="Calibri" w:cs="Calibri"/>
                <w:sz w:val="24"/>
                <w:szCs w:val="24"/>
                <w:lang w:eastAsia="fr-FR"/>
              </w:rPr>
            </w:pPr>
            <w:r w:rsidRPr="00373808">
              <w:rPr>
                <w:rFonts w:ascii="Calibri" w:eastAsia="Times New Roman" w:hAnsi="Calibri" w:cs="Calibri"/>
                <w:sz w:val="24"/>
                <w:szCs w:val="24"/>
                <w:lang w:eastAsia="fr-FR"/>
              </w:rPr>
              <w:t>A compter de la notification par le maître d’ouvrage du démarrage de la PP travaux.</w:t>
            </w:r>
          </w:p>
        </w:tc>
      </w:tr>
    </w:tbl>
    <w:p w:rsidR="00373808" w:rsidRDefault="00373808" w:rsidP="00F408C2">
      <w:pPr>
        <w:rPr>
          <w:rFonts w:ascii="Marianne" w:hAnsi="Marianne"/>
          <w:color w:val="000000" w:themeColor="text1"/>
          <w:szCs w:val="20"/>
        </w:rPr>
      </w:pPr>
    </w:p>
    <w:p w:rsidR="00894611" w:rsidRPr="00E02878" w:rsidRDefault="00894611" w:rsidP="00F408C2">
      <w:pPr>
        <w:rPr>
          <w:rFonts w:ascii="Marianne" w:hAnsi="Marianne"/>
          <w:color w:val="FF0000"/>
          <w:szCs w:val="20"/>
        </w:rPr>
      </w:pPr>
      <w:r>
        <w:rPr>
          <w:rFonts w:ascii="Marianne" w:hAnsi="Marianne"/>
          <w:color w:val="000000" w:themeColor="text1"/>
          <w:szCs w:val="20"/>
        </w:rPr>
        <w:t>Les dates d’</w:t>
      </w:r>
      <w:r>
        <w:rPr>
          <w:rFonts w:ascii="Marianne" w:hAnsi="Marianne" w:cs="Marianne"/>
          <w:color w:val="000000" w:themeColor="text1"/>
          <w:szCs w:val="20"/>
        </w:rPr>
        <w:t xml:space="preserve">exécution seront </w:t>
      </w:r>
      <w:r w:rsidR="00373808">
        <w:rPr>
          <w:rFonts w:ascii="Marianne" w:hAnsi="Marianne" w:cs="Marianne"/>
          <w:color w:val="000000" w:themeColor="text1"/>
          <w:szCs w:val="20"/>
        </w:rPr>
        <w:t>notifiées par ordre de service.</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Pr="00B82FCE">
        <w:rPr>
          <w:rFonts w:ascii="Marianne" w:hAnsi="Marianne"/>
          <w:szCs w:val="20"/>
        </w:rPr>
        <w:t xml:space="preserve">délégué est le chef </w:t>
      </w:r>
      <w:r w:rsidR="00373808">
        <w:rPr>
          <w:rFonts w:ascii="Marianne" w:hAnsi="Marianne"/>
          <w:szCs w:val="20"/>
        </w:rPr>
        <w:t>du Pôle Conduite des Opérations d’Angers</w:t>
      </w:r>
      <w:r w:rsidRPr="00B82FCE">
        <w:rPr>
          <w:rFonts w:ascii="Marianne" w:hAnsi="Marianne"/>
          <w:b/>
          <w:szCs w:val="20"/>
        </w:rPr>
        <w:t xml:space="preserve"> </w:t>
      </w:r>
    </w:p>
    <w:p w:rsidR="00C401B4" w:rsidRPr="00C401B4" w:rsidRDefault="00F408C2" w:rsidP="00C401B4">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La maîtrise d'ouvrage de l'opération est assurée par l'Etat - Ministère des Armées –Service d’Inf</w:t>
      </w:r>
      <w:r w:rsidR="00A777EE">
        <w:rPr>
          <w:rFonts w:ascii="Marianne" w:hAnsi="Marianne"/>
          <w:szCs w:val="20"/>
        </w:rPr>
        <w:t>rastructure de la Défense</w:t>
      </w:r>
      <w:r w:rsidRPr="006176B2">
        <w:rPr>
          <w:rFonts w:ascii="Marianne" w:hAnsi="Marianne"/>
          <w:szCs w:val="20"/>
        </w:rPr>
        <w:t xml:space="preserve"> </w:t>
      </w:r>
      <w:r w:rsidR="00373808">
        <w:rPr>
          <w:rFonts w:ascii="Marianne" w:hAnsi="Marianne"/>
          <w:szCs w:val="20"/>
        </w:rPr>
        <w:t>Nord-Ouest</w:t>
      </w:r>
    </w:p>
    <w:p w:rsidR="00B07502" w:rsidRPr="00B07502" w:rsidRDefault="00B07502" w:rsidP="00F408C2">
      <w:pPr>
        <w:rPr>
          <w:rFonts w:ascii="Marianne" w:hAnsi="Marianne"/>
        </w:rPr>
      </w:pPr>
      <w:r>
        <w:rPr>
          <w:rFonts w:ascii="Marianne" w:hAnsi="Marianne"/>
        </w:rPr>
        <w:lastRenderedPageBreak/>
        <w:t xml:space="preserve">Au sein de la maîtrise d'ouvrage, la fonction de conducteur d'opérations est assurée par </w:t>
      </w:r>
      <w:r w:rsidR="00373808">
        <w:rPr>
          <w:rFonts w:ascii="Marianne" w:hAnsi="Marianne"/>
        </w:rPr>
        <w:t>le PCO d’Angers</w:t>
      </w:r>
    </w:p>
    <w:p w:rsidR="009C4109" w:rsidRPr="00E02878" w:rsidRDefault="0009593E" w:rsidP="00F408C2">
      <w:pPr>
        <w:rPr>
          <w:rFonts w:ascii="Marianne" w:hAnsi="Marianne"/>
          <w:color w:val="FF0000"/>
          <w:szCs w:val="20"/>
        </w:rPr>
      </w:pPr>
      <w:r>
        <w:rPr>
          <w:rFonts w:ascii="Marianne" w:hAnsi="Marianne"/>
          <w:szCs w:val="20"/>
        </w:rPr>
        <w:t xml:space="preserve">L’interlocuteur privilégié </w:t>
      </w:r>
      <w:r w:rsidRPr="00B07502">
        <w:rPr>
          <w:rFonts w:ascii="Marianne" w:hAnsi="Marianne"/>
          <w:color w:val="000000" w:themeColor="text1"/>
          <w:szCs w:val="20"/>
        </w:rPr>
        <w:t xml:space="preserve">est </w:t>
      </w:r>
      <w:r w:rsidR="00373808">
        <w:rPr>
          <w:rFonts w:ascii="Marianne" w:hAnsi="Marianne"/>
          <w:color w:val="000000" w:themeColor="text1"/>
          <w:szCs w:val="20"/>
        </w:rPr>
        <w:t>l’Ingénieur Civil de la Défense Baptiste DESSERME</w:t>
      </w:r>
    </w:p>
    <w:p w:rsidR="0009593E" w:rsidRPr="00E02878" w:rsidRDefault="009C4109" w:rsidP="00F408C2">
      <w:pPr>
        <w:rPr>
          <w:rFonts w:ascii="Marianne" w:hAnsi="Marianne"/>
          <w:color w:val="FF0000"/>
          <w:szCs w:val="20"/>
        </w:rPr>
      </w:pPr>
      <w:r w:rsidRPr="00E02878">
        <w:rPr>
          <w:rFonts w:ascii="Marianne" w:hAnsi="Marianne"/>
          <w:color w:val="FF0000"/>
          <w:szCs w:val="20"/>
        </w:rPr>
        <w:t xml:space="preserve">                                                   </w:t>
      </w:r>
      <w:proofErr w:type="gramStart"/>
      <w:r w:rsidRPr="00B07502">
        <w:rPr>
          <w:rFonts w:ascii="Marianne" w:hAnsi="Marianne"/>
          <w:color w:val="000000" w:themeColor="text1"/>
          <w:szCs w:val="20"/>
        </w:rPr>
        <w:t>tel</w:t>
      </w:r>
      <w:proofErr w:type="gramEnd"/>
      <w:r w:rsidRPr="00B07502">
        <w:rPr>
          <w:rFonts w:ascii="Calibri" w:hAnsi="Calibri" w:cs="Calibri"/>
          <w:color w:val="000000" w:themeColor="text1"/>
          <w:szCs w:val="20"/>
        </w:rPr>
        <w:t> </w:t>
      </w:r>
      <w:r w:rsidRPr="00B07502">
        <w:rPr>
          <w:rFonts w:ascii="Marianne" w:hAnsi="Marianne"/>
          <w:color w:val="000000" w:themeColor="text1"/>
          <w:szCs w:val="20"/>
        </w:rPr>
        <w:t xml:space="preserve">: </w:t>
      </w:r>
      <w:r w:rsidR="00373808">
        <w:rPr>
          <w:rFonts w:ascii="Marianne" w:hAnsi="Marianne"/>
          <w:color w:val="000000" w:themeColor="text1"/>
          <w:szCs w:val="20"/>
        </w:rPr>
        <w:t>06.22.42.38.28</w:t>
      </w:r>
    </w:p>
    <w:p w:rsidR="0009593E" w:rsidRPr="00E02878" w:rsidRDefault="0009593E" w:rsidP="00F408C2">
      <w:pPr>
        <w:rPr>
          <w:rFonts w:ascii="Marianne" w:hAnsi="Marianne"/>
          <w:color w:val="FF0000"/>
          <w:szCs w:val="20"/>
        </w:rPr>
      </w:pPr>
      <w:r w:rsidRPr="00B07502">
        <w:rPr>
          <w:rFonts w:ascii="Marianne" w:hAnsi="Marianne"/>
          <w:color w:val="000000" w:themeColor="text1"/>
          <w:szCs w:val="20"/>
        </w:rPr>
        <w:t xml:space="preserve">                           </w:t>
      </w:r>
      <w:r w:rsidR="009C4109" w:rsidRPr="00B07502">
        <w:rPr>
          <w:rFonts w:ascii="Marianne" w:hAnsi="Marianne"/>
          <w:color w:val="000000" w:themeColor="text1"/>
          <w:szCs w:val="20"/>
        </w:rPr>
        <w:t xml:space="preserve">                        </w:t>
      </w:r>
      <w:r w:rsidRPr="00B07502">
        <w:rPr>
          <w:rFonts w:ascii="Marianne" w:hAnsi="Marianne"/>
          <w:color w:val="000000" w:themeColor="text1"/>
          <w:szCs w:val="20"/>
        </w:rPr>
        <w:t>mail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hyperlink r:id="rId9" w:history="1">
        <w:r w:rsidR="00373808" w:rsidRPr="00EC26E2">
          <w:rPr>
            <w:rStyle w:val="Lienhypertexte"/>
            <w:rFonts w:ascii="Marianne" w:hAnsi="Marianne"/>
            <w:szCs w:val="20"/>
          </w:rPr>
          <w:t>baptiste.desserme@intradef.gouv.fr</w:t>
        </w:r>
      </w:hyperlink>
      <w:r w:rsidRPr="00E02878">
        <w:rPr>
          <w:rFonts w:ascii="Marianne" w:hAnsi="Marianne"/>
          <w:color w:val="FF0000"/>
          <w:szCs w:val="20"/>
        </w:rPr>
        <w:t xml:space="preserve"> </w:t>
      </w:r>
    </w:p>
    <w:p w:rsidR="00C401B4" w:rsidRDefault="00C401B4" w:rsidP="00F408C2">
      <w:pPr>
        <w:rPr>
          <w:rFonts w:ascii="Marianne" w:hAnsi="Marianne"/>
          <w:b/>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Pr="006176B2" w:rsidRDefault="00F408C2" w:rsidP="00F408C2">
      <w:pPr>
        <w:rPr>
          <w:rFonts w:ascii="Marianne" w:hAnsi="Marianne"/>
          <w:szCs w:val="20"/>
        </w:rPr>
      </w:pPr>
      <w:r w:rsidRPr="006176B2">
        <w:rPr>
          <w:rFonts w:ascii="Marianne" w:hAnsi="Marianne"/>
          <w:szCs w:val="20"/>
        </w:rPr>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Default="00F408C2" w:rsidP="00F408C2">
      <w:pPr>
        <w:rPr>
          <w:rFonts w:ascii="Marianne" w:hAnsi="Marianne"/>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00B849C9">
        <w:rPr>
          <w:rFonts w:ascii="Marianne" w:hAnsi="Marianne"/>
          <w:szCs w:val="20"/>
        </w:rPr>
        <w:t>l’a</w:t>
      </w:r>
      <w:r w:rsidR="001B6D8D">
        <w:rPr>
          <w:rFonts w:ascii="Marianne" w:hAnsi="Marianne"/>
          <w:szCs w:val="20"/>
        </w:rPr>
        <w:t>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7E392B" w:rsidRPr="007E392B" w:rsidRDefault="00F408C2" w:rsidP="007E392B">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7E392B" w:rsidRPr="007E392B" w:rsidRDefault="007E392B" w:rsidP="007E392B">
      <w:pPr>
        <w:pStyle w:val="Paragraphedeliste"/>
        <w:widowControl w:val="0"/>
        <w:numPr>
          <w:ilvl w:val="0"/>
          <w:numId w:val="32"/>
        </w:numPr>
        <w:rPr>
          <w:rFonts w:ascii="Marianne" w:hAnsi="Marianne"/>
          <w:color w:val="000000"/>
          <w:szCs w:val="20"/>
          <w:lang w:eastAsia="ar-SA"/>
        </w:rPr>
      </w:pPr>
      <w:r>
        <w:rPr>
          <w:rFonts w:ascii="Marianne" w:hAnsi="Marianne"/>
          <w:szCs w:val="20"/>
          <w:lang w:eastAsia="ar-SA"/>
        </w:rPr>
        <w:t xml:space="preserve">Un </w:t>
      </w:r>
      <w:r>
        <w:rPr>
          <w:rFonts w:ascii="Marianne" w:hAnsi="Marianne"/>
        </w:rPr>
        <w:t>e</w:t>
      </w:r>
      <w:r w:rsidRPr="007E392B">
        <w:rPr>
          <w:rFonts w:ascii="Marianne" w:hAnsi="Marianne"/>
        </w:rPr>
        <w:t>xtrait K-Bis original avec flash code valide</w:t>
      </w:r>
    </w:p>
    <w:p w:rsidR="007E392B" w:rsidRPr="007E392B" w:rsidRDefault="007E392B" w:rsidP="007E392B">
      <w:pPr>
        <w:pStyle w:val="Paragraphedeliste"/>
        <w:numPr>
          <w:ilvl w:val="0"/>
          <w:numId w:val="32"/>
        </w:numPr>
        <w:spacing w:after="0"/>
        <w:ind w:right="42"/>
        <w:rPr>
          <w:rFonts w:ascii="Marianne" w:hAnsi="Marianne"/>
        </w:rPr>
      </w:pPr>
      <w:r w:rsidRPr="007E392B">
        <w:rPr>
          <w:rFonts w:ascii="Marianne" w:hAnsi="Marianne"/>
        </w:rPr>
        <w:t>Copie</w:t>
      </w:r>
      <w:r w:rsidRPr="007E392B">
        <w:rPr>
          <w:rFonts w:ascii="Marianne" w:hAnsi="Marianne"/>
        </w:rPr>
        <w:t xml:space="preserve"> de la carte nationale d’identité ou du passeport du dirigeant ayant le pouvoir d’engager la société</w:t>
      </w:r>
    </w:p>
    <w:p w:rsidR="00F408C2" w:rsidRDefault="00F408C2"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 xml:space="preserve"> </w:t>
      </w:r>
      <w:r w:rsidR="007E392B" w:rsidRPr="00C604B2">
        <w:rPr>
          <w:rFonts w:ascii="Marianne" w:eastAsia="Times New Roman" w:hAnsi="Marianne"/>
          <w:szCs w:val="20"/>
          <w:lang w:eastAsia="ar-SA"/>
        </w:rPr>
        <w:t>Copie</w:t>
      </w:r>
      <w:r w:rsidRPr="00C604B2">
        <w:rPr>
          <w:rFonts w:ascii="Marianne" w:eastAsia="Times New Roman" w:hAnsi="Marianne"/>
          <w:szCs w:val="20"/>
          <w:lang w:eastAsia="ar-SA"/>
        </w:rPr>
        <w:t xml:space="preserve"> des contrats d’assurance responsabilité civile,</w:t>
      </w:r>
    </w:p>
    <w:p w:rsidR="007E392B" w:rsidRPr="00C604B2" w:rsidRDefault="007E392B" w:rsidP="00F408C2">
      <w:pPr>
        <w:numPr>
          <w:ilvl w:val="0"/>
          <w:numId w:val="32"/>
        </w:numPr>
        <w:rPr>
          <w:rFonts w:ascii="Marianne" w:eastAsia="Times New Roman" w:hAnsi="Marianne"/>
          <w:szCs w:val="20"/>
          <w:lang w:eastAsia="ar-SA"/>
        </w:rPr>
      </w:pPr>
      <w:r>
        <w:rPr>
          <w:rFonts w:ascii="Marianne" w:eastAsia="Times New Roman" w:hAnsi="Marianne"/>
          <w:szCs w:val="20"/>
          <w:lang w:eastAsia="ar-SA"/>
        </w:rPr>
        <w:t>Fiche de contrôle primaire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F408C2" w:rsidRPr="00753B84" w:rsidRDefault="00B06225" w:rsidP="00F408C2">
      <w:pPr>
        <w:numPr>
          <w:ilvl w:val="0"/>
          <w:numId w:val="32"/>
        </w:numPr>
        <w:rPr>
          <w:rFonts w:ascii="Marianne" w:hAnsi="Marianne"/>
          <w:szCs w:val="20"/>
        </w:rPr>
      </w:pPr>
      <w:r w:rsidRPr="00753B84">
        <w:rPr>
          <w:rFonts w:ascii="Marianne" w:eastAsia="Times New Roman" w:hAnsi="Marianne"/>
          <w:bCs/>
          <w:szCs w:val="20"/>
          <w:lang w:eastAsia="ar-SA"/>
        </w:rPr>
        <w:t>Les</w:t>
      </w:r>
      <w:r w:rsidR="00F408C2" w:rsidRPr="00753B84">
        <w:rPr>
          <w:rFonts w:ascii="Marianne" w:eastAsia="Times New Roman" w:hAnsi="Marianne"/>
          <w:bCs/>
          <w:szCs w:val="20"/>
          <w:lang w:eastAsia="ar-SA"/>
        </w:rPr>
        <w:t xml:space="preserve"> éléments permettant d’apprécier les capacités professionnelles et techniques</w:t>
      </w:r>
      <w:r w:rsidR="00F408C2" w:rsidRPr="00753B84">
        <w:rPr>
          <w:rFonts w:ascii="Calibri" w:eastAsia="Times New Roman" w:hAnsi="Calibri" w:cs="Calibri"/>
          <w:bCs/>
          <w:szCs w:val="20"/>
          <w:lang w:eastAsia="ar-SA"/>
        </w:rPr>
        <w:t> </w:t>
      </w:r>
      <w:r w:rsidR="00F408C2" w:rsidRPr="00753B84">
        <w:rPr>
          <w:rFonts w:ascii="Marianne" w:eastAsia="Times New Roman" w:hAnsi="Marianne"/>
          <w:bCs/>
          <w:szCs w:val="20"/>
          <w:lang w:eastAsia="ar-SA"/>
        </w:rPr>
        <w:t>du sous-traitant en rapport avec les prestations concernées (qualifications professionnelles ou liste des prestations en cours d’exécution ou exécutés au cours des 5 dernières années, indiquant notamment le montant, la date et le destinataire public ou privé).</w:t>
      </w:r>
    </w:p>
    <w:p w:rsidR="00F408C2" w:rsidRDefault="00F408C2" w:rsidP="00C412FE">
      <w:pPr>
        <w:rPr>
          <w:rFonts w:ascii="Marianne" w:eastAsia="Times New Roman" w:hAnsi="Marianne"/>
          <w:b/>
          <w:bCs/>
          <w:caps/>
          <w:szCs w:val="20"/>
          <w:u w:val="single"/>
          <w:lang w:eastAsia="fr-FR"/>
        </w:rPr>
      </w:pP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Le présent contrat est un marché public en application de</w:t>
      </w:r>
      <w:r w:rsidR="007E392B">
        <w:rPr>
          <w:rFonts w:ascii="Marianne" w:hAnsi="Marianne"/>
          <w:szCs w:val="20"/>
        </w:rPr>
        <w:t xml:space="preserve"> l’article </w:t>
      </w:r>
      <w:r w:rsidR="00373808">
        <w:rPr>
          <w:rFonts w:ascii="Marianne" w:hAnsi="Marianne"/>
          <w:szCs w:val="20"/>
        </w:rPr>
        <w:t xml:space="preserve">L2512-3 </w:t>
      </w:r>
      <w:r w:rsidRPr="006176B2">
        <w:rPr>
          <w:rFonts w:ascii="Marianne" w:hAnsi="Marianne"/>
          <w:szCs w:val="20"/>
        </w:rPr>
        <w:t>d</w:t>
      </w:r>
      <w:r w:rsidR="007E392B">
        <w:rPr>
          <w:rFonts w:ascii="Marianne" w:hAnsi="Marianne"/>
          <w:szCs w:val="20"/>
        </w:rPr>
        <w:t>u code de la commande publique, avec mise en publicité.</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001B6D8D">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DB1A52" w:rsidRDefault="00DB1A52" w:rsidP="00F408C2">
      <w:pPr>
        <w:numPr>
          <w:ilvl w:val="0"/>
          <w:numId w:val="30"/>
        </w:numPr>
        <w:rPr>
          <w:rFonts w:ascii="Marianne" w:hAnsi="Marianne"/>
          <w:szCs w:val="20"/>
        </w:rPr>
      </w:pPr>
      <w:r>
        <w:rPr>
          <w:rFonts w:ascii="Marianne" w:hAnsi="Marianne"/>
          <w:szCs w:val="20"/>
        </w:rPr>
        <w:t>Acte d’engagement</w:t>
      </w:r>
    </w:p>
    <w:p w:rsidR="00DB1A52" w:rsidRDefault="00DB1A52" w:rsidP="00F408C2">
      <w:pPr>
        <w:numPr>
          <w:ilvl w:val="0"/>
          <w:numId w:val="30"/>
        </w:numPr>
        <w:rPr>
          <w:rFonts w:ascii="Marianne" w:hAnsi="Marianne"/>
          <w:szCs w:val="20"/>
        </w:rPr>
      </w:pPr>
      <w:r>
        <w:rPr>
          <w:rFonts w:ascii="Marianne" w:hAnsi="Marianne"/>
          <w:szCs w:val="20"/>
        </w:rPr>
        <w:t>Cahier des clauses administratives</w:t>
      </w:r>
    </w:p>
    <w:p w:rsidR="00DB1A52" w:rsidRDefault="00DB1A52" w:rsidP="00F408C2">
      <w:pPr>
        <w:numPr>
          <w:ilvl w:val="0"/>
          <w:numId w:val="30"/>
        </w:numPr>
        <w:rPr>
          <w:rFonts w:ascii="Marianne" w:hAnsi="Marianne"/>
          <w:szCs w:val="20"/>
        </w:rPr>
      </w:pPr>
      <w:r>
        <w:rPr>
          <w:rFonts w:ascii="Marianne" w:hAnsi="Marianne"/>
          <w:szCs w:val="20"/>
        </w:rPr>
        <w:t>Etat de prix forfaitaires</w:t>
      </w:r>
    </w:p>
    <w:p w:rsidR="00DB1A52" w:rsidRDefault="00DB1A52" w:rsidP="00F408C2">
      <w:pPr>
        <w:numPr>
          <w:ilvl w:val="0"/>
          <w:numId w:val="30"/>
        </w:numPr>
        <w:rPr>
          <w:rFonts w:ascii="Marianne" w:hAnsi="Marianne"/>
          <w:szCs w:val="20"/>
        </w:rPr>
      </w:pPr>
      <w:r>
        <w:rPr>
          <w:rFonts w:ascii="Marianne" w:hAnsi="Marianne"/>
          <w:szCs w:val="20"/>
        </w:rPr>
        <w:t>Descriptif des travaux</w:t>
      </w:r>
    </w:p>
    <w:p w:rsidR="00F408C2" w:rsidRPr="006176B2" w:rsidRDefault="00F408C2" w:rsidP="00F408C2">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p>
    <w:p w:rsidR="00F408C2" w:rsidRDefault="00F408C2" w:rsidP="00F408C2">
      <w:pPr>
        <w:ind w:left="720"/>
        <w:rPr>
          <w:rFonts w:ascii="Marianne" w:hAnsi="Marianne"/>
          <w:szCs w:val="20"/>
        </w:rPr>
      </w:pPr>
    </w:p>
    <w:p w:rsidR="007E392B" w:rsidRDefault="007E392B" w:rsidP="00F408C2">
      <w:pPr>
        <w:ind w:left="720"/>
        <w:rPr>
          <w:rFonts w:ascii="Marianne" w:hAnsi="Marianne"/>
          <w:szCs w:val="20"/>
        </w:rPr>
      </w:pPr>
    </w:p>
    <w:p w:rsidR="007E392B" w:rsidRPr="006176B2" w:rsidRDefault="007E392B" w:rsidP="00F408C2">
      <w:pPr>
        <w:ind w:left="720"/>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lastRenderedPageBreak/>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00B849C9">
        <w:rPr>
          <w:rFonts w:ascii="Marianne" w:hAnsi="Marianne"/>
          <w:szCs w:val="20"/>
        </w:rPr>
        <w:t xml:space="preserve">de </w:t>
      </w:r>
      <w:r w:rsidR="001B6D8D">
        <w:rPr>
          <w:rFonts w:ascii="Marianne" w:hAnsi="Marianne"/>
          <w:szCs w:val="20"/>
        </w:rPr>
        <w:t>PI</w:t>
      </w:r>
      <w:r w:rsidRPr="00B06225">
        <w:rPr>
          <w:rFonts w:ascii="Marianne" w:hAnsi="Marianne"/>
          <w:szCs w:val="20"/>
        </w:rPr>
        <w:t>,</w:t>
      </w:r>
      <w:r w:rsidRPr="006176B2">
        <w:rPr>
          <w:rFonts w:ascii="Marianne" w:hAnsi="Marianne"/>
          <w:szCs w:val="20"/>
        </w:rPr>
        <w:t xml:space="preserve"> approuvé par arrêté du 30 mars 2021.</w:t>
      </w:r>
    </w:p>
    <w:p w:rsidR="00DB1A52" w:rsidRDefault="00DB1A52" w:rsidP="00F408C2">
      <w:pPr>
        <w:rPr>
          <w:rFonts w:ascii="Marianne" w:hAnsi="Marianne"/>
          <w:szCs w:val="20"/>
        </w:rPr>
      </w:pPr>
    </w:p>
    <w:p w:rsidR="00F408C2" w:rsidRPr="00753B84" w:rsidRDefault="00F408C2" w:rsidP="00F408C2">
      <w:pPr>
        <w:rPr>
          <w:rFonts w:ascii="Marianne" w:hAnsi="Marianne"/>
          <w:szCs w:val="20"/>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9C4109" w:rsidRDefault="00DB1A52" w:rsidP="00F408C2">
      <w:pPr>
        <w:rPr>
          <w:rFonts w:ascii="Marianne" w:hAnsi="Marianne"/>
          <w:szCs w:val="20"/>
        </w:rPr>
      </w:pPr>
      <w:r>
        <w:rPr>
          <w:rFonts w:ascii="Marianne" w:hAnsi="Marianne"/>
          <w:szCs w:val="20"/>
        </w:rPr>
        <w:t>Les prix sont révisables.</w:t>
      </w:r>
    </w:p>
    <w:p w:rsidR="00DB1A52" w:rsidRDefault="00DB1A52" w:rsidP="00F408C2">
      <w:pPr>
        <w:rPr>
          <w:rFonts w:ascii="Marianne" w:hAnsi="Marianne"/>
          <w:szCs w:val="20"/>
        </w:rPr>
      </w:pPr>
    </w:p>
    <w:p w:rsidR="00DB1A52" w:rsidRPr="00DB1A52" w:rsidRDefault="00DB1A52" w:rsidP="00DB1A52">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mois zéro, </w:t>
      </w:r>
      <w:r w:rsidRPr="00DB1A52">
        <w:rPr>
          <w:rFonts w:ascii="Marianne" w:hAnsi="Marianne" w:cs="Calibri"/>
          <w:szCs w:val="20"/>
        </w:rPr>
        <w:t>correspondant au mois précédent la remise des offres.</w:t>
      </w:r>
    </w:p>
    <w:p w:rsidR="00DB1A52" w:rsidRPr="00DB1A52" w:rsidRDefault="00DB1A52" w:rsidP="00DB1A52">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Le coefficient de révision </w:t>
      </w: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applicable pour le calcul des règlements partiels définitifs et du solde est donné par la formule :</w:t>
      </w:r>
    </w:p>
    <w:p w:rsidR="00DB1A52" w:rsidRPr="00DB1A52" w:rsidRDefault="00DB1A52" w:rsidP="00DB1A52">
      <w:pPr>
        <w:autoSpaceDE w:val="0"/>
        <w:autoSpaceDN w:val="0"/>
        <w:adjustRightInd w:val="0"/>
        <w:spacing w:after="0"/>
        <w:jc w:val="center"/>
        <w:rPr>
          <w:rFonts w:ascii="Marianne" w:eastAsia="Times New Roman" w:hAnsi="Marianne" w:cs="Calibri"/>
          <w:iCs/>
          <w:szCs w:val="20"/>
          <w:lang w:eastAsia="fr-FR"/>
        </w:rPr>
      </w:pP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 0,125 + 0,875 (</w:t>
      </w:r>
      <w:r w:rsidRPr="00DB1A52">
        <w:rPr>
          <w:rFonts w:ascii="Marianne" w:eastAsia="Times New Roman" w:hAnsi="Marianne" w:cs="Calibri"/>
          <w:iCs/>
          <w:szCs w:val="20"/>
          <w:lang w:eastAsia="fr-FR"/>
        </w:rPr>
        <w:t>In/Io)</w:t>
      </w:r>
    </w:p>
    <w:p w:rsidR="00DB1A52" w:rsidRPr="00DB1A52" w:rsidRDefault="00DB1A52" w:rsidP="00DB1A52">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proofErr w:type="gramStart"/>
      <w:r w:rsidRPr="00DB1A52">
        <w:rPr>
          <w:rFonts w:ascii="Marianne" w:eastAsia="Times New Roman" w:hAnsi="Marianne" w:cs="Calibri"/>
          <w:szCs w:val="20"/>
          <w:lang w:eastAsia="fr-FR"/>
        </w:rPr>
        <w:t>au</w:t>
      </w:r>
      <w:proofErr w:type="gramEnd"/>
      <w:r w:rsidRPr="00DB1A52">
        <w:rPr>
          <w:rFonts w:ascii="Marianne" w:eastAsia="Times New Roman" w:hAnsi="Marianne" w:cs="Calibri"/>
          <w:szCs w:val="20"/>
          <w:lang w:eastAsia="fr-FR"/>
        </w:rPr>
        <w:t xml:space="preserve">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proofErr w:type="spellStart"/>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w:t>
      </w:r>
      <w:proofErr w:type="spellEnd"/>
      <w:r w:rsidRPr="00DB1A52">
        <w:rPr>
          <w:rFonts w:ascii="Marianne" w:eastAsia="Times New Roman" w:hAnsi="Marianne" w:cs="Calibri"/>
          <w:szCs w:val="20"/>
          <w:lang w:eastAsia="fr-FR"/>
        </w:rPr>
        <w:t xml:space="preserve"> :</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B1A52" w:rsidRPr="00DB1A52" w:rsidRDefault="00DB1A52" w:rsidP="00DB1A52">
      <w:pPr>
        <w:rPr>
          <w:rFonts w:ascii="Calibri" w:eastAsia="Times New Roman" w:hAnsi="Calibri" w:cs="Calibri"/>
          <w:sz w:val="24"/>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sidRPr="00DB1A52">
        <w:rPr>
          <w:rFonts w:ascii="Marianne" w:eastAsia="Times New Roman" w:hAnsi="Marianne" w:cs="Calibri"/>
          <w:szCs w:val="20"/>
          <w:lang w:eastAsia="fr-FR"/>
        </w:rPr>
        <w:t xml:space="preserve"> – Ingénierie – base 2010.</w:t>
      </w:r>
      <w:r w:rsidRPr="00DB1A52">
        <w:rPr>
          <w:rFonts w:ascii="Calibri" w:eastAsia="Times New Roman" w:hAnsi="Calibri" w:cs="Calibri"/>
          <w:sz w:val="24"/>
          <w:lang w:eastAsia="fr-FR"/>
        </w:rPr>
        <w:tab/>
      </w:r>
    </w:p>
    <w:p w:rsidR="00DB1A52" w:rsidRDefault="00DB1A52" w:rsidP="00F408C2">
      <w:pPr>
        <w:rPr>
          <w:rFonts w:ascii="Marianne" w:hAnsi="Marianne"/>
          <w:szCs w:val="20"/>
        </w:rPr>
      </w:pPr>
      <w:r>
        <w:rPr>
          <w:rFonts w:ascii="Marianne" w:hAnsi="Marianne"/>
          <w:szCs w:val="20"/>
        </w:rPr>
        <w:t>Une facture pourra être établie à l’issue de chaque phase technique.</w:t>
      </w:r>
    </w:p>
    <w:p w:rsidR="00DB1A52" w:rsidRDefault="00DB1A52" w:rsidP="00F408C2">
      <w:pPr>
        <w:rPr>
          <w:rFonts w:ascii="Marianne" w:hAnsi="Marianne"/>
          <w:szCs w:val="20"/>
        </w:rPr>
      </w:pP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hyperlink r:id="rId10" w:history="1">
        <w:r w:rsidRPr="006176B2">
          <w:rPr>
            <w:rStyle w:val="Lienhypertexte"/>
            <w:rFonts w:ascii="Marianne" w:hAnsi="Marianne" w:cs="Calibri"/>
            <w:szCs w:val="20"/>
          </w:rPr>
          <w:t>https://chorus-pro.gouv.fr</w:t>
        </w:r>
      </w:hyperlink>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Pr="006176B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Pr="006176B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27" w:name="_Toc64554780"/>
      <w:r w:rsidRPr="006176B2">
        <w:rPr>
          <w:rFonts w:ascii="Marianne" w:hAnsi="Marianne"/>
          <w:b/>
          <w:sz w:val="22"/>
          <w:szCs w:val="20"/>
          <w:u w:val="single"/>
        </w:rPr>
        <w:t>PRESTATIONS INTERESSANT LA DEFENSE – MESURE DE SECURITE</w:t>
      </w:r>
      <w:bookmarkEnd w:id="27"/>
    </w:p>
    <w:p w:rsidR="00F408C2" w:rsidRDefault="00F408C2" w:rsidP="00F408C2">
      <w:pPr>
        <w:rPr>
          <w:rFonts w:ascii="Marianne" w:hAnsi="Marianne"/>
          <w:szCs w:val="20"/>
        </w:rPr>
      </w:pPr>
      <w:bookmarkStart w:id="28" w:name="_Toc476110521"/>
      <w:bookmarkStart w:id="29" w:name="Contrat_sensible2"/>
      <w:bookmarkEnd w:id="28"/>
      <w:r w:rsidRPr="006176B2">
        <w:rPr>
          <w:rFonts w:ascii="Marianne" w:hAnsi="Marianne"/>
          <w:szCs w:val="20"/>
        </w:rPr>
        <w:t xml:space="preserve">Les prestations faisant l’objet du présent marché intéressent la défense, le titulaire doit, en conséquence, se conformer aux stipulations de l’article 5.3 du </w:t>
      </w:r>
      <w:r w:rsidR="00DB1A52">
        <w:rPr>
          <w:rFonts w:ascii="Marianne" w:hAnsi="Marianne"/>
          <w:szCs w:val="20"/>
        </w:rPr>
        <w:t>CCAG/PI</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30" w:name="_Toc64554802"/>
      <w:bookmarkStart w:id="31" w:name="_Toc476110559"/>
      <w:bookmarkStart w:id="32" w:name="_Toc38338464"/>
      <w:bookmarkStart w:id="33" w:name="_Toc412536684"/>
      <w:bookmarkStart w:id="34" w:name="_Toc413825451"/>
      <w:bookmarkStart w:id="35" w:name="_Toc413825627"/>
      <w:bookmarkStart w:id="36" w:name="_Toc413826011"/>
      <w:bookmarkStart w:id="37" w:name="_Toc413826162"/>
      <w:bookmarkStart w:id="38" w:name="_Toc413826805"/>
      <w:bookmarkStart w:id="39" w:name="_Toc413826929"/>
      <w:bookmarkStart w:id="40" w:name="_Toc413826965"/>
      <w:bookmarkStart w:id="41" w:name="_Toc413827232"/>
      <w:bookmarkStart w:id="42" w:name="_Toc413827508"/>
      <w:bookmarkStart w:id="43" w:name="_Toc413827633"/>
      <w:bookmarkStart w:id="44" w:name="_Toc413827767"/>
      <w:bookmarkStart w:id="45" w:name="_Toc413827845"/>
      <w:bookmarkStart w:id="46" w:name="_Toc413827963"/>
      <w:bookmarkStart w:id="47" w:name="_Toc413828063"/>
      <w:bookmarkStart w:id="48" w:name="_Toc413828144"/>
      <w:bookmarkStart w:id="49" w:name="_Toc413830885"/>
      <w:bookmarkStart w:id="50" w:name="_Toc413830976"/>
      <w:bookmarkStart w:id="51" w:name="_Toc413831291"/>
      <w:bookmarkStart w:id="52" w:name="_Toc413831381"/>
      <w:bookmarkStart w:id="53" w:name="_Toc413831630"/>
      <w:bookmarkStart w:id="54" w:name="_Toc413831746"/>
      <w:bookmarkStart w:id="55" w:name="_Toc413831778"/>
      <w:bookmarkStart w:id="56" w:name="_Toc413942598"/>
      <w:bookmarkStart w:id="57" w:name="_Toc416362019"/>
      <w:bookmarkStart w:id="58" w:name="_Toc416688277"/>
      <w:bookmarkStart w:id="59" w:name="_Toc416762030"/>
      <w:bookmarkStart w:id="60" w:name="_Toc416762069"/>
      <w:bookmarkStart w:id="61" w:name="_Toc416762108"/>
      <w:bookmarkStart w:id="62" w:name="_Toc416768309"/>
      <w:bookmarkStart w:id="63" w:name="_Toc416873022"/>
      <w:bookmarkStart w:id="64" w:name="_Toc416943771"/>
      <w:bookmarkStart w:id="65" w:name="_Toc416943847"/>
      <w:bookmarkStart w:id="66" w:name="_Toc417907505"/>
      <w:bookmarkStart w:id="67" w:name="_Toc417911765"/>
      <w:bookmarkStart w:id="68" w:name="_Toc417912003"/>
      <w:bookmarkStart w:id="69" w:name="_Toc417912176"/>
      <w:bookmarkStart w:id="70" w:name="_Toc417912214"/>
      <w:bookmarkStart w:id="71" w:name="_Toc417912420"/>
      <w:bookmarkStart w:id="72" w:name="_Toc417912490"/>
      <w:bookmarkStart w:id="73" w:name="_Toc417912655"/>
      <w:bookmarkStart w:id="74" w:name="_Toc417912693"/>
      <w:bookmarkStart w:id="75" w:name="_Toc417912731"/>
      <w:bookmarkStart w:id="76" w:name="_Toc417912769"/>
      <w:bookmarkStart w:id="77" w:name="_Toc417913643"/>
      <w:bookmarkStart w:id="78" w:name="_Toc417913768"/>
      <w:bookmarkStart w:id="79" w:name="_Toc417914199"/>
      <w:bookmarkStart w:id="80" w:name="_Toc417914555"/>
      <w:bookmarkStart w:id="81" w:name="_Toc417914593"/>
      <w:bookmarkStart w:id="82" w:name="_Toc417914631"/>
      <w:bookmarkStart w:id="83" w:name="_Toc417914990"/>
      <w:bookmarkStart w:id="84" w:name="_Toc417915748"/>
      <w:bookmarkStart w:id="85" w:name="_Toc417916242"/>
      <w:bookmarkStart w:id="86" w:name="_Toc417916358"/>
      <w:bookmarkStart w:id="87" w:name="_Toc418060199"/>
      <w:bookmarkStart w:id="88" w:name="_Toc418066256"/>
      <w:bookmarkStart w:id="89" w:name="_Toc418084473"/>
      <w:bookmarkStart w:id="90" w:name="_Toc418775937"/>
      <w:bookmarkStart w:id="91" w:name="_Toc418778106"/>
      <w:bookmarkStart w:id="92" w:name="_Toc418778168"/>
      <w:bookmarkStart w:id="93" w:name="_Toc418778204"/>
      <w:bookmarkStart w:id="94" w:name="_Toc418778240"/>
      <w:bookmarkStart w:id="95" w:name="_Toc418778430"/>
      <w:bookmarkStart w:id="96" w:name="_Toc418778474"/>
      <w:bookmarkStart w:id="97" w:name="_Toc418778759"/>
      <w:bookmarkStart w:id="98" w:name="_Toc419817590"/>
      <w:bookmarkStart w:id="99" w:name="_Toc419817629"/>
      <w:bookmarkStart w:id="100" w:name="_Toc419874828"/>
      <w:bookmarkStart w:id="101" w:name="_Toc419874960"/>
      <w:bookmarkStart w:id="102" w:name="_Toc419876395"/>
      <w:bookmarkStart w:id="103" w:name="_Toc419876434"/>
      <w:bookmarkStart w:id="104" w:name="_Toc419876499"/>
      <w:bookmarkStart w:id="105" w:name="_Toc419876619"/>
      <w:bookmarkStart w:id="106" w:name="_Toc419877657"/>
      <w:bookmarkStart w:id="107" w:name="_Toc419878225"/>
      <w:bookmarkStart w:id="108" w:name="_Toc419878263"/>
      <w:bookmarkStart w:id="109" w:name="_Toc419883266"/>
      <w:bookmarkStart w:id="110" w:name="_Toc419890030"/>
      <w:bookmarkStart w:id="111" w:name="_Toc419890089"/>
      <w:bookmarkStart w:id="112" w:name="_Toc419895673"/>
      <w:bookmarkStart w:id="113" w:name="_Toc419895771"/>
      <w:bookmarkStart w:id="114" w:name="_Toc419896020"/>
      <w:bookmarkStart w:id="115" w:name="_Toc419896063"/>
      <w:bookmarkStart w:id="116" w:name="_Toc419896255"/>
      <w:bookmarkStart w:id="117" w:name="_Toc419896294"/>
      <w:bookmarkStart w:id="118" w:name="_Toc419896333"/>
      <w:bookmarkStart w:id="119" w:name="_Toc419896385"/>
      <w:bookmarkStart w:id="120" w:name="_Toc419896643"/>
      <w:bookmarkStart w:id="121" w:name="_Toc419896899"/>
      <w:bookmarkStart w:id="122" w:name="_Toc419896938"/>
      <w:bookmarkEnd w:id="29"/>
      <w:r w:rsidRPr="006176B2">
        <w:rPr>
          <w:rFonts w:ascii="Marianne" w:hAnsi="Marianne"/>
          <w:b/>
          <w:sz w:val="22"/>
          <w:szCs w:val="20"/>
          <w:u w:val="single"/>
        </w:rPr>
        <w:t>PENALITES</w:t>
      </w:r>
      <w:bookmarkEnd w:id="30"/>
      <w:r w:rsidRPr="006176B2">
        <w:rPr>
          <w:rFonts w:ascii="Marianne" w:hAnsi="Marianne"/>
          <w:b/>
          <w:sz w:val="22"/>
          <w:szCs w:val="20"/>
          <w:u w:val="single"/>
        </w:rPr>
        <w:t xml:space="preserve"> DE RETARD</w:t>
      </w:r>
    </w:p>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001B6D8D">
        <w:rPr>
          <w:rFonts w:ascii="Marianne" w:hAnsi="Marianne"/>
          <w:szCs w:val="20"/>
        </w:rPr>
        <w:t>PI</w:t>
      </w:r>
      <w:r w:rsidRPr="00B06225">
        <w:rPr>
          <w:rFonts w:ascii="Marianne" w:hAnsi="Marianne"/>
          <w:szCs w:val="20"/>
        </w:rPr>
        <w:t xml:space="preserve">, </w:t>
      </w:r>
      <w:bookmarkStart w:id="123"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lastRenderedPageBreak/>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3"/>
      <w:r w:rsidRPr="006176B2">
        <w:rPr>
          <w:rFonts w:ascii="Marianne" w:hAnsi="Marianne"/>
        </w:rPr>
        <w:t>.</w:t>
      </w:r>
    </w:p>
    <w:p w:rsidR="00185DFF" w:rsidRDefault="00185DFF" w:rsidP="00C412FE">
      <w:pPr>
        <w:rPr>
          <w:rFonts w:ascii="Marianne" w:eastAsia="Times New Roman" w:hAnsi="Marianne"/>
          <w:b/>
          <w:bCs/>
          <w:caps/>
          <w:szCs w:val="20"/>
          <w:u w:val="single"/>
          <w:lang w:eastAsia="fr-FR"/>
        </w:rPr>
      </w:pPr>
    </w:p>
    <w:p w:rsidR="00DB1A52" w:rsidRDefault="00DB1A52" w:rsidP="00F408C2">
      <w:pPr>
        <w:rPr>
          <w:rFonts w:ascii="Marianne" w:hAnsi="Marianne"/>
          <w:b/>
          <w:sz w:val="22"/>
          <w:u w:val="single"/>
        </w:rPr>
      </w:pPr>
    </w:p>
    <w:p w:rsidR="00F408C2" w:rsidRPr="006176B2" w:rsidRDefault="00F408C2" w:rsidP="00F408C2">
      <w:pPr>
        <w:rPr>
          <w:rFonts w:ascii="Marianne" w:hAnsi="Marianne"/>
          <w:b/>
          <w:sz w:val="22"/>
          <w:u w:val="single"/>
        </w:rPr>
      </w:pPr>
      <w:r w:rsidRPr="006176B2">
        <w:rPr>
          <w:rFonts w:ascii="Marianne" w:hAnsi="Marianne"/>
          <w:b/>
          <w:sz w:val="22"/>
          <w:u w:val="single"/>
        </w:rPr>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24" w:name="_Toc63323229"/>
      <w:bookmarkStart w:id="125" w:name="_Toc63152521"/>
      <w:bookmarkStart w:id="126" w:name="_Toc84844890"/>
      <w:r>
        <w:rPr>
          <w:rFonts w:ascii="Marianne" w:hAnsi="Marianne"/>
        </w:rPr>
        <w:t>ne soit pas anormalement basse.</w:t>
      </w: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27" w:name="_Toc63323230"/>
      <w:bookmarkStart w:id="128" w:name="_Toc63152522"/>
      <w:bookmarkStart w:id="129" w:name="_Toc84844891"/>
      <w:bookmarkEnd w:id="124"/>
      <w:bookmarkEnd w:id="125"/>
      <w:bookmarkEnd w:id="126"/>
    </w:p>
    <w:bookmarkEnd w:id="127"/>
    <w:bookmarkEnd w:id="128"/>
    <w:bookmarkEnd w:id="129"/>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une</w:t>
      </w:r>
      <w:proofErr w:type="gramEnd"/>
      <w:r w:rsidRPr="00FC7760">
        <w:rPr>
          <w:rFonts w:ascii="Marianne" w:hAnsi="Marianne"/>
          <w:szCs w:val="20"/>
        </w:rPr>
        <w:t xml:space="preserv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w:t>
      </w:r>
      <w:proofErr w:type="gramEnd"/>
      <w:r w:rsidRPr="00FC7760">
        <w:rPr>
          <w:rFonts w:ascii="Marianne" w:hAnsi="Marianne"/>
          <w:szCs w:val="20"/>
        </w:rPr>
        <w:t xml:space="preserve">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proofErr w:type="gramStart"/>
      <w:r w:rsidRPr="00FC7760">
        <w:rPr>
          <w:rFonts w:ascii="Marianne" w:hAnsi="Marianne"/>
          <w:szCs w:val="20"/>
        </w:rPr>
        <w:t>le</w:t>
      </w:r>
      <w:proofErr w:type="gramEnd"/>
      <w:r w:rsidRPr="00FC7760">
        <w:rPr>
          <w:rFonts w:ascii="Marianne" w:hAnsi="Marianne"/>
          <w:szCs w:val="20"/>
        </w:rPr>
        <w:t xml:space="preserv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Pr="00FC7760" w:rsidRDefault="00F408C2" w:rsidP="00F408C2">
      <w:pPr>
        <w:spacing w:after="200"/>
        <w:contextualSpacing/>
        <w:rPr>
          <w:rFonts w:ascii="Marianne" w:hAnsi="Marianne"/>
          <w:szCs w:val="20"/>
        </w:rPr>
      </w:pPr>
    </w:p>
    <w:p w:rsidR="00F408C2" w:rsidRDefault="00F408C2" w:rsidP="00F408C2">
      <w:pPr>
        <w:rPr>
          <w:rFonts w:ascii="Marianne" w:hAnsi="Marianne"/>
          <w:szCs w:val="20"/>
        </w:rPr>
      </w:pPr>
      <w:r w:rsidRPr="00FC7760">
        <w:rPr>
          <w:rFonts w:ascii="Marianne" w:hAnsi="Marianne"/>
          <w:szCs w:val="20"/>
        </w:rPr>
        <w:t>Les pièces et attesta</w:t>
      </w:r>
      <w:r>
        <w:rPr>
          <w:rFonts w:ascii="Marianne" w:hAnsi="Marianne"/>
          <w:szCs w:val="20"/>
        </w:rPr>
        <w:t>tions mentionnées ci-dessus peuvent être</w:t>
      </w:r>
      <w:r w:rsidRPr="00FC7760">
        <w:rPr>
          <w:rFonts w:ascii="Marianne" w:hAnsi="Marianne"/>
          <w:szCs w:val="20"/>
        </w:rPr>
        <w:t xml:space="preserve"> déposées par le titulaire sur la plateforme en ligne e-Attestations mise </w:t>
      </w:r>
      <w:r>
        <w:rPr>
          <w:rFonts w:ascii="Marianne" w:hAnsi="Marianne"/>
          <w:szCs w:val="20"/>
        </w:rPr>
        <w:t xml:space="preserve">à sa disposition, gratuitement. </w:t>
      </w:r>
      <w:r w:rsidRPr="00FC7760">
        <w:rPr>
          <w:rFonts w:ascii="Marianne" w:hAnsi="Marianne"/>
          <w:szCs w:val="20"/>
        </w:rPr>
        <w:t>Plus d’informations sont disp</w:t>
      </w:r>
      <w:r>
        <w:rPr>
          <w:rFonts w:ascii="Marianne" w:hAnsi="Marianne"/>
          <w:szCs w:val="20"/>
        </w:rPr>
        <w:t xml:space="preserve">onibles, à l’adresse suivante : </w:t>
      </w:r>
      <w:hyperlink r:id="rId11" w:history="1">
        <w:r w:rsidRPr="0023720F">
          <w:rPr>
            <w:rStyle w:val="Lienhypertexte"/>
            <w:rFonts w:ascii="Marianne" w:hAnsi="Marianne"/>
            <w:szCs w:val="20"/>
          </w:rPr>
          <w:t>https://www.eattestations.com/index.php/comment-ca-marche/pour-les-declarants</w:t>
        </w:r>
      </w:hyperlink>
    </w:p>
    <w:p w:rsidR="00F408C2" w:rsidRDefault="00F408C2" w:rsidP="00C412FE">
      <w:pPr>
        <w:rPr>
          <w:rFonts w:ascii="Marianne" w:eastAsia="Times New Roman" w:hAnsi="Marianne"/>
          <w:b/>
          <w:bCs/>
          <w:caps/>
          <w:szCs w:val="20"/>
          <w:u w:val="single"/>
          <w:lang w:eastAsia="fr-FR"/>
        </w:rPr>
      </w:pPr>
    </w:p>
    <w:p w:rsidR="00F3098E" w:rsidRDefault="00F3098E" w:rsidP="00C412FE">
      <w:pPr>
        <w:rPr>
          <w:rFonts w:ascii="Marianne" w:eastAsia="Times New Roman" w:hAnsi="Marianne"/>
          <w:b/>
          <w:bCs/>
          <w:caps/>
          <w:szCs w:val="20"/>
          <w:u w:val="single"/>
          <w:lang w:eastAsia="fr-FR"/>
        </w:rPr>
      </w:pPr>
    </w:p>
    <w:p w:rsidR="00F3098E" w:rsidRDefault="00F3098E" w:rsidP="00F3098E">
      <w:pPr>
        <w:rPr>
          <w:rFonts w:ascii="Marianne" w:hAnsi="Marianne"/>
          <w:b/>
          <w:sz w:val="22"/>
          <w:szCs w:val="24"/>
          <w:u w:val="single"/>
        </w:rPr>
      </w:pPr>
      <w:r>
        <w:rPr>
          <w:rFonts w:ascii="Marianne" w:hAnsi="Marianne"/>
          <w:b/>
          <w:sz w:val="22"/>
          <w:u w:val="single"/>
        </w:rPr>
        <w:t>ARTICLE 13</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TRANSMISSION DES DOCUMENTS MARQUES «</w:t>
      </w:r>
      <w:r>
        <w:rPr>
          <w:rFonts w:ascii="Calibri" w:hAnsi="Calibri" w:cs="Calibri"/>
          <w:b/>
          <w:sz w:val="22"/>
          <w:szCs w:val="24"/>
          <w:u w:val="single"/>
        </w:rPr>
        <w:t> </w:t>
      </w:r>
      <w:r>
        <w:rPr>
          <w:rFonts w:ascii="Marianne" w:hAnsi="Marianne"/>
          <w:b/>
          <w:sz w:val="22"/>
          <w:szCs w:val="24"/>
          <w:u w:val="single"/>
        </w:rPr>
        <w:t>DIFFUSION RESTREINTE</w:t>
      </w:r>
      <w:r>
        <w:rPr>
          <w:rFonts w:ascii="Calibri" w:hAnsi="Calibri" w:cs="Calibri"/>
          <w:b/>
          <w:sz w:val="22"/>
          <w:szCs w:val="24"/>
          <w:u w:val="single"/>
        </w:rPr>
        <w:t> </w:t>
      </w:r>
      <w:r>
        <w:rPr>
          <w:rFonts w:ascii="Marianne" w:hAnsi="Marianne" w:cs="Marianne"/>
          <w:b/>
          <w:sz w:val="22"/>
          <w:szCs w:val="24"/>
          <w:u w:val="single"/>
        </w:rPr>
        <w:t>»</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s="TimesNewRomanPSMT"/>
          <w:color w:val="000000"/>
          <w:szCs w:val="20"/>
          <w:lang w:eastAsia="fr-FR"/>
        </w:rPr>
        <w:t xml:space="preserve">Au cours de l’exécution du marché, les documents marqués « </w:t>
      </w:r>
      <w:r w:rsidRPr="00F3098E">
        <w:rPr>
          <w:rFonts w:ascii="Marianne" w:hAnsi="Marianne"/>
          <w:color w:val="000000"/>
          <w:szCs w:val="20"/>
          <w:lang w:eastAsia="fr-FR"/>
        </w:rPr>
        <w:t>diffusion restreinte » sont</w:t>
      </w:r>
      <w:r w:rsidR="00A777EE">
        <w:rPr>
          <w:rFonts w:ascii="Marianne" w:hAnsi="Marianne"/>
          <w:color w:val="000000"/>
          <w:szCs w:val="20"/>
          <w:lang w:eastAsia="fr-FR"/>
        </w:rPr>
        <w:t xml:space="preserve"> </w:t>
      </w:r>
      <w:r w:rsidRPr="00F3098E">
        <w:rPr>
          <w:rFonts w:ascii="Marianne" w:hAnsi="Marianne"/>
          <w:color w:val="000000"/>
          <w:szCs w:val="20"/>
          <w:lang w:eastAsia="fr-FR"/>
        </w:rPr>
        <w:t>transmis</w:t>
      </w:r>
      <w:r w:rsidR="00A777EE">
        <w:rPr>
          <w:rFonts w:ascii="Marianne" w:hAnsi="Marianne"/>
          <w:color w:val="000000"/>
          <w:szCs w:val="20"/>
          <w:lang w:eastAsia="fr-FR"/>
        </w:rPr>
        <w:t xml:space="preserve"> selon les modalités ci-après.</w:t>
      </w:r>
    </w:p>
    <w:p w:rsidR="00DB1A52" w:rsidRPr="00A777EE" w:rsidRDefault="00A777EE" w:rsidP="00F3098E">
      <w:pPr>
        <w:autoSpaceDE w:val="0"/>
        <w:autoSpaceDN w:val="0"/>
        <w:adjustRightInd w:val="0"/>
        <w:spacing w:after="0"/>
        <w:rPr>
          <w:rFonts w:ascii="Marianne" w:hAnsi="Marianne" w:cs="TimesNewRomanPSMT"/>
          <w:color w:val="000000"/>
          <w:szCs w:val="20"/>
        </w:rPr>
      </w:pPr>
      <w:r>
        <w:rPr>
          <w:rFonts w:ascii="Marianne" w:hAnsi="Marianne" w:cs="TimesNewRomanPSMT"/>
          <w:color w:val="000000"/>
          <w:szCs w:val="20"/>
        </w:rPr>
        <w:t xml:space="preserve"> Le </w:t>
      </w:r>
      <w:r w:rsidR="00DB1A52" w:rsidRPr="00A777EE">
        <w:rPr>
          <w:rFonts w:ascii="Marianne" w:hAnsi="Marianne" w:cs="TimesNewRomanPSMT"/>
          <w:color w:val="000000"/>
          <w:szCs w:val="20"/>
        </w:rPr>
        <w:t>chargé d’affaire réceptionne l’engagement de non divulgation des informations</w:t>
      </w:r>
      <w:r>
        <w:rPr>
          <w:rFonts w:ascii="Marianne" w:hAnsi="Marianne" w:cs="TimesNewRomanPSMT"/>
          <w:color w:val="000000"/>
          <w:szCs w:val="20"/>
        </w:rPr>
        <w:t xml:space="preserve"> </w:t>
      </w:r>
      <w:r w:rsidR="00DB1A52" w:rsidRPr="00F3098E">
        <w:rPr>
          <w:rFonts w:ascii="Marianne" w:hAnsi="Marianne"/>
          <w:color w:val="000000"/>
          <w:szCs w:val="20"/>
          <w:lang w:eastAsia="fr-FR"/>
        </w:rPr>
        <w:t>et supports "</w:t>
      </w:r>
      <w:r w:rsidR="00DB1A52" w:rsidRPr="00F3098E">
        <w:rPr>
          <w:rFonts w:ascii="Marianne" w:hAnsi="Marianne"/>
          <w:i/>
          <w:iCs/>
          <w:color w:val="FF0000"/>
          <w:szCs w:val="20"/>
          <w:lang w:eastAsia="fr-FR"/>
        </w:rPr>
        <w:t>Diffusion Restreinte</w:t>
      </w:r>
      <w:r w:rsidR="00DB1A52" w:rsidRPr="00F3098E">
        <w:rPr>
          <w:rFonts w:ascii="Marianne" w:hAnsi="Marianne"/>
          <w:color w:val="000000"/>
          <w:szCs w:val="20"/>
          <w:lang w:eastAsia="fr-FR"/>
        </w:rPr>
        <w:t xml:space="preserve">" </w:t>
      </w:r>
      <w:r>
        <w:rPr>
          <w:rFonts w:ascii="Marianne" w:hAnsi="Marianne"/>
          <w:color w:val="000000"/>
          <w:szCs w:val="20"/>
          <w:lang w:eastAsia="fr-FR"/>
        </w:rPr>
        <w:t>du titulaire et lui</w:t>
      </w:r>
      <w:r w:rsidR="00DB1A52" w:rsidRPr="00F3098E">
        <w:rPr>
          <w:rFonts w:ascii="Marianne" w:hAnsi="Marianne"/>
          <w:color w:val="000000"/>
          <w:szCs w:val="20"/>
          <w:lang w:eastAsia="fr-FR"/>
        </w:rPr>
        <w:t xml:space="preserve"> transmet les documents « diffusion restreinte » :</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Soit par une remise en main propre</w:t>
      </w:r>
    </w:p>
    <w:p w:rsidR="00DB1A52" w:rsidRPr="00F3098E" w:rsidRDefault="00DB1A52" w:rsidP="00F3098E">
      <w:pPr>
        <w:autoSpaceDE w:val="0"/>
        <w:autoSpaceDN w:val="0"/>
        <w:adjustRightInd w:val="0"/>
        <w:spacing w:after="0"/>
        <w:rPr>
          <w:rFonts w:ascii="Marianne" w:hAnsi="Marianne" w:cs="TimesNewRomanPSMT"/>
          <w:color w:val="000000"/>
          <w:szCs w:val="20"/>
          <w:lang w:eastAsia="fr-FR"/>
        </w:rPr>
      </w:pPr>
      <w:r w:rsidRPr="00F3098E">
        <w:rPr>
          <w:rFonts w:ascii="Marianne" w:hAnsi="Marianne"/>
          <w:color w:val="000000"/>
          <w:szCs w:val="20"/>
          <w:lang w:eastAsia="fr-FR"/>
        </w:rPr>
        <w:t xml:space="preserve">- Soit par courrier, en recommandé avec accusé de réception </w:t>
      </w:r>
      <w:r w:rsidRPr="00F3098E">
        <w:rPr>
          <w:rFonts w:ascii="Marianne" w:hAnsi="Marianne" w:cs="TimesNewRomanPSMT"/>
          <w:color w:val="000000"/>
          <w:szCs w:val="20"/>
          <w:lang w:eastAsia="fr-FR"/>
        </w:rPr>
        <w:t>: la transmission s’effectu</w:t>
      </w:r>
      <w:r w:rsidR="00F3098E">
        <w:rPr>
          <w:rFonts w:ascii="Marianne" w:hAnsi="Marianne" w:cs="TimesNewRomanPSMT"/>
          <w:color w:val="000000"/>
          <w:szCs w:val="20"/>
          <w:lang w:eastAsia="fr-FR"/>
        </w:rPr>
        <w:t xml:space="preserve">e </w:t>
      </w:r>
      <w:r w:rsidRPr="00F3098E">
        <w:rPr>
          <w:rFonts w:ascii="Marianne" w:hAnsi="Marianne"/>
          <w:color w:val="000000"/>
          <w:szCs w:val="20"/>
          <w:lang w:eastAsia="fr-FR"/>
        </w:rPr>
        <w:t>sous double enveloppe, l'enveloppe intérieure portant la mention diffusion restreinte et</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les références du document, l'enveloppe extérieure ne comportant que les indications</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nécessaires à la transmission</w:t>
      </w:r>
    </w:p>
    <w:p w:rsidR="00F26644"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xml:space="preserve">- Soit par moyen électronique </w:t>
      </w:r>
      <w:r w:rsidRPr="00F3098E">
        <w:rPr>
          <w:rFonts w:ascii="Marianne" w:hAnsi="Marianne" w:cs="TimesNewRomanPSMT"/>
          <w:color w:val="000000"/>
          <w:szCs w:val="20"/>
          <w:lang w:eastAsia="fr-FR"/>
        </w:rPr>
        <w:t>: les informations doive</w:t>
      </w:r>
      <w:r w:rsidR="00F3098E">
        <w:rPr>
          <w:rFonts w:ascii="Marianne" w:hAnsi="Marianne" w:cs="TimesNewRomanPSMT"/>
          <w:color w:val="000000"/>
          <w:szCs w:val="20"/>
          <w:lang w:eastAsia="fr-FR"/>
        </w:rPr>
        <w:t xml:space="preserve">nt être chiffrées à l’aide d’un </w:t>
      </w:r>
      <w:r w:rsidRPr="00F3098E">
        <w:rPr>
          <w:rFonts w:ascii="Marianne" w:hAnsi="Marianne" w:cs="TimesNewRomanPSMT"/>
          <w:color w:val="000000"/>
          <w:szCs w:val="20"/>
          <w:lang w:eastAsia="fr-FR"/>
        </w:rPr>
        <w:t>dispositif ayant fait l’objet d’une qualification au ni</w:t>
      </w:r>
      <w:r w:rsidR="00F3098E">
        <w:rPr>
          <w:rFonts w:ascii="Marianne" w:hAnsi="Marianne" w:cs="TimesNewRomanPSMT"/>
          <w:color w:val="000000"/>
          <w:szCs w:val="20"/>
          <w:lang w:eastAsia="fr-FR"/>
        </w:rPr>
        <w:t xml:space="preserve">veau standard, d’une caution de </w:t>
      </w:r>
      <w:r w:rsidRPr="00F3098E">
        <w:rPr>
          <w:rFonts w:ascii="Marianne" w:hAnsi="Marianne" w:cs="TimesNewRomanPSMT"/>
          <w:color w:val="000000"/>
          <w:szCs w:val="20"/>
          <w:lang w:eastAsia="fr-FR"/>
        </w:rPr>
        <w:t>l'autorité nationale de sécurité des systèmes d’information (ANSSI) ou d'une évalu</w:t>
      </w:r>
      <w:r w:rsidRPr="00F3098E">
        <w:rPr>
          <w:rFonts w:ascii="Marianne" w:hAnsi="Marianne"/>
          <w:color w:val="000000"/>
          <w:szCs w:val="20"/>
          <w:lang w:eastAsia="fr-FR"/>
        </w:rPr>
        <w:t>ation</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par le centre technique SSI du ministère des armées.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043CA4">
      <w:pPr>
        <w:rPr>
          <w:rFonts w:ascii="Marianne" w:hAnsi="Marianne"/>
          <w:b/>
          <w:sz w:val="22"/>
          <w:szCs w:val="24"/>
          <w:u w:val="single"/>
        </w:rPr>
      </w:pPr>
      <w:r>
        <w:rPr>
          <w:rFonts w:ascii="Marianne" w:hAnsi="Marianne"/>
          <w:b/>
          <w:sz w:val="22"/>
          <w:u w:val="single"/>
        </w:rPr>
        <w:t>ARTICLE 14</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DEROGATION AU CCAG PI</w:t>
      </w:r>
    </w:p>
    <w:p w:rsidR="00043CA4" w:rsidRDefault="00043CA4" w:rsidP="00043CA4">
      <w:pPr>
        <w:rPr>
          <w:rFonts w:ascii="Marianne" w:hAnsi="Marianne"/>
          <w:sz w:val="22"/>
          <w:szCs w:val="24"/>
        </w:rPr>
      </w:pPr>
      <w:r>
        <w:rPr>
          <w:rFonts w:ascii="Marianne" w:hAnsi="Marianne"/>
          <w:sz w:val="22"/>
          <w:szCs w:val="24"/>
        </w:rPr>
        <w:t>L’article 3 déroge à l’article 3.6.2 du CCAG PI</w:t>
      </w:r>
    </w:p>
    <w:p w:rsidR="00043CA4" w:rsidRDefault="00043CA4" w:rsidP="00043CA4">
      <w:pPr>
        <w:rPr>
          <w:rFonts w:ascii="Marianne" w:hAnsi="Marianne"/>
          <w:sz w:val="22"/>
          <w:szCs w:val="24"/>
        </w:rPr>
      </w:pPr>
      <w:r>
        <w:rPr>
          <w:rFonts w:ascii="Marianne" w:hAnsi="Marianne"/>
          <w:sz w:val="22"/>
          <w:szCs w:val="24"/>
        </w:rPr>
        <w:t>L’article 6 déroge à l’article 4.1 du CCAG PI</w:t>
      </w:r>
    </w:p>
    <w:p w:rsidR="00043CA4" w:rsidRPr="00043CA4" w:rsidRDefault="00043CA4" w:rsidP="00043CA4">
      <w:pPr>
        <w:rPr>
          <w:rFonts w:ascii="Marianne" w:hAnsi="Marianne"/>
          <w:sz w:val="22"/>
          <w:szCs w:val="24"/>
        </w:rPr>
      </w:pPr>
      <w:r>
        <w:rPr>
          <w:rFonts w:ascii="Marianne" w:hAnsi="Marianne"/>
          <w:sz w:val="22"/>
          <w:szCs w:val="24"/>
        </w:rPr>
        <w:t>L’article 10 déroge à l’article 14 du CCAG PI</w:t>
      </w:r>
      <w:bookmarkStart w:id="130" w:name="_GoBack"/>
      <w:bookmarkEnd w:id="130"/>
    </w:p>
    <w:p w:rsidR="00043CA4" w:rsidRPr="00F3098E" w:rsidRDefault="00043CA4" w:rsidP="00F3098E">
      <w:pPr>
        <w:autoSpaceDE w:val="0"/>
        <w:autoSpaceDN w:val="0"/>
        <w:adjustRightInd w:val="0"/>
        <w:spacing w:after="0"/>
        <w:rPr>
          <w:rFonts w:ascii="Marianne" w:hAnsi="Marianne" w:cs="TimesNewRomanPSMT"/>
          <w:color w:val="000000"/>
          <w:szCs w:val="20"/>
          <w:lang w:eastAsia="fr-FR"/>
        </w:rPr>
      </w:pPr>
    </w:p>
    <w:sectPr w:rsidR="00043CA4" w:rsidRPr="00F3098E"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D77" w:rsidRDefault="008B0D77">
      <w:pPr>
        <w:spacing w:after="0"/>
      </w:pPr>
      <w:r>
        <w:separator/>
      </w:r>
    </w:p>
  </w:endnote>
  <w:endnote w:type="continuationSeparator" w:id="0">
    <w:p w:rsidR="008B0D77" w:rsidRDefault="008B0D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43CA4">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43CA4">
      <w:rPr>
        <w:b/>
        <w:bCs/>
        <w:noProof/>
      </w:rPr>
      <w:t>5</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D77" w:rsidRDefault="008B0D77">
      <w:pPr>
        <w:spacing w:after="0"/>
      </w:pPr>
      <w:r>
        <w:separator/>
      </w:r>
    </w:p>
  </w:footnote>
  <w:footnote w:type="continuationSeparator" w:id="0">
    <w:p w:rsidR="008B0D77" w:rsidRDefault="008B0D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95752B" w:rsidP="005A08FF">
          <w:pPr>
            <w:autoSpaceDE w:val="0"/>
            <w:autoSpaceDN w:val="0"/>
            <w:adjustRightInd w:val="0"/>
            <w:spacing w:before="120" w:after="120"/>
            <w:ind w:left="142"/>
            <w:jc w:val="left"/>
            <w:rPr>
              <w:rFonts w:ascii="Arial" w:hAnsi="Arial" w:cs="Arial"/>
              <w:bCs/>
              <w:sz w:val="16"/>
              <w:szCs w:val="16"/>
              <w:highlight w:val="yellow"/>
            </w:rPr>
          </w:pPr>
        </w:p>
      </w:tc>
      <w:tc>
        <w:tcPr>
          <w:tcW w:w="741"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r w:rsidRPr="00C401B4">
            <w:rPr>
              <w:rFonts w:ascii="Arial" w:hAnsi="Arial" w:cs="Arial"/>
              <w:b/>
              <w:sz w:val="16"/>
              <w:szCs w:val="16"/>
            </w:rPr>
            <w:t xml:space="preserve">COSI n° </w:t>
          </w:r>
          <w:r w:rsidR="00A777EE">
            <w:rPr>
              <w:rFonts w:ascii="Arial" w:hAnsi="Arial" w:cs="Arial"/>
              <w:b/>
              <w:sz w:val="14"/>
              <w:szCs w:val="16"/>
            </w:rPr>
            <w:t>449 158</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101"/>
      </v:shape>
    </w:pict>
  </w:numPicBullet>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2242DB"/>
    <w:multiLevelType w:val="hybridMultilevel"/>
    <w:tmpl w:val="2D78D3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425E74"/>
    <w:multiLevelType w:val="hybridMultilevel"/>
    <w:tmpl w:val="01C2A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EF2BA8"/>
    <w:multiLevelType w:val="hybridMultilevel"/>
    <w:tmpl w:val="EFDA3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63252C"/>
    <w:multiLevelType w:val="hybridMultilevel"/>
    <w:tmpl w:val="9078E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F430F"/>
    <w:multiLevelType w:val="hybridMultilevel"/>
    <w:tmpl w:val="C456B3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26629"/>
    <w:multiLevelType w:val="multilevel"/>
    <w:tmpl w:val="EBA0EC0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134DA0"/>
    <w:multiLevelType w:val="hybridMultilevel"/>
    <w:tmpl w:val="93C226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400A40"/>
    <w:multiLevelType w:val="hybridMultilevel"/>
    <w:tmpl w:val="010C99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7" w15:restartNumberingAfterBreak="0">
    <w:nsid w:val="6C93031D"/>
    <w:multiLevelType w:val="hybridMultilevel"/>
    <w:tmpl w:val="56F42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40"/>
  </w:num>
  <w:num w:numId="4">
    <w:abstractNumId w:val="10"/>
  </w:num>
  <w:num w:numId="5">
    <w:abstractNumId w:val="8"/>
  </w:num>
  <w:num w:numId="6">
    <w:abstractNumId w:val="38"/>
  </w:num>
  <w:num w:numId="7">
    <w:abstractNumId w:val="43"/>
  </w:num>
  <w:num w:numId="8">
    <w:abstractNumId w:val="18"/>
  </w:num>
  <w:num w:numId="9">
    <w:abstractNumId w:val="31"/>
  </w:num>
  <w:num w:numId="10">
    <w:abstractNumId w:val="34"/>
  </w:num>
  <w:num w:numId="11">
    <w:abstractNumId w:val="41"/>
  </w:num>
  <w:num w:numId="12">
    <w:abstractNumId w:val="42"/>
  </w:num>
  <w:num w:numId="13">
    <w:abstractNumId w:val="45"/>
  </w:num>
  <w:num w:numId="14">
    <w:abstractNumId w:val="30"/>
  </w:num>
  <w:num w:numId="15">
    <w:abstractNumId w:val="6"/>
  </w:num>
  <w:num w:numId="16">
    <w:abstractNumId w:val="44"/>
  </w:num>
  <w:num w:numId="17">
    <w:abstractNumId w:val="20"/>
  </w:num>
  <w:num w:numId="18">
    <w:abstractNumId w:val="21"/>
  </w:num>
  <w:num w:numId="19">
    <w:abstractNumId w:val="9"/>
  </w:num>
  <w:num w:numId="20">
    <w:abstractNumId w:val="33"/>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6"/>
  </w:num>
  <w:num w:numId="25">
    <w:abstractNumId w:val="27"/>
  </w:num>
  <w:num w:numId="26">
    <w:abstractNumId w:val="29"/>
  </w:num>
  <w:num w:numId="27">
    <w:abstractNumId w:val="32"/>
  </w:num>
  <w:num w:numId="28">
    <w:abstractNumId w:val="7"/>
  </w:num>
  <w:num w:numId="29">
    <w:abstractNumId w:val="12"/>
  </w:num>
  <w:num w:numId="30">
    <w:abstractNumId w:val="14"/>
  </w:num>
  <w:num w:numId="31">
    <w:abstractNumId w:val="21"/>
  </w:num>
  <w:num w:numId="32">
    <w:abstractNumId w:val="35"/>
  </w:num>
  <w:num w:numId="33">
    <w:abstractNumId w:val="15"/>
  </w:num>
  <w:num w:numId="34">
    <w:abstractNumId w:val="36"/>
  </w:num>
  <w:num w:numId="35">
    <w:abstractNumId w:val="11"/>
  </w:num>
  <w:num w:numId="36">
    <w:abstractNumId w:val="24"/>
  </w:num>
  <w:num w:numId="37">
    <w:abstractNumId w:val="17"/>
  </w:num>
  <w:num w:numId="38">
    <w:abstractNumId w:val="28"/>
  </w:num>
  <w:num w:numId="39">
    <w:abstractNumId w:val="19"/>
  </w:num>
  <w:num w:numId="40">
    <w:abstractNumId w:val="37"/>
  </w:num>
  <w:num w:numId="41">
    <w:abstractNumId w:val="13"/>
  </w:num>
  <w:num w:numId="42">
    <w:abstractNumId w:val="26"/>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4530"/>
    <w:rsid w:val="00043CA4"/>
    <w:rsid w:val="0004626C"/>
    <w:rsid w:val="0005340C"/>
    <w:rsid w:val="00056432"/>
    <w:rsid w:val="000603C2"/>
    <w:rsid w:val="00060556"/>
    <w:rsid w:val="0006427F"/>
    <w:rsid w:val="0007191A"/>
    <w:rsid w:val="00076CDC"/>
    <w:rsid w:val="00082517"/>
    <w:rsid w:val="00084364"/>
    <w:rsid w:val="000843E3"/>
    <w:rsid w:val="0008478C"/>
    <w:rsid w:val="000932D7"/>
    <w:rsid w:val="0009593E"/>
    <w:rsid w:val="0009728C"/>
    <w:rsid w:val="000A37E1"/>
    <w:rsid w:val="000A74EC"/>
    <w:rsid w:val="000B0EAB"/>
    <w:rsid w:val="000B15F3"/>
    <w:rsid w:val="000C090B"/>
    <w:rsid w:val="000C24AE"/>
    <w:rsid w:val="000C2A16"/>
    <w:rsid w:val="000C2A81"/>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5FCF"/>
    <w:rsid w:val="001160BC"/>
    <w:rsid w:val="001276D7"/>
    <w:rsid w:val="00132598"/>
    <w:rsid w:val="00133703"/>
    <w:rsid w:val="001371F4"/>
    <w:rsid w:val="001379E8"/>
    <w:rsid w:val="00142641"/>
    <w:rsid w:val="001429CE"/>
    <w:rsid w:val="00143BF1"/>
    <w:rsid w:val="00146CA4"/>
    <w:rsid w:val="001527FC"/>
    <w:rsid w:val="00153746"/>
    <w:rsid w:val="00153ABE"/>
    <w:rsid w:val="00154F3A"/>
    <w:rsid w:val="0015507D"/>
    <w:rsid w:val="00156628"/>
    <w:rsid w:val="001577E5"/>
    <w:rsid w:val="00157F05"/>
    <w:rsid w:val="00161DDD"/>
    <w:rsid w:val="00164266"/>
    <w:rsid w:val="00180441"/>
    <w:rsid w:val="00183CF7"/>
    <w:rsid w:val="00185DFF"/>
    <w:rsid w:val="00186196"/>
    <w:rsid w:val="00186C10"/>
    <w:rsid w:val="0018704B"/>
    <w:rsid w:val="00194AAA"/>
    <w:rsid w:val="00195C71"/>
    <w:rsid w:val="001A1905"/>
    <w:rsid w:val="001A249A"/>
    <w:rsid w:val="001A2D27"/>
    <w:rsid w:val="001A33F7"/>
    <w:rsid w:val="001A4A70"/>
    <w:rsid w:val="001B0649"/>
    <w:rsid w:val="001B2396"/>
    <w:rsid w:val="001B6D8D"/>
    <w:rsid w:val="001C17E1"/>
    <w:rsid w:val="001C300C"/>
    <w:rsid w:val="001C4C72"/>
    <w:rsid w:val="001D04D6"/>
    <w:rsid w:val="001D101F"/>
    <w:rsid w:val="001D12F9"/>
    <w:rsid w:val="001E1C41"/>
    <w:rsid w:val="001F2C0D"/>
    <w:rsid w:val="001F407E"/>
    <w:rsid w:val="00200E73"/>
    <w:rsid w:val="002026C1"/>
    <w:rsid w:val="00203DF1"/>
    <w:rsid w:val="00203EAF"/>
    <w:rsid w:val="00204C3D"/>
    <w:rsid w:val="0021179E"/>
    <w:rsid w:val="00211F80"/>
    <w:rsid w:val="0021287E"/>
    <w:rsid w:val="00213141"/>
    <w:rsid w:val="0021626D"/>
    <w:rsid w:val="00220C05"/>
    <w:rsid w:val="0022186D"/>
    <w:rsid w:val="0022769F"/>
    <w:rsid w:val="00231645"/>
    <w:rsid w:val="00234803"/>
    <w:rsid w:val="00240861"/>
    <w:rsid w:val="002456D1"/>
    <w:rsid w:val="00245FA5"/>
    <w:rsid w:val="00246EB6"/>
    <w:rsid w:val="00247F71"/>
    <w:rsid w:val="002545A2"/>
    <w:rsid w:val="00256657"/>
    <w:rsid w:val="00257BE7"/>
    <w:rsid w:val="00265D75"/>
    <w:rsid w:val="002677DC"/>
    <w:rsid w:val="00271C1A"/>
    <w:rsid w:val="00271F4B"/>
    <w:rsid w:val="002758A3"/>
    <w:rsid w:val="002812CC"/>
    <w:rsid w:val="002847CC"/>
    <w:rsid w:val="00287AB1"/>
    <w:rsid w:val="00290983"/>
    <w:rsid w:val="00290A9B"/>
    <w:rsid w:val="00291D05"/>
    <w:rsid w:val="002927CE"/>
    <w:rsid w:val="00294A2C"/>
    <w:rsid w:val="002976F3"/>
    <w:rsid w:val="002A268D"/>
    <w:rsid w:val="002A2F22"/>
    <w:rsid w:val="002A540B"/>
    <w:rsid w:val="002A544B"/>
    <w:rsid w:val="002A5679"/>
    <w:rsid w:val="002B2591"/>
    <w:rsid w:val="002B2886"/>
    <w:rsid w:val="002B31A7"/>
    <w:rsid w:val="002B5680"/>
    <w:rsid w:val="002B64E9"/>
    <w:rsid w:val="002C3CA5"/>
    <w:rsid w:val="002C3F06"/>
    <w:rsid w:val="002C4A64"/>
    <w:rsid w:val="002C5251"/>
    <w:rsid w:val="002D6EB2"/>
    <w:rsid w:val="002E0F8F"/>
    <w:rsid w:val="002E6AA8"/>
    <w:rsid w:val="002F0392"/>
    <w:rsid w:val="002F3407"/>
    <w:rsid w:val="002F3C1E"/>
    <w:rsid w:val="002F6861"/>
    <w:rsid w:val="00301B1B"/>
    <w:rsid w:val="003025ED"/>
    <w:rsid w:val="00302EA3"/>
    <w:rsid w:val="00303C29"/>
    <w:rsid w:val="00311AD5"/>
    <w:rsid w:val="00312910"/>
    <w:rsid w:val="00314D31"/>
    <w:rsid w:val="00317FCF"/>
    <w:rsid w:val="0032323F"/>
    <w:rsid w:val="00323BC0"/>
    <w:rsid w:val="0032480A"/>
    <w:rsid w:val="00324CC7"/>
    <w:rsid w:val="003325B2"/>
    <w:rsid w:val="003345D4"/>
    <w:rsid w:val="003355A0"/>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73808"/>
    <w:rsid w:val="00374D91"/>
    <w:rsid w:val="003753EF"/>
    <w:rsid w:val="00376F2C"/>
    <w:rsid w:val="00377645"/>
    <w:rsid w:val="00381528"/>
    <w:rsid w:val="00390C09"/>
    <w:rsid w:val="00392C1F"/>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6108"/>
    <w:rsid w:val="003D78A7"/>
    <w:rsid w:val="003D78C0"/>
    <w:rsid w:val="003E4DDE"/>
    <w:rsid w:val="003F1782"/>
    <w:rsid w:val="003F57B5"/>
    <w:rsid w:val="003F6A9B"/>
    <w:rsid w:val="003F7F09"/>
    <w:rsid w:val="00400B49"/>
    <w:rsid w:val="0040605B"/>
    <w:rsid w:val="004070F0"/>
    <w:rsid w:val="00407497"/>
    <w:rsid w:val="00410A20"/>
    <w:rsid w:val="00411B47"/>
    <w:rsid w:val="00423528"/>
    <w:rsid w:val="0042397F"/>
    <w:rsid w:val="00427C24"/>
    <w:rsid w:val="004334E2"/>
    <w:rsid w:val="004378D9"/>
    <w:rsid w:val="004434AC"/>
    <w:rsid w:val="00445120"/>
    <w:rsid w:val="004511C5"/>
    <w:rsid w:val="00451473"/>
    <w:rsid w:val="0045400F"/>
    <w:rsid w:val="00455093"/>
    <w:rsid w:val="00456868"/>
    <w:rsid w:val="00472EAA"/>
    <w:rsid w:val="00473390"/>
    <w:rsid w:val="004766CB"/>
    <w:rsid w:val="00480392"/>
    <w:rsid w:val="00482E93"/>
    <w:rsid w:val="00486CFA"/>
    <w:rsid w:val="00494776"/>
    <w:rsid w:val="0049623A"/>
    <w:rsid w:val="004A2D86"/>
    <w:rsid w:val="004B3EFF"/>
    <w:rsid w:val="004C26ED"/>
    <w:rsid w:val="004C69B8"/>
    <w:rsid w:val="004D3664"/>
    <w:rsid w:val="004D5B19"/>
    <w:rsid w:val="004E3CFB"/>
    <w:rsid w:val="004F6BE7"/>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5336B"/>
    <w:rsid w:val="00555B43"/>
    <w:rsid w:val="005579B0"/>
    <w:rsid w:val="00561935"/>
    <w:rsid w:val="00564B3F"/>
    <w:rsid w:val="00566148"/>
    <w:rsid w:val="005709C2"/>
    <w:rsid w:val="00571119"/>
    <w:rsid w:val="005766B4"/>
    <w:rsid w:val="005803FC"/>
    <w:rsid w:val="00580BA0"/>
    <w:rsid w:val="00581D80"/>
    <w:rsid w:val="00582157"/>
    <w:rsid w:val="00587009"/>
    <w:rsid w:val="00590065"/>
    <w:rsid w:val="005934B9"/>
    <w:rsid w:val="005A08FF"/>
    <w:rsid w:val="005A3239"/>
    <w:rsid w:val="005A6063"/>
    <w:rsid w:val="005A7C32"/>
    <w:rsid w:val="005B03F8"/>
    <w:rsid w:val="005B413E"/>
    <w:rsid w:val="005B55F8"/>
    <w:rsid w:val="005B6A35"/>
    <w:rsid w:val="005B7960"/>
    <w:rsid w:val="005C1335"/>
    <w:rsid w:val="005C2494"/>
    <w:rsid w:val="005C433D"/>
    <w:rsid w:val="005C6A9B"/>
    <w:rsid w:val="005C7256"/>
    <w:rsid w:val="005D1606"/>
    <w:rsid w:val="005D16DC"/>
    <w:rsid w:val="005D31CE"/>
    <w:rsid w:val="005D35D2"/>
    <w:rsid w:val="005D391D"/>
    <w:rsid w:val="005D4924"/>
    <w:rsid w:val="005D5BB2"/>
    <w:rsid w:val="005D7452"/>
    <w:rsid w:val="005E00E0"/>
    <w:rsid w:val="005E1A0E"/>
    <w:rsid w:val="005E1BAC"/>
    <w:rsid w:val="006033EB"/>
    <w:rsid w:val="006045F7"/>
    <w:rsid w:val="00605DF1"/>
    <w:rsid w:val="00610ED2"/>
    <w:rsid w:val="00613BDB"/>
    <w:rsid w:val="00613EE4"/>
    <w:rsid w:val="006162B7"/>
    <w:rsid w:val="006176B2"/>
    <w:rsid w:val="00624A34"/>
    <w:rsid w:val="00630AE1"/>
    <w:rsid w:val="00634CC6"/>
    <w:rsid w:val="0063740C"/>
    <w:rsid w:val="006375D3"/>
    <w:rsid w:val="006401CE"/>
    <w:rsid w:val="00642EA6"/>
    <w:rsid w:val="00644869"/>
    <w:rsid w:val="0064495C"/>
    <w:rsid w:val="006460DB"/>
    <w:rsid w:val="00646F35"/>
    <w:rsid w:val="006542A5"/>
    <w:rsid w:val="0065483C"/>
    <w:rsid w:val="00663A51"/>
    <w:rsid w:val="006705C9"/>
    <w:rsid w:val="006711C8"/>
    <w:rsid w:val="006731B1"/>
    <w:rsid w:val="00673EB2"/>
    <w:rsid w:val="006748B2"/>
    <w:rsid w:val="0067564F"/>
    <w:rsid w:val="00676D31"/>
    <w:rsid w:val="006805F3"/>
    <w:rsid w:val="00685DA9"/>
    <w:rsid w:val="00686761"/>
    <w:rsid w:val="0068694E"/>
    <w:rsid w:val="006902FE"/>
    <w:rsid w:val="00690B20"/>
    <w:rsid w:val="006915D4"/>
    <w:rsid w:val="00692BA3"/>
    <w:rsid w:val="0069403C"/>
    <w:rsid w:val="006940B4"/>
    <w:rsid w:val="0069781E"/>
    <w:rsid w:val="006A10F2"/>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3852"/>
    <w:rsid w:val="006F5043"/>
    <w:rsid w:val="00702B74"/>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7C70"/>
    <w:rsid w:val="007A2988"/>
    <w:rsid w:val="007A3ABA"/>
    <w:rsid w:val="007A45E9"/>
    <w:rsid w:val="007A473A"/>
    <w:rsid w:val="007A58A2"/>
    <w:rsid w:val="007A70E6"/>
    <w:rsid w:val="007C0135"/>
    <w:rsid w:val="007C1652"/>
    <w:rsid w:val="007D1854"/>
    <w:rsid w:val="007D2ACD"/>
    <w:rsid w:val="007D3579"/>
    <w:rsid w:val="007D5173"/>
    <w:rsid w:val="007D61C8"/>
    <w:rsid w:val="007D74A5"/>
    <w:rsid w:val="007E2811"/>
    <w:rsid w:val="007E2CA3"/>
    <w:rsid w:val="007E392B"/>
    <w:rsid w:val="007E66E8"/>
    <w:rsid w:val="007F0B8E"/>
    <w:rsid w:val="007F106A"/>
    <w:rsid w:val="007F6071"/>
    <w:rsid w:val="007F7333"/>
    <w:rsid w:val="007F7BCF"/>
    <w:rsid w:val="007F7DFF"/>
    <w:rsid w:val="00800EB1"/>
    <w:rsid w:val="00801C5C"/>
    <w:rsid w:val="008031E7"/>
    <w:rsid w:val="00803900"/>
    <w:rsid w:val="00806437"/>
    <w:rsid w:val="00807A4D"/>
    <w:rsid w:val="0081097B"/>
    <w:rsid w:val="00813B4C"/>
    <w:rsid w:val="00816838"/>
    <w:rsid w:val="00817D90"/>
    <w:rsid w:val="0082001B"/>
    <w:rsid w:val="00827250"/>
    <w:rsid w:val="00832837"/>
    <w:rsid w:val="00834EFB"/>
    <w:rsid w:val="008362BB"/>
    <w:rsid w:val="008365C0"/>
    <w:rsid w:val="00837ABA"/>
    <w:rsid w:val="00840EAF"/>
    <w:rsid w:val="00842B51"/>
    <w:rsid w:val="00843238"/>
    <w:rsid w:val="008508E5"/>
    <w:rsid w:val="00853406"/>
    <w:rsid w:val="00854A85"/>
    <w:rsid w:val="00855E24"/>
    <w:rsid w:val="00861370"/>
    <w:rsid w:val="008720A2"/>
    <w:rsid w:val="00874B53"/>
    <w:rsid w:val="008755A8"/>
    <w:rsid w:val="008810EA"/>
    <w:rsid w:val="00881241"/>
    <w:rsid w:val="00884DAC"/>
    <w:rsid w:val="0088640D"/>
    <w:rsid w:val="008866E8"/>
    <w:rsid w:val="00886753"/>
    <w:rsid w:val="008926FD"/>
    <w:rsid w:val="00894611"/>
    <w:rsid w:val="00896B62"/>
    <w:rsid w:val="008A20FB"/>
    <w:rsid w:val="008A68EC"/>
    <w:rsid w:val="008A7DBA"/>
    <w:rsid w:val="008B0D77"/>
    <w:rsid w:val="008B3F98"/>
    <w:rsid w:val="008B5EA8"/>
    <w:rsid w:val="008B79A8"/>
    <w:rsid w:val="008C7523"/>
    <w:rsid w:val="008D004D"/>
    <w:rsid w:val="008E48DA"/>
    <w:rsid w:val="008E7FF6"/>
    <w:rsid w:val="008F1D47"/>
    <w:rsid w:val="008F205F"/>
    <w:rsid w:val="008F4220"/>
    <w:rsid w:val="008F4AD3"/>
    <w:rsid w:val="008F6E52"/>
    <w:rsid w:val="00901202"/>
    <w:rsid w:val="009017BB"/>
    <w:rsid w:val="00904FAE"/>
    <w:rsid w:val="009119A6"/>
    <w:rsid w:val="00915B84"/>
    <w:rsid w:val="00921DB5"/>
    <w:rsid w:val="00926B15"/>
    <w:rsid w:val="009342F4"/>
    <w:rsid w:val="009344E3"/>
    <w:rsid w:val="00935A27"/>
    <w:rsid w:val="00942D61"/>
    <w:rsid w:val="00946B09"/>
    <w:rsid w:val="00947885"/>
    <w:rsid w:val="00951C5A"/>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44E5"/>
    <w:rsid w:val="009A25EE"/>
    <w:rsid w:val="009A4CB5"/>
    <w:rsid w:val="009A5810"/>
    <w:rsid w:val="009A7966"/>
    <w:rsid w:val="009B230B"/>
    <w:rsid w:val="009B72BB"/>
    <w:rsid w:val="009B7D29"/>
    <w:rsid w:val="009C0C46"/>
    <w:rsid w:val="009C121B"/>
    <w:rsid w:val="009C4109"/>
    <w:rsid w:val="009D3FA2"/>
    <w:rsid w:val="009D6CAE"/>
    <w:rsid w:val="009E0012"/>
    <w:rsid w:val="009E1D61"/>
    <w:rsid w:val="009E1F53"/>
    <w:rsid w:val="009E1FAA"/>
    <w:rsid w:val="009E52C0"/>
    <w:rsid w:val="009E5EBB"/>
    <w:rsid w:val="009F106B"/>
    <w:rsid w:val="009F1119"/>
    <w:rsid w:val="009F5B61"/>
    <w:rsid w:val="009F6510"/>
    <w:rsid w:val="00A0376E"/>
    <w:rsid w:val="00A04498"/>
    <w:rsid w:val="00A04CDE"/>
    <w:rsid w:val="00A07E4F"/>
    <w:rsid w:val="00A101D2"/>
    <w:rsid w:val="00A16836"/>
    <w:rsid w:val="00A21D33"/>
    <w:rsid w:val="00A23631"/>
    <w:rsid w:val="00A23CD1"/>
    <w:rsid w:val="00A25388"/>
    <w:rsid w:val="00A253DD"/>
    <w:rsid w:val="00A3043B"/>
    <w:rsid w:val="00A30992"/>
    <w:rsid w:val="00A3164C"/>
    <w:rsid w:val="00A33994"/>
    <w:rsid w:val="00A41BB7"/>
    <w:rsid w:val="00A438F4"/>
    <w:rsid w:val="00A44B62"/>
    <w:rsid w:val="00A50B69"/>
    <w:rsid w:val="00A50F03"/>
    <w:rsid w:val="00A5372A"/>
    <w:rsid w:val="00A5719D"/>
    <w:rsid w:val="00A705D8"/>
    <w:rsid w:val="00A7103F"/>
    <w:rsid w:val="00A72D5D"/>
    <w:rsid w:val="00A7358F"/>
    <w:rsid w:val="00A74702"/>
    <w:rsid w:val="00A74F95"/>
    <w:rsid w:val="00A751AA"/>
    <w:rsid w:val="00A777EE"/>
    <w:rsid w:val="00A923B0"/>
    <w:rsid w:val="00A9380B"/>
    <w:rsid w:val="00A94D02"/>
    <w:rsid w:val="00AA6829"/>
    <w:rsid w:val="00AA69DD"/>
    <w:rsid w:val="00AB12A2"/>
    <w:rsid w:val="00AB335B"/>
    <w:rsid w:val="00AB3876"/>
    <w:rsid w:val="00AB4346"/>
    <w:rsid w:val="00AC400B"/>
    <w:rsid w:val="00AC41C4"/>
    <w:rsid w:val="00AC6DAE"/>
    <w:rsid w:val="00AD1587"/>
    <w:rsid w:val="00AE029A"/>
    <w:rsid w:val="00AE1083"/>
    <w:rsid w:val="00AE1980"/>
    <w:rsid w:val="00AE41EA"/>
    <w:rsid w:val="00AE7A37"/>
    <w:rsid w:val="00AF0C86"/>
    <w:rsid w:val="00AF12E9"/>
    <w:rsid w:val="00AF2187"/>
    <w:rsid w:val="00AF57DB"/>
    <w:rsid w:val="00AF6985"/>
    <w:rsid w:val="00B06225"/>
    <w:rsid w:val="00B07502"/>
    <w:rsid w:val="00B12D4D"/>
    <w:rsid w:val="00B12FC6"/>
    <w:rsid w:val="00B20BF0"/>
    <w:rsid w:val="00B22AFB"/>
    <w:rsid w:val="00B237C5"/>
    <w:rsid w:val="00B27561"/>
    <w:rsid w:val="00B27738"/>
    <w:rsid w:val="00B27F58"/>
    <w:rsid w:val="00B32176"/>
    <w:rsid w:val="00B37DEE"/>
    <w:rsid w:val="00B413EE"/>
    <w:rsid w:val="00B43262"/>
    <w:rsid w:val="00B4353C"/>
    <w:rsid w:val="00B437BA"/>
    <w:rsid w:val="00B44D68"/>
    <w:rsid w:val="00B56E2C"/>
    <w:rsid w:val="00B62E97"/>
    <w:rsid w:val="00B66C77"/>
    <w:rsid w:val="00B67B79"/>
    <w:rsid w:val="00B67D66"/>
    <w:rsid w:val="00B812C2"/>
    <w:rsid w:val="00B82FCE"/>
    <w:rsid w:val="00B83D08"/>
    <w:rsid w:val="00B849C9"/>
    <w:rsid w:val="00B94648"/>
    <w:rsid w:val="00B965A9"/>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60FE"/>
    <w:rsid w:val="00BF65BF"/>
    <w:rsid w:val="00C00F4A"/>
    <w:rsid w:val="00C046EA"/>
    <w:rsid w:val="00C062BA"/>
    <w:rsid w:val="00C07E1D"/>
    <w:rsid w:val="00C11E2D"/>
    <w:rsid w:val="00C11FB3"/>
    <w:rsid w:val="00C1470F"/>
    <w:rsid w:val="00C2087C"/>
    <w:rsid w:val="00C22322"/>
    <w:rsid w:val="00C2279B"/>
    <w:rsid w:val="00C23481"/>
    <w:rsid w:val="00C2372D"/>
    <w:rsid w:val="00C23B9F"/>
    <w:rsid w:val="00C25AD9"/>
    <w:rsid w:val="00C305B8"/>
    <w:rsid w:val="00C31F00"/>
    <w:rsid w:val="00C35A3E"/>
    <w:rsid w:val="00C401B4"/>
    <w:rsid w:val="00C412FE"/>
    <w:rsid w:val="00C415C6"/>
    <w:rsid w:val="00C41B82"/>
    <w:rsid w:val="00C41DB8"/>
    <w:rsid w:val="00C47E00"/>
    <w:rsid w:val="00C50250"/>
    <w:rsid w:val="00C50663"/>
    <w:rsid w:val="00C50AB9"/>
    <w:rsid w:val="00C51FD8"/>
    <w:rsid w:val="00C604B2"/>
    <w:rsid w:val="00C61D12"/>
    <w:rsid w:val="00C62C5B"/>
    <w:rsid w:val="00C64CFB"/>
    <w:rsid w:val="00C72C39"/>
    <w:rsid w:val="00C7747E"/>
    <w:rsid w:val="00C83342"/>
    <w:rsid w:val="00C83F9C"/>
    <w:rsid w:val="00C84E45"/>
    <w:rsid w:val="00C8525E"/>
    <w:rsid w:val="00C90F1D"/>
    <w:rsid w:val="00C92366"/>
    <w:rsid w:val="00C94956"/>
    <w:rsid w:val="00C95DE2"/>
    <w:rsid w:val="00C96211"/>
    <w:rsid w:val="00C97FA0"/>
    <w:rsid w:val="00CA0538"/>
    <w:rsid w:val="00CA125D"/>
    <w:rsid w:val="00CA3D6A"/>
    <w:rsid w:val="00CA68C4"/>
    <w:rsid w:val="00CA760D"/>
    <w:rsid w:val="00CB4B74"/>
    <w:rsid w:val="00CB7369"/>
    <w:rsid w:val="00CB783D"/>
    <w:rsid w:val="00CC0457"/>
    <w:rsid w:val="00CC17BD"/>
    <w:rsid w:val="00CC1BAC"/>
    <w:rsid w:val="00CC26D8"/>
    <w:rsid w:val="00CC3A0E"/>
    <w:rsid w:val="00CC4CDC"/>
    <w:rsid w:val="00CC652C"/>
    <w:rsid w:val="00CE079A"/>
    <w:rsid w:val="00CE258C"/>
    <w:rsid w:val="00CE3144"/>
    <w:rsid w:val="00CF0FDE"/>
    <w:rsid w:val="00CF2BAC"/>
    <w:rsid w:val="00CF2D81"/>
    <w:rsid w:val="00CF47CA"/>
    <w:rsid w:val="00CF5717"/>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6174"/>
    <w:rsid w:val="00D71141"/>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B1A52"/>
    <w:rsid w:val="00DC2782"/>
    <w:rsid w:val="00DD12B1"/>
    <w:rsid w:val="00DE0DF5"/>
    <w:rsid w:val="00DE225D"/>
    <w:rsid w:val="00DE5ADB"/>
    <w:rsid w:val="00DE5D81"/>
    <w:rsid w:val="00DE7C37"/>
    <w:rsid w:val="00DE7CAF"/>
    <w:rsid w:val="00DF2A18"/>
    <w:rsid w:val="00DF2F66"/>
    <w:rsid w:val="00DF362C"/>
    <w:rsid w:val="00DF68A4"/>
    <w:rsid w:val="00DF7DCE"/>
    <w:rsid w:val="00E02878"/>
    <w:rsid w:val="00E05613"/>
    <w:rsid w:val="00E11F1F"/>
    <w:rsid w:val="00E1246A"/>
    <w:rsid w:val="00E1290D"/>
    <w:rsid w:val="00E229FF"/>
    <w:rsid w:val="00E30F6E"/>
    <w:rsid w:val="00E30F89"/>
    <w:rsid w:val="00E35CB3"/>
    <w:rsid w:val="00E35ED8"/>
    <w:rsid w:val="00E411DC"/>
    <w:rsid w:val="00E41ABB"/>
    <w:rsid w:val="00E4291C"/>
    <w:rsid w:val="00E4370A"/>
    <w:rsid w:val="00E45EA1"/>
    <w:rsid w:val="00E4691B"/>
    <w:rsid w:val="00E50205"/>
    <w:rsid w:val="00E51056"/>
    <w:rsid w:val="00E535A4"/>
    <w:rsid w:val="00E53DD6"/>
    <w:rsid w:val="00E60C47"/>
    <w:rsid w:val="00E701BB"/>
    <w:rsid w:val="00E730C2"/>
    <w:rsid w:val="00E7328B"/>
    <w:rsid w:val="00E764D7"/>
    <w:rsid w:val="00E80204"/>
    <w:rsid w:val="00E821B8"/>
    <w:rsid w:val="00E84792"/>
    <w:rsid w:val="00E84D59"/>
    <w:rsid w:val="00E86837"/>
    <w:rsid w:val="00E94927"/>
    <w:rsid w:val="00E94BCE"/>
    <w:rsid w:val="00E9534D"/>
    <w:rsid w:val="00EA03CE"/>
    <w:rsid w:val="00EA4AA4"/>
    <w:rsid w:val="00EA7F41"/>
    <w:rsid w:val="00EB4130"/>
    <w:rsid w:val="00EB4A6A"/>
    <w:rsid w:val="00EB5802"/>
    <w:rsid w:val="00EC3752"/>
    <w:rsid w:val="00EC3770"/>
    <w:rsid w:val="00EC3F1B"/>
    <w:rsid w:val="00EE0E0A"/>
    <w:rsid w:val="00EE2546"/>
    <w:rsid w:val="00EE30F3"/>
    <w:rsid w:val="00EE7C10"/>
    <w:rsid w:val="00EE7FEF"/>
    <w:rsid w:val="00EF0479"/>
    <w:rsid w:val="00EF328F"/>
    <w:rsid w:val="00EF5D00"/>
    <w:rsid w:val="00EF741E"/>
    <w:rsid w:val="00EF7E0B"/>
    <w:rsid w:val="00F010C7"/>
    <w:rsid w:val="00F02EDA"/>
    <w:rsid w:val="00F06950"/>
    <w:rsid w:val="00F149F9"/>
    <w:rsid w:val="00F14DB2"/>
    <w:rsid w:val="00F157D3"/>
    <w:rsid w:val="00F221EF"/>
    <w:rsid w:val="00F23196"/>
    <w:rsid w:val="00F24431"/>
    <w:rsid w:val="00F26644"/>
    <w:rsid w:val="00F302B7"/>
    <w:rsid w:val="00F3098E"/>
    <w:rsid w:val="00F33913"/>
    <w:rsid w:val="00F37293"/>
    <w:rsid w:val="00F37F9B"/>
    <w:rsid w:val="00F402E4"/>
    <w:rsid w:val="00F40696"/>
    <w:rsid w:val="00F408C2"/>
    <w:rsid w:val="00F42033"/>
    <w:rsid w:val="00F441C8"/>
    <w:rsid w:val="00F44216"/>
    <w:rsid w:val="00F50FDC"/>
    <w:rsid w:val="00F52A42"/>
    <w:rsid w:val="00F635A4"/>
    <w:rsid w:val="00F64D2C"/>
    <w:rsid w:val="00F74208"/>
    <w:rsid w:val="00F76712"/>
    <w:rsid w:val="00F81825"/>
    <w:rsid w:val="00F84CDD"/>
    <w:rsid w:val="00F9137E"/>
    <w:rsid w:val="00F9289C"/>
    <w:rsid w:val="00F959D7"/>
    <w:rsid w:val="00FA0EC6"/>
    <w:rsid w:val="00FA153F"/>
    <w:rsid w:val="00FA1789"/>
    <w:rsid w:val="00FB48E6"/>
    <w:rsid w:val="00FB745F"/>
    <w:rsid w:val="00FC4760"/>
    <w:rsid w:val="00FC4AF5"/>
    <w:rsid w:val="00FC7243"/>
    <w:rsid w:val="00FC7DD0"/>
    <w:rsid w:val="00FC7E50"/>
    <w:rsid w:val="00FD65DE"/>
    <w:rsid w:val="00FD7C6D"/>
    <w:rsid w:val="00FE291D"/>
    <w:rsid w:val="00FF4077"/>
    <w:rsid w:val="00FF5D0F"/>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C82B8"/>
  <w15:chartTrackingRefBased/>
  <w15:docId w15:val="{5DC5CABC-B991-4D94-B0AB-E1D21574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416316767">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baptiste.desserme@intradef.gouv.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70A3-5B84-4232-B9DC-DADD712D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1852</Words>
  <Characters>10191</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12019</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4</cp:revision>
  <cp:lastPrinted>2024-12-10T14:10:00Z</cp:lastPrinted>
  <dcterms:created xsi:type="dcterms:W3CDTF">2025-01-08T16:19:00Z</dcterms:created>
  <dcterms:modified xsi:type="dcterms:W3CDTF">2025-01-21T10:34:00Z</dcterms:modified>
</cp:coreProperties>
</file>