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D2FB9" w14:textId="77777777" w:rsidR="00B17E26" w:rsidRDefault="0012674A">
      <w:pPr>
        <w:spacing w:after="160" w:line="259" w:lineRule="atLeast"/>
      </w:pPr>
      <w:r>
        <w:rPr>
          <w:rFonts w:ascii="Calibri" w:hAnsi="Calibri"/>
          <w:b/>
          <w:sz w:val="22"/>
          <w:szCs w:val="22"/>
        </w:rPr>
        <w:t xml:space="preserve">Poste </w:t>
      </w:r>
      <w:proofErr w:type="gramStart"/>
      <w:r>
        <w:rPr>
          <w:rFonts w:ascii="Calibri" w:hAnsi="Calibri"/>
          <w:b/>
          <w:sz w:val="22"/>
          <w:szCs w:val="22"/>
        </w:rPr>
        <w:t>1:</w:t>
      </w:r>
      <w:proofErr w:type="gramEnd"/>
      <w:r>
        <w:rPr>
          <w:rFonts w:ascii="Calibri" w:hAnsi="Calibri"/>
          <w:sz w:val="22"/>
          <w:szCs w:val="22"/>
        </w:rPr>
        <w:t xml:space="preserve"> prestations récurrentes programmées pour le traitement préventif des rongeurs et des insectes rampants</w:t>
      </w:r>
    </w:p>
    <w:p w14:paraId="482C9F3A" w14:textId="77777777" w:rsidR="00B17E26" w:rsidRDefault="0012674A">
      <w:pPr>
        <w:spacing w:after="160" w:line="259" w:lineRule="atLeast"/>
      </w:pPr>
      <w:r>
        <w:rPr>
          <w:rFonts w:ascii="Calibri" w:hAnsi="Calibri"/>
          <w:b/>
          <w:bCs/>
          <w:sz w:val="22"/>
          <w:szCs w:val="22"/>
        </w:rPr>
        <w:t xml:space="preserve">DERATISATION </w:t>
      </w:r>
      <w:r>
        <w:rPr>
          <w:rFonts w:ascii="Calibri" w:hAnsi="Calibri"/>
          <w:b/>
          <w:bCs/>
          <w:color w:val="CE181E"/>
          <w:szCs w:val="22"/>
        </w:rPr>
        <w:t>A renseigner obligatoirement</w:t>
      </w:r>
    </w:p>
    <w:tbl>
      <w:tblPr>
        <w:tblW w:w="0" w:type="auto"/>
        <w:tblInd w:w="1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840"/>
        <w:gridCol w:w="1365"/>
        <w:gridCol w:w="1140"/>
        <w:gridCol w:w="1815"/>
      </w:tblGrid>
      <w:tr w:rsidR="00B17E26" w14:paraId="5D86B720" w14:textId="77777777">
        <w:trPr>
          <w:trHeight w:val="1020"/>
        </w:trPr>
        <w:tc>
          <w:tcPr>
            <w:tcW w:w="3915" w:type="dxa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72E557CC" w14:textId="77777777" w:rsidR="00B17E26" w:rsidRDefault="0012674A">
            <w:pPr>
              <w:ind w:firstLine="1134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ETABLISSEMENTS/SPIP</w:t>
            </w:r>
          </w:p>
        </w:tc>
        <w:tc>
          <w:tcPr>
            <w:tcW w:w="840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6366243E" w14:textId="77777777" w:rsidR="00B17E26" w:rsidRDefault="00B17E26">
            <w:pPr>
              <w:ind w:firstLine="1134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60895788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CCTP  </w:t>
            </w:r>
          </w:p>
        </w:tc>
        <w:tc>
          <w:tcPr>
            <w:tcW w:w="1365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0FEFE3A9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MONTANT FORFAITAIRE HT ANNUEL</w:t>
            </w:r>
          </w:p>
        </w:tc>
        <w:tc>
          <w:tcPr>
            <w:tcW w:w="1140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00FD896A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Taux de TVA applicable</w:t>
            </w:r>
          </w:p>
        </w:tc>
        <w:tc>
          <w:tcPr>
            <w:tcW w:w="1815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198D51C5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MONTANT FORFAITAIRE TTC ANNUEL</w:t>
            </w:r>
          </w:p>
        </w:tc>
      </w:tr>
      <w:tr w:rsidR="00B17E26" w14:paraId="61B99A3C" w14:textId="77777777">
        <w:trPr>
          <w:trHeight w:val="6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42C33B0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 Cherbourg</w:t>
            </w:r>
          </w:p>
        </w:tc>
        <w:tc>
          <w:tcPr>
            <w:tcW w:w="840" w:type="dxa"/>
            <w:vMerge w:val="restart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EC795B0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Article 3.1.1</w:t>
            </w:r>
          </w:p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9C68E54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614EFD10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E4F32C5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F5B6EE2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1F3E2A67" w14:textId="77777777">
        <w:trPr>
          <w:trHeight w:val="6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85ECA3D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 Coutances</w:t>
            </w: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78142DA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4EE83FC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1D4A0569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BBE3CB9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C2C6C29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702EE00D" w14:textId="77777777">
        <w:trPr>
          <w:trHeight w:val="3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948F4F0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CP Caen</w:t>
            </w: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EE95A34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9364D83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63488583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036D425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2757C51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759B87DD" w14:textId="77777777">
        <w:trPr>
          <w:trHeight w:val="3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1564E81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SPIP 14 Caen + Antenne Lisieux</w:t>
            </w: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70E9E79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6E29294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3D1DECBE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00FF89C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FC14C5E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2B6DD84C" w14:textId="77777777">
        <w:trPr>
          <w:trHeight w:val="3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AB821B1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SPIP 50 Coutances + Antennes de Cherbourg et Avranches</w:t>
            </w: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4F17F9C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FB94443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717C87D8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1744A93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55DD2D3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7EF114AC" w14:textId="77777777">
        <w:trPr>
          <w:trHeight w:val="1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00FA7F6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SPIP 61 Argentan + Antenne Alençon</w:t>
            </w:r>
          </w:p>
          <w:p w14:paraId="63AB65BA" w14:textId="77777777" w:rsidR="00B17E26" w:rsidRDefault="00B17E26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16A76D9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C5E3A5A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5F1482B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46A5950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01B2F6AF" w14:textId="77777777" w:rsidR="00B17E26" w:rsidRDefault="00B17E26">
      <w:pPr>
        <w:rPr>
          <w:rFonts w:ascii="Calibri" w:hAnsi="Calibri"/>
          <w:color w:val="000000"/>
          <w:sz w:val="22"/>
        </w:rPr>
      </w:pPr>
    </w:p>
    <w:p w14:paraId="49AE5624" w14:textId="77777777" w:rsidR="00B17E26" w:rsidRDefault="0012674A">
      <w:pPr>
        <w:spacing w:after="160" w:line="259" w:lineRule="atLeast"/>
      </w:pPr>
      <w:r>
        <w:rPr>
          <w:rFonts w:ascii="Calibri" w:hAnsi="Calibri"/>
          <w:b/>
          <w:bCs/>
          <w:sz w:val="22"/>
          <w:szCs w:val="22"/>
        </w:rPr>
        <w:t xml:space="preserve">DESINSECTISATION </w:t>
      </w:r>
      <w:r>
        <w:rPr>
          <w:rFonts w:ascii="Calibri" w:hAnsi="Calibri"/>
          <w:b/>
          <w:bCs/>
          <w:color w:val="CE181E"/>
          <w:szCs w:val="22"/>
        </w:rPr>
        <w:t>A renseigner obligatoirement</w:t>
      </w:r>
    </w:p>
    <w:tbl>
      <w:tblPr>
        <w:tblW w:w="0" w:type="auto"/>
        <w:tblInd w:w="1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840"/>
        <w:gridCol w:w="1365"/>
        <w:gridCol w:w="1140"/>
        <w:gridCol w:w="1815"/>
      </w:tblGrid>
      <w:tr w:rsidR="00B17E26" w14:paraId="01978D5F" w14:textId="77777777">
        <w:trPr>
          <w:trHeight w:val="1020"/>
        </w:trPr>
        <w:tc>
          <w:tcPr>
            <w:tcW w:w="3915" w:type="dxa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402B7042" w14:textId="77777777" w:rsidR="00B17E26" w:rsidRDefault="0012674A">
            <w:pPr>
              <w:ind w:firstLine="1134"/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ETABLISSEMENTS</w:t>
            </w:r>
          </w:p>
        </w:tc>
        <w:tc>
          <w:tcPr>
            <w:tcW w:w="840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5D7E61E7" w14:textId="77777777" w:rsidR="00B17E26" w:rsidRDefault="00B17E26">
            <w:pPr>
              <w:ind w:firstLine="1134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547EB129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CCTP  </w:t>
            </w:r>
          </w:p>
        </w:tc>
        <w:tc>
          <w:tcPr>
            <w:tcW w:w="1365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1B5F4E5C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MONTANT FORFAITAIRE HT ANNUEL</w:t>
            </w:r>
          </w:p>
        </w:tc>
        <w:tc>
          <w:tcPr>
            <w:tcW w:w="1140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324DD872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Taux de TVA applicable</w:t>
            </w:r>
          </w:p>
        </w:tc>
        <w:tc>
          <w:tcPr>
            <w:tcW w:w="1815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6F7549A7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MONTANT FORFAITAIRE TTC ANNUEL</w:t>
            </w:r>
          </w:p>
        </w:tc>
      </w:tr>
      <w:tr w:rsidR="00B17E26" w14:paraId="796E058E" w14:textId="77777777">
        <w:trPr>
          <w:trHeight w:val="6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E17392C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 Cherbourg</w:t>
            </w:r>
          </w:p>
        </w:tc>
        <w:tc>
          <w:tcPr>
            <w:tcW w:w="840" w:type="dxa"/>
            <w:vMerge w:val="restart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BF927A6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Article 3.1.2</w:t>
            </w:r>
          </w:p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072E868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434A9886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FCA361B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B8A7317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05BF3E82" w14:textId="77777777">
        <w:trPr>
          <w:trHeight w:val="6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CD80E60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 Coutances</w:t>
            </w: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7AC4108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647A6AD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05D1FB5D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3A4E152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764EC04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70568908" w14:textId="77777777">
        <w:trPr>
          <w:trHeight w:val="3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984A3F5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CP Caen</w:t>
            </w: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092D302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BB5C7E0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57C18F2D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79E910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92EB805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06019E03" w14:textId="77777777">
        <w:trPr>
          <w:trHeight w:val="3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2D3E35B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SPIP 14 Caen + Antenne Lisieux</w:t>
            </w: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5C5DFD1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32832E3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5834FFC3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444B8C1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B708094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1CB81A22" w14:textId="77777777">
        <w:trPr>
          <w:trHeight w:val="3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7179051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SPIP 50 Coutances + Antennes de Cherbourg et Avranches</w:t>
            </w: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E0821E2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908A642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2BDEEC92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2267887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8EAA491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23CA8B13" w14:textId="77777777">
        <w:trPr>
          <w:trHeight w:val="3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DCF3A74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SPIP 61 Argentan + Antenne Alençon</w:t>
            </w:r>
          </w:p>
          <w:p w14:paraId="72026581" w14:textId="77777777" w:rsidR="00B17E26" w:rsidRDefault="00B17E26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0FCFF3F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4D8F79D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2A0392B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7BE1F7C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2C462621" w14:textId="77777777" w:rsidR="00B17E26" w:rsidRDefault="00B17E26">
      <w:pPr>
        <w:rPr>
          <w:rFonts w:ascii="Calibri" w:hAnsi="Calibri"/>
          <w:color w:val="000000"/>
          <w:sz w:val="22"/>
        </w:rPr>
      </w:pPr>
    </w:p>
    <w:p w14:paraId="1A318BBE" w14:textId="77777777" w:rsidR="00B17E26" w:rsidRDefault="00B17E26">
      <w:pPr>
        <w:pageBreakBefore/>
        <w:rPr>
          <w:rFonts w:ascii="Calibri" w:hAnsi="Calibri"/>
          <w:color w:val="000000"/>
          <w:sz w:val="22"/>
        </w:rPr>
      </w:pPr>
    </w:p>
    <w:p w14:paraId="79CAC3FF" w14:textId="77777777" w:rsidR="00B17E26" w:rsidRDefault="0012674A">
      <w:pPr>
        <w:spacing w:after="160" w:line="259" w:lineRule="atLeast"/>
      </w:pPr>
      <w:r>
        <w:rPr>
          <w:rFonts w:ascii="Calibri" w:hAnsi="Calibri"/>
          <w:b/>
          <w:bCs/>
          <w:sz w:val="22"/>
          <w:szCs w:val="22"/>
        </w:rPr>
        <w:t xml:space="preserve">TRAITEMENT CONTRE LES PUNAISES DE LIT </w:t>
      </w:r>
      <w:r>
        <w:rPr>
          <w:rFonts w:ascii="Calibri" w:hAnsi="Calibri"/>
          <w:b/>
          <w:bCs/>
          <w:color w:val="CE181E"/>
          <w:szCs w:val="22"/>
        </w:rPr>
        <w:t>A renseigner obligatoirement</w:t>
      </w:r>
    </w:p>
    <w:tbl>
      <w:tblPr>
        <w:tblW w:w="0" w:type="auto"/>
        <w:tblInd w:w="1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840"/>
        <w:gridCol w:w="1365"/>
        <w:gridCol w:w="1140"/>
        <w:gridCol w:w="1815"/>
      </w:tblGrid>
      <w:tr w:rsidR="00B17E26" w14:paraId="5289BB2F" w14:textId="77777777">
        <w:trPr>
          <w:trHeight w:val="1020"/>
        </w:trPr>
        <w:tc>
          <w:tcPr>
            <w:tcW w:w="3915" w:type="dxa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72CE14E1" w14:textId="77777777" w:rsidR="00B17E26" w:rsidRDefault="0012674A">
            <w:pPr>
              <w:ind w:firstLine="1134"/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ETABLISSEMENTS</w:t>
            </w:r>
          </w:p>
        </w:tc>
        <w:tc>
          <w:tcPr>
            <w:tcW w:w="840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6703F6B2" w14:textId="77777777" w:rsidR="00B17E26" w:rsidRDefault="00B17E26">
            <w:pPr>
              <w:ind w:firstLine="1134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14:paraId="1E1BE75A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CCTP  </w:t>
            </w:r>
          </w:p>
        </w:tc>
        <w:tc>
          <w:tcPr>
            <w:tcW w:w="1365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2F87359F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MONTANT FORFAITAIRE HT ANNUEL</w:t>
            </w:r>
          </w:p>
        </w:tc>
        <w:tc>
          <w:tcPr>
            <w:tcW w:w="1140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7120EB00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Taux de TVA applicable</w:t>
            </w:r>
          </w:p>
        </w:tc>
        <w:tc>
          <w:tcPr>
            <w:tcW w:w="1815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16E461D4" w14:textId="77777777" w:rsidR="00B17E26" w:rsidRDefault="0012674A">
            <w:pPr>
              <w:jc w:val="center"/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MONTANT FORFAITAIRE TTC ANNUEL</w:t>
            </w:r>
          </w:p>
        </w:tc>
      </w:tr>
      <w:tr w:rsidR="00B17E26" w14:paraId="5757C132" w14:textId="77777777">
        <w:trPr>
          <w:trHeight w:val="6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8DEEA9F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 Cherbourg</w:t>
            </w:r>
          </w:p>
        </w:tc>
        <w:tc>
          <w:tcPr>
            <w:tcW w:w="840" w:type="dxa"/>
            <w:vMerge w:val="restart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ADB827E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Article 3.1.3</w:t>
            </w:r>
          </w:p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22A067A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21471C9C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0215F8C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B5B444A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78BA766F" w14:textId="77777777">
        <w:trPr>
          <w:trHeight w:val="6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C9B6DBC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 Coutances</w:t>
            </w: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1CDA594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9560843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5487E8F3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D00A0B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C22A902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7E26" w14:paraId="7D4E7A9B" w14:textId="77777777">
        <w:trPr>
          <w:trHeight w:val="3"/>
        </w:trPr>
        <w:tc>
          <w:tcPr>
            <w:tcW w:w="3915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F32BFA0" w14:textId="77777777" w:rsidR="00B17E26" w:rsidRDefault="0012674A">
            <w:pPr>
              <w:jc w:val="both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CP Caen</w:t>
            </w:r>
          </w:p>
        </w:tc>
        <w:tc>
          <w:tcPr>
            <w:tcW w:w="840" w:type="dxa"/>
            <w:vMerge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8EE5FE9" w14:textId="77777777" w:rsidR="00B17E26" w:rsidRDefault="00B17E26"/>
        </w:tc>
        <w:tc>
          <w:tcPr>
            <w:tcW w:w="136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BE25CC3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60D8CFD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0E6B22F" w14:textId="77777777" w:rsidR="00B17E26" w:rsidRDefault="00B17E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46C27BBA" w14:textId="77777777" w:rsidR="00B17E26" w:rsidRDefault="00B17E26">
      <w:pPr>
        <w:rPr>
          <w:rFonts w:ascii="Calibri" w:hAnsi="Calibri"/>
          <w:color w:val="000000"/>
          <w:sz w:val="22"/>
        </w:rPr>
      </w:pPr>
    </w:p>
    <w:p w14:paraId="2E116C4F" w14:textId="77777777" w:rsidR="00B17E26" w:rsidRDefault="0012674A">
      <w:pPr>
        <w:pageBreakBefore/>
        <w:spacing w:after="160" w:line="259" w:lineRule="atLeast"/>
      </w:pPr>
      <w:r>
        <w:rPr>
          <w:rFonts w:ascii="Calibri" w:hAnsi="Calibri"/>
          <w:b/>
          <w:sz w:val="22"/>
          <w:szCs w:val="22"/>
        </w:rPr>
        <w:lastRenderedPageBreak/>
        <w:t>Poste 2 :</w:t>
      </w:r>
      <w:r>
        <w:rPr>
          <w:rFonts w:ascii="Calibri" w:hAnsi="Calibri"/>
          <w:sz w:val="22"/>
          <w:szCs w:val="22"/>
        </w:rPr>
        <w:t xml:space="preserve"> prestations à la demande sur bon de commande</w:t>
      </w:r>
    </w:p>
    <w:p w14:paraId="6D74CF17" w14:textId="77777777" w:rsidR="00B17E26" w:rsidRDefault="0012674A">
      <w:pPr>
        <w:spacing w:after="160" w:line="259" w:lineRule="atLeast"/>
        <w:jc w:val="center"/>
      </w:pPr>
      <w:r>
        <w:rPr>
          <w:rFonts w:ascii="Calibri" w:hAnsi="Calibri"/>
          <w:b/>
          <w:color w:val="CE181E"/>
          <w:sz w:val="22"/>
          <w:szCs w:val="22"/>
        </w:rPr>
        <w:t>A renseigner obligatoirement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9"/>
        <w:gridCol w:w="1360"/>
        <w:gridCol w:w="1420"/>
        <w:gridCol w:w="2561"/>
      </w:tblGrid>
      <w:tr w:rsidR="00B17E26" w14:paraId="3E6BE2BC" w14:textId="77777777">
        <w:trPr>
          <w:trHeight w:val="300"/>
        </w:trPr>
        <w:tc>
          <w:tcPr>
            <w:tcW w:w="3959" w:type="dxa"/>
            <w:vMerge w:val="restar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35398EA1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Prestation</w:t>
            </w:r>
          </w:p>
        </w:tc>
        <w:tc>
          <w:tcPr>
            <w:tcW w:w="1360" w:type="dxa"/>
            <w:vMerge w:val="restar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7C219844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Unité</w:t>
            </w:r>
          </w:p>
        </w:tc>
        <w:tc>
          <w:tcPr>
            <w:tcW w:w="1420" w:type="dxa"/>
            <w:tcBorders>
              <w:top w:val="single" w:sz="3" w:space="0" w:color="000001"/>
              <w:right w:val="single" w:sz="3" w:space="0" w:color="000001"/>
            </w:tcBorders>
            <w:shd w:val="clear" w:color="auto" w:fill="D9D9D9"/>
            <w:vAlign w:val="bottom"/>
          </w:tcPr>
          <w:p w14:paraId="2FDB6A7B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 xml:space="preserve">PU en € HT </w:t>
            </w:r>
          </w:p>
        </w:tc>
        <w:tc>
          <w:tcPr>
            <w:tcW w:w="2561" w:type="dxa"/>
            <w:vMerge w:val="restar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0F90BB3E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Observation</w:t>
            </w:r>
          </w:p>
        </w:tc>
      </w:tr>
      <w:tr w:rsidR="00B17E26" w14:paraId="40988FF9" w14:textId="77777777">
        <w:trPr>
          <w:trHeight w:val="300"/>
        </w:trPr>
        <w:tc>
          <w:tcPr>
            <w:tcW w:w="3959" w:type="dxa"/>
            <w:vMerge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4BE61C64" w14:textId="77777777" w:rsidR="00B17E26" w:rsidRDefault="00B17E26"/>
        </w:tc>
        <w:tc>
          <w:tcPr>
            <w:tcW w:w="1360" w:type="dxa"/>
            <w:vMerge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55DBF6DA" w14:textId="77777777" w:rsidR="00B17E26" w:rsidRDefault="00B17E26"/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bottom"/>
          </w:tcPr>
          <w:p w14:paraId="7299F0D2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déplacement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inclus ou coefficient</w:t>
            </w:r>
          </w:p>
        </w:tc>
        <w:tc>
          <w:tcPr>
            <w:tcW w:w="2561" w:type="dxa"/>
            <w:vMerge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D9D9D9"/>
            <w:vAlign w:val="center"/>
          </w:tcPr>
          <w:p w14:paraId="16B88A26" w14:textId="77777777" w:rsidR="00B17E26" w:rsidRDefault="00B17E26"/>
        </w:tc>
      </w:tr>
      <w:tr w:rsidR="00B17E26" w14:paraId="373063CF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37D817D4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Elimination de rongeurs (curatif)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816E7B8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bâtiment &lt; 500m2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1C4778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92A4F49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31A07415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5671D031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Elimination de rongeurs (curatif)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74CD964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bâtiment  </w:t>
            </w:r>
            <w:r>
              <w:rPr>
                <w:rFonts w:ascii="Calibri" w:hAnsi="Calibri"/>
                <w:color w:val="000000"/>
                <w:sz w:val="20"/>
              </w:rPr>
              <w:t>&gt; 5</w:t>
            </w:r>
            <w:r>
              <w:rPr>
                <w:rFonts w:ascii="Calibri" w:hAnsi="Calibri"/>
                <w:color w:val="000000"/>
                <w:sz w:val="22"/>
              </w:rPr>
              <w:t>00m2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A3CB942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69BC9FB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7005E45D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7392118F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Elimination loir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5B8832D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Par bâtiment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28D224C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B69AC5B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0A8CAD93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2D16C4AA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 xml:space="preserve">Elimination lérot 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D83716B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Par bâtiment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6A2F08A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3F2895F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37F36F7E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51EB8C62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Elimination fouine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4757D57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Par bâtiment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A56687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FF292B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68824212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1108F5AA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Elimination furet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FC539C6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Par bâtiment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C46318D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BE7D925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0F33F7EF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682DA060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Élimination de fourmis</w:t>
            </w:r>
            <w:r>
              <w:rPr>
                <w:rFonts w:ascii="Calibri" w:hAnsi="Calibri"/>
                <w:color w:val="000000"/>
                <w:sz w:val="22"/>
              </w:rPr>
              <w:tab/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96E7C09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ml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de traitement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E99341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67059DB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56FBB301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57BB4957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Élimination de guêpes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6F96D51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nid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9E386AD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8B29B46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4E3DFCFA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110F20C2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Élimination de frelons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C685B77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nid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A89A56C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D9BD4C3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7CBF172E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3B1EEF3E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Élimination de frelons asiatiques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CCCF0FF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nid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D462773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7644531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3DBE2181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49E92A42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Élimination d'insectes volants (moustiques, moucherons…)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1070B35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ml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de traitement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645B2F0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AEE945A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411B7023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42181F6A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Nébulisation (moustiques, moucherons…)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279FF46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local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D42EB23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B4354DC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10CB8D9A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54A9BDFD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Nébulisation (moustiques, moucherons…)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EEA737F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50 m3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35D87C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62EE9C9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3AA6D2DA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6C040EA8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Élimination de blattes toutes espèces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2B32855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bâtiment &lt; 100m2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E1F34E5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E3D244F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536EDAA1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2CF3BB41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Élimination de blattes toutes espèces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D638016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bâtiment  &gt; 100m2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D358CCF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A67993F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168FE691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5EC63D09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Mise en place de répulsif serpents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6206758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ml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de traitement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4299C72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B639675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3646F7B5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298CF6E9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Traitement des chenilles processionnaires (traitement chimique)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FE8FEE5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arbre 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8875E26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C33B22C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017FB272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5B99BDA8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Traitement des chenilles processionnaires (traitement chimique)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40DCD3E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pour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5 arbres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0879CFE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D9E6B1B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4A09E699" w14:textId="77777777">
        <w:trPr>
          <w:trHeight w:val="674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1AED6568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Traitement des chenilles processionnaires (traitement mécanique)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057FDC8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arbre 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AAFAD12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08F71B3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72C6EA74" w14:textId="77777777">
        <w:trPr>
          <w:trHeight w:val="556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78E05E1C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lastRenderedPageBreak/>
              <w:t>Traitement des chenilles processionnaires (traitement mécanique)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28752E7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pour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5 arbres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C845624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BE95DF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0EA969FA" w14:textId="77777777">
        <w:trPr>
          <w:trHeight w:val="315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541D4B9E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Traitement contre les punaises de lit (curatif)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2EAC066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Par lit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2E3ADEC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393F84C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305A6BA4" w14:textId="77777777">
        <w:trPr>
          <w:trHeight w:val="315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14535D16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 xml:space="preserve">Traitement </w:t>
            </w:r>
            <w:proofErr w:type="spellStart"/>
            <w:r>
              <w:rPr>
                <w:rFonts w:ascii="Calibri" w:hAnsi="Calibri"/>
                <w:color w:val="000000"/>
                <w:sz w:val="22"/>
              </w:rPr>
              <w:t>anti-acariens</w:t>
            </w:r>
            <w:proofErr w:type="spellEnd"/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D26D07C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Par lit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519076E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C3ECD65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25202456" w14:textId="77777777">
        <w:trPr>
          <w:trHeight w:val="315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17E04527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 xml:space="preserve">Traitements des poux, gales 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1C9A317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lit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F826C7D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988EE05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21FA0CB8" w14:textId="77777777">
        <w:trPr>
          <w:trHeight w:val="315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5D1ECE02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Traitement des puces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1D2099B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Par local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1C741D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435E0B4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7F6460B6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10C6B295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Déplacement d'un essaim (abeilles compris)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1BDB966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par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essaim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67E4B8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6247334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311EEA28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48DF299E" w14:textId="24E08543" w:rsidR="00B17E26" w:rsidRDefault="0012674A">
            <w:r>
              <w:rPr>
                <w:rFonts w:ascii="Calibri" w:hAnsi="Calibri"/>
                <w:color w:val="000000"/>
                <w:sz w:val="22"/>
              </w:rPr>
              <w:t>Traitement des pigeons et autre volatile (Eloignement – mise en place de piques)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44C63D9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ml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de traitement 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19F4050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5733E05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71650856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0A09DE0C" w14:textId="093038C2" w:rsidR="00B17E26" w:rsidRDefault="0012674A">
            <w:r>
              <w:rPr>
                <w:rFonts w:ascii="Calibri" w:hAnsi="Calibri"/>
                <w:color w:val="000000"/>
                <w:sz w:val="22"/>
              </w:rPr>
              <w:t>Traitement des pigeons et autre volatile (Eloignement – mise en place de filets)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79819D9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m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>2 de surface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124691B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CE11164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1F49D0A3" w14:textId="77777777">
        <w:trPr>
          <w:trHeight w:val="28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4BFDB15E" w14:textId="29D13549" w:rsidR="00B17E26" w:rsidRDefault="0012674A">
            <w:r>
              <w:rPr>
                <w:rFonts w:ascii="Calibri" w:hAnsi="Calibri"/>
                <w:color w:val="000000"/>
                <w:sz w:val="22"/>
              </w:rPr>
              <w:t>Traitement des pigeons et autre volatile (capture)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E8A532A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Bâtiment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BA5614C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292A82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3F7BF87E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6DD5C957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* Majoration des prestations si intervention d'une hauteur du sol de 2 à 5 m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D99FD6D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Coefficient de plus-value de hauteur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79C0AF3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85CE9A4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16432870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11F8D14B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* Majoration des prestations si intervention d'une hauteur du sol de 5,01 à 10 m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181E3B8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Coefficient de plus-value de hauteur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F09C98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5854F61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1D241D9A" w14:textId="77777777">
        <w:trPr>
          <w:trHeight w:val="315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29730F41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* Majoration des prestations si intervention d'une hauteur du sol de 10,01 à 25 m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E1CFDCA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Coefficient de plus-value de hauteur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9410BAA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F697E6E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1820839F" w14:textId="77777777">
        <w:trPr>
          <w:trHeight w:val="315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0D90560B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* Majoration des prestations si intervention d'une hauteur du sol supérieure à 25 m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541A734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Coefficient de plus-value de hauteur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72B87378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932ACEB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18C4E3FA" w14:textId="77777777">
        <w:trPr>
          <w:trHeight w:val="315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326632D8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Location d’une nacelle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5B95845" w14:textId="77777777" w:rsidR="00B17E26" w:rsidRDefault="0012674A">
            <w:pPr>
              <w:jc w:val="center"/>
            </w:pPr>
            <w:proofErr w:type="gramStart"/>
            <w:r>
              <w:rPr>
                <w:rFonts w:ascii="Calibri" w:hAnsi="Calibri"/>
                <w:color w:val="000000"/>
                <w:sz w:val="22"/>
              </w:rPr>
              <w:t>½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 xml:space="preserve"> journée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027C13B4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D0CA28D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79EE14D9" w14:textId="77777777">
        <w:trPr>
          <w:trHeight w:val="315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546AB5D3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Location d’une nacelle (prix jour)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1CCE4ED9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Journée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1B3A397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39799A4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6A79110C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3DA2B4BB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Achat de consommables (insecticide aérosol insectes volants et rampants)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5FC32FE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Unité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73CF192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580C49D3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636D613B" w14:textId="77777777">
        <w:trPr>
          <w:trHeight w:val="600"/>
        </w:trPr>
        <w:tc>
          <w:tcPr>
            <w:tcW w:w="3959" w:type="dxa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418FDAB1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Mise en place de désinsectiseur électrique + maintenance et entretien</w:t>
            </w:r>
          </w:p>
        </w:tc>
        <w:tc>
          <w:tcPr>
            <w:tcW w:w="1360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46C59044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Unité</w:t>
            </w:r>
          </w:p>
        </w:tc>
        <w:tc>
          <w:tcPr>
            <w:tcW w:w="1420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43C63FC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top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BD487E0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B17E26" w14:paraId="5B520602" w14:textId="77777777">
        <w:trPr>
          <w:trHeight w:val="600"/>
        </w:trPr>
        <w:tc>
          <w:tcPr>
            <w:tcW w:w="3959" w:type="dxa"/>
            <w:tcBorders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  <w:vAlign w:val="bottom"/>
          </w:tcPr>
          <w:p w14:paraId="763811DC" w14:textId="77777777" w:rsidR="00B17E26" w:rsidRDefault="0012674A">
            <w:r>
              <w:rPr>
                <w:rFonts w:ascii="Calibri" w:hAnsi="Calibri"/>
                <w:color w:val="000000"/>
                <w:sz w:val="22"/>
              </w:rPr>
              <w:t>Désinfection de véhicule</w:t>
            </w:r>
          </w:p>
        </w:tc>
        <w:tc>
          <w:tcPr>
            <w:tcW w:w="136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601227AC" w14:textId="77777777" w:rsidR="00B17E26" w:rsidRDefault="0012674A">
            <w:pPr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Par véhicule</w:t>
            </w:r>
          </w:p>
        </w:tc>
        <w:tc>
          <w:tcPr>
            <w:tcW w:w="1420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3388C9FA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61" w:type="dxa"/>
            <w:tcBorders>
              <w:bottom w:val="single" w:sz="3" w:space="0" w:color="000001"/>
              <w:right w:val="single" w:sz="3" w:space="0" w:color="000001"/>
            </w:tcBorders>
            <w:shd w:val="clear" w:color="auto" w:fill="auto"/>
            <w:vAlign w:val="center"/>
          </w:tcPr>
          <w:p w14:paraId="21B94327" w14:textId="77777777" w:rsidR="00B17E26" w:rsidRDefault="00B17E2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</w:tbl>
    <w:p w14:paraId="74BD6892" w14:textId="77777777" w:rsidR="00B17E26" w:rsidRDefault="0012674A">
      <w:pPr>
        <w:spacing w:after="160" w:line="259" w:lineRule="atLeast"/>
      </w:pPr>
      <w:proofErr w:type="gramStart"/>
      <w:r>
        <w:rPr>
          <w:rFonts w:ascii="Calibri" w:hAnsi="Calibri"/>
          <w:color w:val="000000"/>
          <w:sz w:val="22"/>
        </w:rPr>
        <w:t>ml</w:t>
      </w:r>
      <w:proofErr w:type="gramEnd"/>
      <w:r>
        <w:rPr>
          <w:rFonts w:ascii="Calibri" w:hAnsi="Calibri"/>
          <w:color w:val="000000"/>
          <w:sz w:val="22"/>
        </w:rPr>
        <w:t xml:space="preserve"> = mètre linéaire</w:t>
      </w:r>
    </w:p>
    <w:p w14:paraId="21618DD2" w14:textId="77777777" w:rsidR="00B17E26" w:rsidRDefault="00B17E26">
      <w:pPr>
        <w:spacing w:after="160" w:line="259" w:lineRule="atLeast"/>
        <w:rPr>
          <w:rFonts w:ascii="Calibri" w:hAnsi="Calibri"/>
          <w:color w:val="000000"/>
          <w:sz w:val="22"/>
        </w:rPr>
      </w:pPr>
    </w:p>
    <w:p w14:paraId="368A709B" w14:textId="77777777" w:rsidR="00B17E26" w:rsidRDefault="0012674A">
      <w:pPr>
        <w:spacing w:after="160" w:line="259" w:lineRule="atLeast"/>
      </w:pPr>
      <w:r>
        <w:rPr>
          <w:rFonts w:ascii="Calibri" w:hAnsi="Calibri"/>
          <w:color w:val="000000"/>
          <w:sz w:val="22"/>
        </w:rPr>
        <w:t xml:space="preserve">* Coefficient (%) applicable aux prix de la prestation concernée par un travail en hauteur.    </w:t>
      </w:r>
    </w:p>
    <w:p w14:paraId="780EB070" w14:textId="77777777" w:rsidR="0012674A" w:rsidRDefault="0012674A"/>
    <w:sectPr w:rsidR="0012674A">
      <w:headerReference w:type="default" r:id="rId6"/>
      <w:headerReference w:type="first" r:id="rId7"/>
      <w:pgSz w:w="11906" w:h="16838"/>
      <w:pgMar w:top="1500" w:right="1134" w:bottom="1134" w:left="1134" w:header="360" w:footer="720" w:gutter="0"/>
      <w:cols w:space="72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507FE" w14:textId="77777777" w:rsidR="0012674A" w:rsidRDefault="0012674A">
      <w:r>
        <w:separator/>
      </w:r>
    </w:p>
  </w:endnote>
  <w:endnote w:type="continuationSeparator" w:id="0">
    <w:p w14:paraId="15F99ABB" w14:textId="77777777" w:rsidR="0012674A" w:rsidRDefault="0012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3B97D" w14:textId="77777777" w:rsidR="0012674A" w:rsidRDefault="0012674A">
      <w:r>
        <w:separator/>
      </w:r>
    </w:p>
  </w:footnote>
  <w:footnote w:type="continuationSeparator" w:id="0">
    <w:p w14:paraId="47A33AE3" w14:textId="77777777" w:rsidR="0012674A" w:rsidRDefault="0012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3B102" w14:textId="77777777" w:rsidR="00B17E26" w:rsidRDefault="0012674A">
    <w:pPr>
      <w:spacing w:after="160" w:line="259" w:lineRule="atLeast"/>
      <w:jc w:val="both"/>
    </w:pPr>
    <w:r>
      <w:rPr>
        <w:rFonts w:ascii="Calibri" w:hAnsi="Calibri"/>
        <w:b/>
        <w:sz w:val="32"/>
        <w:szCs w:val="32"/>
      </w:rPr>
      <w:t xml:space="preserve">ANNEXE FINANCIÈRE A L’ACTE D’ENGAGEMENT </w:t>
    </w:r>
  </w:p>
  <w:p w14:paraId="155A95D0" w14:textId="77777777" w:rsidR="00B17E26" w:rsidRDefault="0012674A">
    <w:pPr>
      <w:spacing w:after="160" w:line="259" w:lineRule="atLeast"/>
      <w:jc w:val="both"/>
    </w:pPr>
    <w:r>
      <w:rPr>
        <w:rFonts w:ascii="Calibri" w:hAnsi="Calibri"/>
        <w:b/>
        <w:sz w:val="32"/>
        <w:szCs w:val="32"/>
      </w:rPr>
      <w:t xml:space="preserve"> </w:t>
    </w:r>
    <w:r>
      <w:rPr>
        <w:rFonts w:ascii="Calibri" w:hAnsi="Calibri"/>
        <w:b/>
        <w:sz w:val="28"/>
        <w:szCs w:val="28"/>
      </w:rPr>
      <w:t>LOT 1 – Départements 14 – 50 et 61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D5EC1" w14:textId="77777777" w:rsidR="00B17E26" w:rsidRDefault="00B17E2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4A"/>
    <w:rsid w:val="0012674A"/>
    <w:rsid w:val="00895623"/>
    <w:rsid w:val="00B17E26"/>
    <w:rsid w:val="00E0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EE27FF"/>
  <w15:chartTrackingRefBased/>
  <w15:docId w15:val="{6E919A80-4498-4666-83B7-5CE76B770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568</Words>
  <Characters>3130</Characters>
  <Application>Microsoft Office Word</Application>
  <DocSecurity>0</DocSecurity>
  <Lines>26</Lines>
  <Paragraphs>7</Paragraphs>
  <ScaleCrop>false</ScaleCrop>
  <Company>MinisteredelaJustice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GOUZARCH Anthony</dc:creator>
  <cp:keywords/>
  <cp:lastModifiedBy>GOUZARCH Anthony</cp:lastModifiedBy>
  <cp:revision>3</cp:revision>
  <cp:lastPrinted>1899-12-31T23:00:00Z</cp:lastPrinted>
  <dcterms:created xsi:type="dcterms:W3CDTF">2024-08-14T12:36:00Z</dcterms:created>
  <dcterms:modified xsi:type="dcterms:W3CDTF">2025-01-20T14:19:00Z</dcterms:modified>
</cp:coreProperties>
</file>