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27C22233"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F87064">
        <w:rPr>
          <w:rFonts w:ascii="Marianne" w:hAnsi="Marianne" w:cs="Arial"/>
          <w:b/>
          <w:bCs/>
          <w:sz w:val="18"/>
          <w:szCs w:val="18"/>
        </w:rPr>
        <w:t>7</w:t>
      </w:r>
      <w:r w:rsidR="009F355C">
        <w:rPr>
          <w:rFonts w:ascii="Marianne" w:hAnsi="Marianne" w:cs="Arial"/>
          <w:b/>
          <w:bCs/>
          <w:sz w:val="18"/>
          <w:szCs w:val="18"/>
        </w:rPr>
        <w:t xml:space="preserve"> – </w:t>
      </w:r>
      <w:r w:rsidR="00F87064">
        <w:rPr>
          <w:rFonts w:ascii="Marianne" w:hAnsi="Marianne" w:cs="Arial"/>
          <w:b/>
          <w:bCs/>
          <w:sz w:val="18"/>
          <w:szCs w:val="18"/>
        </w:rPr>
        <w:t>Chasse</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600D3644" w:rsidR="00C61EBB" w:rsidRPr="009F355C" w:rsidRDefault="00F87064"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7</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B13F5E6" w:rsidR="00C61EBB" w:rsidRPr="009F355C" w:rsidRDefault="00F87064" w:rsidP="00C61EBB">
            <w:pPr>
              <w:tabs>
                <w:tab w:val="left" w:pos="708"/>
                <w:tab w:val="center" w:pos="4536"/>
                <w:tab w:val="right" w:pos="9072"/>
              </w:tabs>
              <w:jc w:val="center"/>
              <w:rPr>
                <w:rFonts w:ascii="Arial" w:hAnsi="Arial" w:cs="Arial"/>
                <w:b/>
                <w:bCs/>
                <w:sz w:val="16"/>
                <w:szCs w:val="20"/>
              </w:rPr>
            </w:pPr>
            <w:r>
              <w:rPr>
                <w:rFonts w:ascii="Calibri" w:eastAsia="Arial" w:hAnsi="Calibri" w:cs="Calibri"/>
                <w:b/>
                <w:bCs/>
                <w:color w:val="000000"/>
                <w:sz w:val="20"/>
                <w:szCs w:val="22"/>
              </w:rPr>
              <w:t>Chasse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5632F429" w:rsidR="00C61EBB" w:rsidRPr="009F355C" w:rsidRDefault="00F87064"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4</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A69F6"/>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11DB"/>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03B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87064"/>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6795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2025-01-20T08:46:00Z</dcterms:created>
  <dcterms:modified xsi:type="dcterms:W3CDTF">2025-01-20T08:46:00Z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