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80123" w14:textId="5050997F" w:rsidR="006B1E10" w:rsidRDefault="006B1E10" w:rsidP="00BF7796">
      <w:pPr>
        <w:tabs>
          <w:tab w:val="left" w:pos="5954"/>
        </w:tabs>
        <w:spacing w:after="160" w:line="259" w:lineRule="auto"/>
        <w:rPr>
          <w:rFonts w:ascii="Calibri" w:eastAsia="Calibri" w:hAnsi="Calibri" w:cs="Times New Roman"/>
        </w:rPr>
      </w:pPr>
      <w:bookmarkStart w:id="0" w:name="_Hlk188363551"/>
      <w:r w:rsidRPr="006B1E10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1312" behindDoc="0" locked="0" layoutInCell="1" allowOverlap="1" wp14:anchorId="3F1D7ACC" wp14:editId="68FCBFE5">
            <wp:simplePos x="0" y="0"/>
            <wp:positionH relativeFrom="column">
              <wp:posOffset>0</wp:posOffset>
            </wp:positionH>
            <wp:positionV relativeFrom="paragraph">
              <wp:posOffset>4445</wp:posOffset>
            </wp:positionV>
            <wp:extent cx="2414443" cy="868019"/>
            <wp:effectExtent l="0" t="0" r="5080" b="889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443" cy="8680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B1E10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2336" behindDoc="0" locked="0" layoutInCell="1" allowOverlap="1" wp14:anchorId="435AA196" wp14:editId="41007B08">
            <wp:simplePos x="0" y="0"/>
            <wp:positionH relativeFrom="margin">
              <wp:posOffset>3752850</wp:posOffset>
            </wp:positionH>
            <wp:positionV relativeFrom="paragraph">
              <wp:posOffset>-635</wp:posOffset>
            </wp:positionV>
            <wp:extent cx="2339069" cy="714375"/>
            <wp:effectExtent l="0" t="0" r="444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9069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354E" w:rsidRPr="0038354E">
        <w:rPr>
          <w:rFonts w:ascii="Calibri" w:eastAsia="Calibri" w:hAnsi="Calibri" w:cs="Times New Roman"/>
        </w:rPr>
        <w:tab/>
      </w:r>
    </w:p>
    <w:p w14:paraId="16AB37BF" w14:textId="77777777" w:rsidR="006B1E10" w:rsidRDefault="006B1E10" w:rsidP="00BF7796">
      <w:pPr>
        <w:tabs>
          <w:tab w:val="left" w:pos="5954"/>
        </w:tabs>
        <w:spacing w:after="160" w:line="259" w:lineRule="auto"/>
        <w:rPr>
          <w:rFonts w:ascii="Calibri" w:eastAsia="Calibri" w:hAnsi="Calibri" w:cs="Times New Roman"/>
        </w:rPr>
      </w:pPr>
    </w:p>
    <w:p w14:paraId="5B290924" w14:textId="77777777" w:rsidR="006B1E10" w:rsidRDefault="006B1E10" w:rsidP="00BF7796">
      <w:pPr>
        <w:tabs>
          <w:tab w:val="left" w:pos="5954"/>
        </w:tabs>
        <w:spacing w:after="160" w:line="259" w:lineRule="auto"/>
        <w:rPr>
          <w:rFonts w:ascii="Calibri" w:eastAsia="Calibri" w:hAnsi="Calibri" w:cs="Times New Roman"/>
        </w:rPr>
      </w:pPr>
    </w:p>
    <w:p w14:paraId="4DA670CC" w14:textId="4186604C" w:rsidR="0038354E" w:rsidRPr="0038354E" w:rsidRDefault="0038354E" w:rsidP="00BF7796">
      <w:pPr>
        <w:tabs>
          <w:tab w:val="left" w:pos="5954"/>
        </w:tabs>
        <w:spacing w:after="160" w:line="259" w:lineRule="auto"/>
        <w:rPr>
          <w:rFonts w:ascii="Calibri" w:eastAsia="Calibri" w:hAnsi="Calibri" w:cs="Times New Roman"/>
        </w:rPr>
      </w:pPr>
      <w:r w:rsidRPr="0038354E">
        <w:rPr>
          <w:rFonts w:ascii="Calibri" w:eastAsia="Calibri" w:hAnsi="Calibri" w:cs="Times New Roman"/>
        </w:rPr>
        <w:tab/>
      </w:r>
      <w:r w:rsidRPr="0038354E">
        <w:rPr>
          <w:rFonts w:ascii="Calibri" w:eastAsia="Calibri" w:hAnsi="Calibri" w:cs="Times New Roman"/>
        </w:rPr>
        <w:tab/>
      </w:r>
      <w:r w:rsidRPr="0038354E">
        <w:rPr>
          <w:rFonts w:ascii="Calibri" w:eastAsia="Calibri" w:hAnsi="Calibri" w:cs="Times New Roman"/>
        </w:rPr>
        <w:tab/>
      </w:r>
    </w:p>
    <w:tbl>
      <w:tblPr>
        <w:tblW w:w="9781" w:type="dxa"/>
        <w:tblInd w:w="11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38354E" w:rsidRPr="0038354E" w14:paraId="530098EA" w14:textId="77777777" w:rsidTr="00C35BC6">
        <w:tc>
          <w:tcPr>
            <w:tcW w:w="9781" w:type="dxa"/>
          </w:tcPr>
          <w:p w14:paraId="054213DC" w14:textId="77777777" w:rsidR="0038354E" w:rsidRPr="0038354E" w:rsidRDefault="0038354E" w:rsidP="0038354E">
            <w:pPr>
              <w:spacing w:after="0" w:line="240" w:lineRule="auto"/>
              <w:ind w:left="567" w:right="641"/>
              <w:rPr>
                <w:rFonts w:ascii="Arial Narrow" w:eastAsia="Times New Roman" w:hAnsi="Arial Narrow" w:cs="Times New Roman"/>
                <w:b/>
                <w:sz w:val="6"/>
                <w:szCs w:val="24"/>
                <w:lang w:eastAsia="fr-FR"/>
              </w:rPr>
            </w:pPr>
          </w:p>
        </w:tc>
      </w:tr>
      <w:tr w:rsidR="0038354E" w:rsidRPr="0038354E" w14:paraId="6F1C0F12" w14:textId="77777777" w:rsidTr="00C35BC6">
        <w:tc>
          <w:tcPr>
            <w:tcW w:w="9781" w:type="dxa"/>
          </w:tcPr>
          <w:p w14:paraId="58F73979" w14:textId="77777777" w:rsidR="0038354E" w:rsidRPr="0038354E" w:rsidRDefault="0038354E" w:rsidP="00C35BC6">
            <w:pPr>
              <w:spacing w:after="0" w:line="240" w:lineRule="auto"/>
              <w:ind w:left="284"/>
              <w:jc w:val="center"/>
              <w:rPr>
                <w:rFonts w:ascii="Trebuchet MS" w:eastAsia="Times New Roman" w:hAnsi="Trebuchet MS" w:cs="Times New Roman"/>
                <w:b/>
                <w:i/>
                <w:sz w:val="32"/>
                <w:szCs w:val="24"/>
                <w:u w:val="single"/>
                <w:lang w:eastAsia="fr-FR"/>
              </w:rPr>
            </w:pPr>
          </w:p>
          <w:p w14:paraId="1F64C973" w14:textId="66550F7D" w:rsidR="0038354E" w:rsidRPr="00F85020" w:rsidRDefault="00F85020" w:rsidP="00C35BC6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b/>
                <w:i/>
                <w:sz w:val="32"/>
                <w:szCs w:val="32"/>
                <w:u w:val="single"/>
                <w:lang w:eastAsia="fr-FR"/>
              </w:rPr>
            </w:pPr>
            <w:r w:rsidRPr="00F85020">
              <w:rPr>
                <w:rFonts w:ascii="Arial" w:eastAsia="Times New Roman" w:hAnsi="Arial" w:cs="Arial"/>
                <w:b/>
                <w:i/>
                <w:sz w:val="32"/>
                <w:szCs w:val="32"/>
                <w:u w:val="single"/>
                <w:lang w:eastAsia="fr-FR"/>
              </w:rPr>
              <w:t>M</w:t>
            </w:r>
            <w:r w:rsidR="00C32293">
              <w:rPr>
                <w:rFonts w:ascii="Arial" w:eastAsia="Times New Roman" w:hAnsi="Arial" w:cs="Arial"/>
                <w:b/>
                <w:i/>
                <w:sz w:val="32"/>
                <w:szCs w:val="32"/>
                <w:u w:val="single"/>
                <w:lang w:eastAsia="fr-FR"/>
              </w:rPr>
              <w:t>É</w:t>
            </w:r>
            <w:r w:rsidRPr="00F85020">
              <w:rPr>
                <w:rFonts w:ascii="Arial" w:eastAsia="Times New Roman" w:hAnsi="Arial" w:cs="Arial"/>
                <w:b/>
                <w:i/>
                <w:sz w:val="32"/>
                <w:szCs w:val="32"/>
                <w:u w:val="single"/>
                <w:lang w:eastAsia="fr-FR"/>
              </w:rPr>
              <w:t>MOIRE TECHNIQUE</w:t>
            </w:r>
          </w:p>
          <w:p w14:paraId="7891093B" w14:textId="77777777" w:rsidR="0038354E" w:rsidRPr="0038354E" w:rsidRDefault="0038354E" w:rsidP="00C35BC6">
            <w:pPr>
              <w:spacing w:after="0" w:line="240" w:lineRule="auto"/>
              <w:ind w:left="284"/>
              <w:jc w:val="center"/>
              <w:rPr>
                <w:rFonts w:ascii="Trebuchet MS" w:eastAsia="Times New Roman" w:hAnsi="Trebuchet MS" w:cs="Times New Roman"/>
                <w:b/>
                <w:i/>
                <w:sz w:val="32"/>
                <w:szCs w:val="24"/>
                <w:u w:val="single"/>
                <w:lang w:eastAsia="fr-FR"/>
              </w:rPr>
            </w:pPr>
          </w:p>
        </w:tc>
      </w:tr>
    </w:tbl>
    <w:p w14:paraId="18D40948" w14:textId="77777777" w:rsidR="0038354E" w:rsidRPr="006B1E10" w:rsidRDefault="0038354E" w:rsidP="00C35BC6">
      <w:pPr>
        <w:spacing w:after="160" w:line="259" w:lineRule="auto"/>
        <w:rPr>
          <w:rFonts w:ascii="Arial" w:eastAsia="Calibri" w:hAnsi="Arial" w:cs="Arial"/>
        </w:rPr>
      </w:pPr>
    </w:p>
    <w:p w14:paraId="1974DCC9" w14:textId="359B301E" w:rsidR="0038354E" w:rsidRPr="006B1E10" w:rsidRDefault="0038354E" w:rsidP="00C35BC6">
      <w:pPr>
        <w:spacing w:after="160" w:line="259" w:lineRule="auto"/>
        <w:rPr>
          <w:rFonts w:ascii="Arial" w:eastAsia="Calibri" w:hAnsi="Arial" w:cs="Arial"/>
        </w:rPr>
      </w:pPr>
      <w:r w:rsidRPr="006B1E10">
        <w:rPr>
          <w:rFonts w:ascii="Arial" w:eastAsia="Calibri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8B18A40" wp14:editId="7234DE4A">
                <wp:simplePos x="0" y="0"/>
                <wp:positionH relativeFrom="margin">
                  <wp:posOffset>55245</wp:posOffset>
                </wp:positionH>
                <wp:positionV relativeFrom="paragraph">
                  <wp:posOffset>104140</wp:posOffset>
                </wp:positionV>
                <wp:extent cx="6248400" cy="11049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400" cy="1104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02AC41" id="Rectangle 3" o:spid="_x0000_s1026" style="position:absolute;margin-left:4.35pt;margin-top:8.2pt;width:492pt;height:87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" fillcolor="#a6a6a6" strokecolor="windowText" strokeweight="1pt">
                <w10:wrap anchorx="margin"/>
              </v:rect>
            </w:pict>
          </mc:Fallback>
        </mc:AlternateContent>
      </w:r>
    </w:p>
    <w:p w14:paraId="088CBDF5" w14:textId="77777777" w:rsidR="00AA658C" w:rsidRDefault="00F03497" w:rsidP="00F03497">
      <w:pPr>
        <w:tabs>
          <w:tab w:val="center" w:pos="5103"/>
          <w:tab w:val="left" w:pos="6036"/>
        </w:tabs>
        <w:spacing w:after="0" w:line="259" w:lineRule="auto"/>
        <w:ind w:left="284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ab/>
      </w:r>
      <w:r w:rsidR="0038354E" w:rsidRPr="00F85020">
        <w:rPr>
          <w:rFonts w:ascii="Arial" w:eastAsia="Times New Roman" w:hAnsi="Arial" w:cs="Arial"/>
          <w:b/>
          <w:sz w:val="28"/>
          <w:szCs w:val="28"/>
          <w:lang w:eastAsia="fr-FR"/>
        </w:rPr>
        <w:t>OBJET</w:t>
      </w:r>
      <w:r w:rsidR="00AA658C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</w:t>
      </w:r>
    </w:p>
    <w:p w14:paraId="3346C564" w14:textId="7140A70E" w:rsidR="0038354E" w:rsidRPr="00F85020" w:rsidRDefault="00AA658C" w:rsidP="00F03497">
      <w:pPr>
        <w:tabs>
          <w:tab w:val="center" w:pos="5103"/>
          <w:tab w:val="left" w:pos="6036"/>
        </w:tabs>
        <w:spacing w:after="0" w:line="259" w:lineRule="auto"/>
        <w:ind w:left="284"/>
        <w:rPr>
          <w:rFonts w:ascii="Arial" w:eastAsia="Calibri" w:hAnsi="Arial" w:cs="Arial"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LOT 1</w:t>
      </w:r>
      <w:r w:rsidR="00DC2E3F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:</w:t>
      </w:r>
      <w:r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</w:t>
      </w:r>
      <w:r w:rsidR="00DC2E3F" w:rsidRPr="00DC2E3F">
        <w:rPr>
          <w:rFonts w:ascii="Arial" w:eastAsia="Times New Roman" w:hAnsi="Arial" w:cs="Arial"/>
          <w:b/>
          <w:sz w:val="28"/>
          <w:szCs w:val="28"/>
          <w:lang w:eastAsia="fr-FR"/>
        </w:rPr>
        <w:t>Travaux de déconstruction des superstructures et infrastructures du bâtiment, évacuation et revalorisation des matériaux et des déchets</w:t>
      </w:r>
      <w:r w:rsidR="00F03497">
        <w:rPr>
          <w:rFonts w:ascii="Arial" w:eastAsia="Times New Roman" w:hAnsi="Arial" w:cs="Arial"/>
          <w:b/>
          <w:sz w:val="28"/>
          <w:szCs w:val="28"/>
          <w:lang w:eastAsia="fr-FR"/>
        </w:rPr>
        <w:tab/>
      </w:r>
    </w:p>
    <w:p w14:paraId="3D0F53E9" w14:textId="77777777" w:rsidR="0038354E" w:rsidRPr="006B1E10" w:rsidRDefault="0038354E" w:rsidP="00C35BC6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Grilledutableau"/>
        <w:tblpPr w:leftFromText="141" w:rightFromText="141" w:vertAnchor="text" w:horzAnchor="margin" w:tblpXSpec="center" w:tblpY="576"/>
        <w:tblW w:w="0" w:type="auto"/>
        <w:tblLook w:val="04A0" w:firstRow="1" w:lastRow="0" w:firstColumn="1" w:lastColumn="0" w:noHBand="0" w:noVBand="1"/>
      </w:tblPr>
      <w:tblGrid>
        <w:gridCol w:w="9776"/>
      </w:tblGrid>
      <w:tr w:rsidR="0038354E" w:rsidRPr="006B1E10" w14:paraId="417BFEBC" w14:textId="77777777" w:rsidTr="00C35BC6">
        <w:tc>
          <w:tcPr>
            <w:tcW w:w="9776" w:type="dxa"/>
            <w:shd w:val="clear" w:color="auto" w:fill="A6A6A6"/>
          </w:tcPr>
          <w:p w14:paraId="3DDFEA9B" w14:textId="77777777" w:rsidR="006B1E10" w:rsidRDefault="006B1E10" w:rsidP="00C35BC6">
            <w:pPr>
              <w:ind w:left="284"/>
              <w:jc w:val="center"/>
              <w:rPr>
                <w:rFonts w:ascii="Arial" w:eastAsia="Calibri" w:hAnsi="Arial" w:cs="Arial"/>
              </w:rPr>
            </w:pPr>
          </w:p>
          <w:p w14:paraId="05E14FC9" w14:textId="2FBE9827" w:rsidR="0038354E" w:rsidRPr="00F85020" w:rsidRDefault="0038354E" w:rsidP="00C35BC6">
            <w:pPr>
              <w:ind w:left="284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F85020">
              <w:rPr>
                <w:rFonts w:ascii="Arial" w:eastAsia="Calibri" w:hAnsi="Arial" w:cs="Arial"/>
                <w:sz w:val="28"/>
                <w:szCs w:val="28"/>
              </w:rPr>
              <w:t>Objet de la consultation</w:t>
            </w:r>
          </w:p>
          <w:p w14:paraId="1012EF88" w14:textId="1F9DDAD8" w:rsidR="006B1E10" w:rsidRPr="006B1E10" w:rsidRDefault="006B1E10" w:rsidP="00C35BC6">
            <w:pPr>
              <w:ind w:left="284"/>
              <w:jc w:val="center"/>
              <w:rPr>
                <w:rFonts w:ascii="Arial" w:eastAsia="Calibri" w:hAnsi="Arial" w:cs="Arial"/>
              </w:rPr>
            </w:pPr>
          </w:p>
        </w:tc>
      </w:tr>
      <w:tr w:rsidR="0038354E" w:rsidRPr="006B1E10" w14:paraId="71773C7F" w14:textId="77777777" w:rsidTr="00C35BC6">
        <w:tc>
          <w:tcPr>
            <w:tcW w:w="9776" w:type="dxa"/>
          </w:tcPr>
          <w:p w14:paraId="4CE85354" w14:textId="175BBE2B" w:rsidR="0038354E" w:rsidRPr="006B1E10" w:rsidRDefault="0038354E" w:rsidP="00C35BC6">
            <w:pPr>
              <w:ind w:left="284"/>
              <w:jc w:val="center"/>
              <w:rPr>
                <w:rFonts w:ascii="Arial" w:eastAsia="Calibri" w:hAnsi="Arial" w:cs="Arial"/>
              </w:rPr>
            </w:pPr>
          </w:p>
          <w:p w14:paraId="530F7CAF" w14:textId="77777777" w:rsidR="00C32293" w:rsidRPr="00DE6920" w:rsidRDefault="00C32293" w:rsidP="00C32293">
            <w:pPr>
              <w:rPr>
                <w:rFonts w:ascii="Arial" w:eastAsia="Times New Roman" w:hAnsi="Arial" w:cs="Arial"/>
                <w:sz w:val="20"/>
                <w:lang w:eastAsia="fr-FR"/>
              </w:rPr>
            </w:pPr>
          </w:p>
          <w:p w14:paraId="3E6FFE89" w14:textId="77777777" w:rsidR="00A407D8" w:rsidRPr="00CD7FE2" w:rsidRDefault="00A407D8" w:rsidP="00A407D8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CD7FE2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Marché de travaux  </w:t>
            </w:r>
          </w:p>
          <w:p w14:paraId="69849DB7" w14:textId="77777777" w:rsidR="00A407D8" w:rsidRPr="00CD7FE2" w:rsidRDefault="00A407D8" w:rsidP="00A407D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D7FE2">
              <w:rPr>
                <w:rFonts w:ascii="Calibri" w:hAnsi="Calibri" w:cs="Calibri"/>
                <w:b/>
                <w:bCs/>
              </w:rPr>
              <w:t xml:space="preserve"> </w:t>
            </w:r>
            <w:proofErr w:type="gramStart"/>
            <w:r w:rsidRPr="00CD7FE2">
              <w:rPr>
                <w:rFonts w:ascii="Calibri" w:hAnsi="Calibri" w:cs="Calibri"/>
                <w:b/>
                <w:bCs/>
              </w:rPr>
              <w:t>pour</w:t>
            </w:r>
            <w:proofErr w:type="gramEnd"/>
            <w:r w:rsidRPr="00CD7FE2">
              <w:rPr>
                <w:rFonts w:ascii="Calibri" w:hAnsi="Calibri" w:cs="Calibri"/>
                <w:b/>
                <w:bCs/>
              </w:rPr>
              <w:t xml:space="preserve"> la déconstruction du bâtiment C Port de Wambrechies</w:t>
            </w:r>
          </w:p>
          <w:p w14:paraId="5BCFB8CA" w14:textId="44CAC3C3" w:rsidR="00A407D8" w:rsidRPr="00B51AEB" w:rsidRDefault="00A407D8" w:rsidP="00B51AE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color w:val="000000"/>
              </w:rPr>
            </w:pPr>
            <w:r w:rsidRPr="00CD7FE2">
              <w:rPr>
                <w:rFonts w:ascii="Calibri" w:hAnsi="Calibri" w:cs="Calibri"/>
                <w:bCs/>
                <w:color w:val="000000"/>
              </w:rPr>
              <w:t>(Travaux de</w:t>
            </w:r>
            <w:r w:rsidR="00250E0B">
              <w:rPr>
                <w:rFonts w:ascii="Calibri" w:hAnsi="Calibri" w:cs="Calibri"/>
                <w:bCs/>
                <w:color w:val="000000"/>
              </w:rPr>
              <w:t xml:space="preserve"> </w:t>
            </w:r>
            <w:r w:rsidRPr="00CD7FE2">
              <w:rPr>
                <w:rFonts w:ascii="Calibri" w:hAnsi="Calibri" w:cs="Calibri"/>
                <w:bCs/>
                <w:color w:val="000000"/>
              </w:rPr>
              <w:t>déconstruction des superstructures et infrastructures du bâtiment, évacuation et revalorisation des matériaux et des déchets).</w:t>
            </w:r>
          </w:p>
          <w:p w14:paraId="3ACD4FB2" w14:textId="7BE94103" w:rsidR="0038354E" w:rsidRPr="006B1E10" w:rsidRDefault="0038354E" w:rsidP="00C32293">
            <w:pPr>
              <w:ind w:left="284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27B36AF9" w14:textId="79441783" w:rsidR="0038354E" w:rsidRPr="006B1E10" w:rsidRDefault="0038354E" w:rsidP="00C35BC6">
      <w:pPr>
        <w:spacing w:after="0" w:line="240" w:lineRule="auto"/>
        <w:rPr>
          <w:rFonts w:ascii="Arial" w:eastAsia="Calibri" w:hAnsi="Arial" w:cs="Arial"/>
        </w:rPr>
      </w:pPr>
    </w:p>
    <w:p w14:paraId="4447087B" w14:textId="741D3551" w:rsidR="006B1E10" w:rsidRPr="006B1E10" w:rsidRDefault="006B1E10" w:rsidP="006B1E10">
      <w:pPr>
        <w:spacing w:after="0" w:line="240" w:lineRule="auto"/>
        <w:rPr>
          <w:rFonts w:ascii="Arial" w:eastAsia="Calibri" w:hAnsi="Arial" w:cs="Arial"/>
        </w:rPr>
      </w:pPr>
    </w:p>
    <w:p w14:paraId="18136A63" w14:textId="77777777" w:rsidR="00F85020" w:rsidRDefault="00F85020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8"/>
          <w:szCs w:val="28"/>
          <w:u w:val="single"/>
        </w:rPr>
      </w:pPr>
    </w:p>
    <w:p w14:paraId="32A6A84B" w14:textId="77777777" w:rsidR="00A407D8" w:rsidRDefault="0038354E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  <w:bookmarkStart w:id="1" w:name="_Hlk181279995"/>
      <w:r w:rsidRPr="00AB4523">
        <w:rPr>
          <w:rFonts w:ascii="Arial" w:eastAsia="Calibri" w:hAnsi="Arial" w:cs="Arial"/>
          <w:color w:val="002060"/>
          <w:sz w:val="24"/>
          <w:szCs w:val="24"/>
          <w:u w:val="single"/>
        </w:rPr>
        <w:t>NB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> : Ce cadre de mémoire technique doit être utilisé par les candidats.</w:t>
      </w:r>
    </w:p>
    <w:p w14:paraId="13B52AC3" w14:textId="2F68EA26" w:rsidR="0038354E" w:rsidRPr="00AB4523" w:rsidRDefault="0038354E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Une fois rempli, il sert de mémoire technique. Les candidats veillent à apporter des réponses </w:t>
      </w:r>
      <w:r w:rsidRPr="00AB4523">
        <w:rPr>
          <w:rFonts w:ascii="Arial" w:eastAsia="Calibri" w:hAnsi="Arial" w:cs="Arial"/>
          <w:i/>
          <w:iCs/>
          <w:color w:val="002060"/>
          <w:sz w:val="24"/>
          <w:szCs w:val="24"/>
          <w:u w:val="single"/>
        </w:rPr>
        <w:t>claires, précises et complètes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 aux différentes thématiques indiquées. </w:t>
      </w:r>
      <w:r w:rsidR="00A154C0" w:rsidRPr="00AB4523">
        <w:rPr>
          <w:rFonts w:ascii="Arial" w:eastAsia="Calibri" w:hAnsi="Arial" w:cs="Arial"/>
          <w:color w:val="002060"/>
          <w:sz w:val="24"/>
          <w:szCs w:val="24"/>
        </w:rPr>
        <w:t xml:space="preserve">Le candidat est invité à établir un mémoire spécifique </w:t>
      </w:r>
      <w:r w:rsidR="00A407D8">
        <w:rPr>
          <w:rFonts w:ascii="Arial" w:eastAsia="Calibri" w:hAnsi="Arial" w:cs="Arial"/>
          <w:color w:val="002060"/>
          <w:sz w:val="24"/>
          <w:szCs w:val="24"/>
        </w:rPr>
        <w:t xml:space="preserve">à ce marché </w:t>
      </w:r>
      <w:r w:rsidR="00A154C0" w:rsidRPr="00AB4523">
        <w:rPr>
          <w:rFonts w:ascii="Arial" w:eastAsia="Calibri" w:hAnsi="Arial" w:cs="Arial"/>
          <w:color w:val="002060"/>
          <w:sz w:val="24"/>
          <w:szCs w:val="24"/>
        </w:rPr>
        <w:t>et non un simple copier-coller</w:t>
      </w:r>
      <w:r w:rsidR="00AB4523">
        <w:rPr>
          <w:rFonts w:ascii="Arial" w:eastAsia="Calibri" w:hAnsi="Arial" w:cs="Arial"/>
          <w:color w:val="002060"/>
          <w:sz w:val="24"/>
          <w:szCs w:val="24"/>
        </w:rPr>
        <w:t xml:space="preserve"> de mémoires techniques établis dans le cadre d’autres consultations</w:t>
      </w:r>
      <w:r w:rsidR="00A154C0" w:rsidRPr="00AB4523">
        <w:rPr>
          <w:rFonts w:ascii="Arial" w:eastAsia="Calibri" w:hAnsi="Arial" w:cs="Arial"/>
          <w:color w:val="002060"/>
          <w:sz w:val="24"/>
          <w:szCs w:val="24"/>
        </w:rPr>
        <w:t>.</w:t>
      </w:r>
    </w:p>
    <w:p w14:paraId="28363EBA" w14:textId="5DA76FFB" w:rsidR="0038354E" w:rsidRPr="00AB4523" w:rsidRDefault="0038354E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Les candidats peuvent </w:t>
      </w:r>
      <w:r w:rsidRPr="00AB4523">
        <w:rPr>
          <w:rFonts w:ascii="Arial" w:eastAsia="Calibri" w:hAnsi="Arial" w:cs="Arial"/>
          <w:color w:val="002060"/>
          <w:sz w:val="24"/>
          <w:szCs w:val="24"/>
          <w:u w:val="single"/>
        </w:rPr>
        <w:t>joindre à l’appui de leur mémoire technique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, des </w:t>
      </w:r>
      <w:r w:rsidRPr="00AB4523">
        <w:rPr>
          <w:rFonts w:ascii="Arial" w:eastAsia="Calibri" w:hAnsi="Arial" w:cs="Arial"/>
          <w:b/>
          <w:bCs/>
          <w:color w:val="002060"/>
          <w:sz w:val="24"/>
          <w:szCs w:val="24"/>
        </w:rPr>
        <w:t>pièces justificatives</w:t>
      </w:r>
      <w:r w:rsidR="00C32293" w:rsidRPr="00AB4523">
        <w:rPr>
          <w:rFonts w:ascii="Arial" w:eastAsia="Calibri" w:hAnsi="Arial" w:cs="Arial"/>
          <w:color w:val="002060"/>
          <w:sz w:val="24"/>
          <w:szCs w:val="24"/>
        </w:rPr>
        <w:t>.</w:t>
      </w:r>
    </w:p>
    <w:p w14:paraId="112F651D" w14:textId="77777777" w:rsidR="00C32293" w:rsidRPr="00AB4523" w:rsidRDefault="00BF7796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  <w:r w:rsidRPr="00AB4523">
        <w:rPr>
          <w:rFonts w:ascii="Arial" w:eastAsia="Calibri" w:hAnsi="Arial" w:cs="Arial"/>
          <w:color w:val="002060"/>
          <w:sz w:val="24"/>
          <w:szCs w:val="24"/>
        </w:rPr>
        <w:t>Le candidat est invité à fournir toutes les informations. Ports de Lille est présumé ne pas conna</w:t>
      </w:r>
      <w:r w:rsidR="00C32293" w:rsidRPr="00AB4523">
        <w:rPr>
          <w:rFonts w:ascii="Arial" w:eastAsia="Calibri" w:hAnsi="Arial" w:cs="Arial"/>
          <w:color w:val="002060"/>
          <w:sz w:val="24"/>
          <w:szCs w:val="24"/>
        </w:rPr>
        <w:t>î</w:t>
      </w:r>
      <w:r w:rsidRPr="00AB4523">
        <w:rPr>
          <w:rFonts w:ascii="Arial" w:eastAsia="Calibri" w:hAnsi="Arial" w:cs="Arial"/>
          <w:color w:val="002060"/>
          <w:sz w:val="24"/>
          <w:szCs w:val="24"/>
        </w:rPr>
        <w:t xml:space="preserve">tre le candidat. </w:t>
      </w:r>
    </w:p>
    <w:p w14:paraId="44112EC6" w14:textId="3EBA886B" w:rsidR="0038354E" w:rsidRPr="00AB4523" w:rsidRDefault="0038354E" w:rsidP="0038354E">
      <w:pPr>
        <w:spacing w:after="160" w:line="259" w:lineRule="auto"/>
        <w:jc w:val="both"/>
        <w:rPr>
          <w:rFonts w:ascii="Arial" w:eastAsia="Calibri" w:hAnsi="Arial" w:cs="Arial"/>
          <w:b/>
          <w:bCs/>
          <w:color w:val="002060"/>
          <w:sz w:val="24"/>
          <w:szCs w:val="24"/>
        </w:rPr>
      </w:pPr>
      <w:r w:rsidRPr="00AB4523">
        <w:rPr>
          <w:rFonts w:ascii="Arial" w:eastAsia="Calibri" w:hAnsi="Arial" w:cs="Arial"/>
          <w:b/>
          <w:bCs/>
          <w:color w:val="002060"/>
          <w:sz w:val="24"/>
          <w:szCs w:val="24"/>
        </w:rPr>
        <w:t>Ce sont les éléments contenus dans ce mémoire technique qui seront utilisés pour l’analyse des offres.</w:t>
      </w:r>
      <w:r w:rsidR="00C712FB" w:rsidRPr="00AB4523">
        <w:rPr>
          <w:rFonts w:ascii="Arial" w:eastAsia="Calibri" w:hAnsi="Arial" w:cs="Arial"/>
          <w:b/>
          <w:bCs/>
          <w:color w:val="002060"/>
          <w:sz w:val="24"/>
          <w:szCs w:val="24"/>
        </w:rPr>
        <w:t xml:space="preserve"> Aucun autre élément extérieur ne sera pris en compte. </w:t>
      </w:r>
    </w:p>
    <w:p w14:paraId="623C4D86" w14:textId="47BA5C94" w:rsidR="0038354E" w:rsidRDefault="0038354E" w:rsidP="0038354E">
      <w:pPr>
        <w:spacing w:after="160" w:line="259" w:lineRule="auto"/>
        <w:jc w:val="both"/>
        <w:rPr>
          <w:rFonts w:ascii="Arial" w:eastAsia="Calibri" w:hAnsi="Arial" w:cs="Arial"/>
          <w:b/>
          <w:bCs/>
          <w:color w:val="FF0000"/>
          <w:sz w:val="24"/>
          <w:szCs w:val="24"/>
        </w:rPr>
      </w:pPr>
      <w:r w:rsidRPr="00AB4523">
        <w:rPr>
          <w:rFonts w:ascii="Arial" w:eastAsia="Calibri" w:hAnsi="Arial" w:cs="Arial"/>
          <w:b/>
          <w:bCs/>
          <w:color w:val="FF0000"/>
          <w:sz w:val="24"/>
          <w:szCs w:val="24"/>
        </w:rPr>
        <w:t>L’utilisation de ce cadre est obligatoire sous peine de rejet de l’offre</w:t>
      </w:r>
      <w:r w:rsidR="00AB4523">
        <w:rPr>
          <w:rFonts w:ascii="Arial" w:eastAsia="Calibri" w:hAnsi="Arial" w:cs="Arial"/>
          <w:b/>
          <w:bCs/>
          <w:color w:val="FF0000"/>
          <w:sz w:val="24"/>
          <w:szCs w:val="24"/>
        </w:rPr>
        <w:t xml:space="preserve"> sans demande de régularisation</w:t>
      </w:r>
      <w:r w:rsidRPr="00AB4523">
        <w:rPr>
          <w:rFonts w:ascii="Arial" w:eastAsia="Calibri" w:hAnsi="Arial" w:cs="Arial"/>
          <w:b/>
          <w:bCs/>
          <w:color w:val="FF0000"/>
          <w:sz w:val="24"/>
          <w:szCs w:val="24"/>
        </w:rPr>
        <w:t>.</w:t>
      </w:r>
    </w:p>
    <w:bookmarkEnd w:id="1"/>
    <w:p w14:paraId="3E770797" w14:textId="2A0E1BF6" w:rsidR="0038354E" w:rsidRDefault="0038354E" w:rsidP="0038354E">
      <w:pPr>
        <w:spacing w:after="160" w:line="259" w:lineRule="auto"/>
        <w:jc w:val="both"/>
        <w:rPr>
          <w:rFonts w:ascii="Arial" w:eastAsia="Calibri" w:hAnsi="Arial" w:cs="Arial"/>
          <w:b/>
          <w:bCs/>
          <w:color w:val="002060"/>
          <w:sz w:val="32"/>
          <w:szCs w:val="32"/>
        </w:rPr>
      </w:pPr>
    </w:p>
    <w:p w14:paraId="7A537498" w14:textId="77777777" w:rsidR="006B1E10" w:rsidRDefault="006B1E10" w:rsidP="0038354E">
      <w:pPr>
        <w:spacing w:after="160" w:line="259" w:lineRule="auto"/>
        <w:jc w:val="both"/>
        <w:rPr>
          <w:rFonts w:ascii="Arial" w:eastAsia="Calibri" w:hAnsi="Arial" w:cs="Arial"/>
          <w:b/>
          <w:bCs/>
          <w:color w:val="002060"/>
          <w:sz w:val="32"/>
          <w:szCs w:val="32"/>
        </w:rPr>
      </w:pPr>
    </w:p>
    <w:p w14:paraId="62F15F3C" w14:textId="0283583C" w:rsidR="00CA5ECB" w:rsidRPr="00866C65" w:rsidRDefault="00866C65" w:rsidP="00866C65">
      <w:pPr>
        <w:pStyle w:val="Paragraphedeliste"/>
        <w:numPr>
          <w:ilvl w:val="0"/>
          <w:numId w:val="5"/>
        </w:num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 w:rsidR="00CA5ECB" w:rsidRPr="00866C65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Brève présentation de l’entreprise candidate</w:t>
      </w:r>
    </w:p>
    <w:p w14:paraId="60DF7A54" w14:textId="3BD0F1A0" w:rsidR="00CA5ECB" w:rsidRDefault="00CA5ECB" w:rsidP="00C35BC6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</w:pPr>
      <w:r w:rsidRPr="00C35BC6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(Présentez brièvement votre société : Nom commercial, </w:t>
      </w:r>
      <w:r w:rsidR="00C712FB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adresse, SIRET, </w:t>
      </w:r>
      <w:r w:rsidRPr="00C35BC6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effectif, chiffre d’affaires, références, moyens matériels,</w:t>
      </w:r>
      <w:r w:rsidR="006B1E10" w:rsidRPr="00C35BC6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organigramme, contacts privilégiés</w:t>
      </w:r>
      <w:r w:rsidRPr="00C35BC6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…)</w:t>
      </w:r>
    </w:p>
    <w:p w14:paraId="07034614" w14:textId="26F9A9AA" w:rsidR="000011D2" w:rsidRPr="00C35BC6" w:rsidRDefault="000011D2" w:rsidP="00C35BC6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</w:pPr>
      <w:r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Préciser les moyens humains (détailler le nombre de personnes sur le chantier et leur temps de présence) mis à disposition pendant la durée du chantier, fournir les qualifications, les expériences professionnelles du personnel, les références, les certifications, et habilitations du personnel qui sera spécifiquement mis à disposition sur le chantier.</w:t>
      </w:r>
    </w:p>
    <w:p w14:paraId="567468E7" w14:textId="4AE9502A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3B54AD3" w14:textId="0D046C41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DB9A6CB" w14:textId="5640A7E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975B045" w14:textId="02F803C3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AFD5855" w14:textId="243299B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4408781" w14:textId="7A9B414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123D300" w14:textId="4662863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CC48077" w14:textId="298138D0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D6D4666" w14:textId="443291CB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30FF14F" w14:textId="75A9585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CAFBA81" w14:textId="7C92D51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80567F6" w14:textId="72722068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F522008" w14:textId="2CA39C43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BAE8983" w14:textId="11DE31E5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42CE6BA" w14:textId="199C1A7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4AFA66A" w14:textId="318FF4EB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AB3AEFD" w14:textId="5A4D150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A2C5D6C" w14:textId="7308D4B1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4D4900C" w14:textId="59A6FF0A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69304F0" w14:textId="01315105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BFDDA99" w14:textId="6A55360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2066968" w14:textId="1D9AFC3A" w:rsidR="00CA5ECB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DCAFB7C" w14:textId="4F1EA9A6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F2510F8" w14:textId="4FAE9D56" w:rsidR="00CA5ECB" w:rsidRPr="00866C65" w:rsidRDefault="00866C65" w:rsidP="00866C65">
      <w:pPr>
        <w:pStyle w:val="Paragraphedeliste"/>
        <w:numPr>
          <w:ilvl w:val="0"/>
          <w:numId w:val="5"/>
        </w:num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bookmarkStart w:id="2" w:name="_Hlk187418533"/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lastRenderedPageBreak/>
        <w:t xml:space="preserve"> </w:t>
      </w:r>
      <w:r w:rsidR="00CA5ECB" w:rsidRPr="00866C65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Prix des prestations</w:t>
      </w:r>
      <w:r w:rsidR="00B23493" w:rsidRPr="00866C65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</w:p>
    <w:p w14:paraId="6C08B390" w14:textId="7F410EA9" w:rsidR="00CA5ECB" w:rsidRPr="00C35BC6" w:rsidRDefault="006B1E10" w:rsidP="00C35BC6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</w:pPr>
      <w:bookmarkStart w:id="3" w:name="_Hlk181280320"/>
      <w:bookmarkEnd w:id="2"/>
      <w:r w:rsidRPr="00C35BC6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(Ce sont des informations complémentaires </w:t>
      </w:r>
      <w:r w:rsidR="00BA5907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à la DPGF</w:t>
      </w:r>
      <w:r w:rsidR="004B52B0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que vous souhaitez nous communiquer</w:t>
      </w:r>
      <w:r w:rsidR="00C712FB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. Le candidat peut faire un bref aperçu sur la détermination de ses prix.</w:t>
      </w:r>
      <w:r w:rsidR="004A48F5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)</w:t>
      </w:r>
      <w:r w:rsidR="005101B1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. </w:t>
      </w:r>
      <w:bookmarkStart w:id="4" w:name="_Hlk188622570"/>
      <w:bookmarkStart w:id="5" w:name="_Hlk189640326"/>
      <w:r w:rsidR="005101B1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Détaillez également la composition du prix unitaire proposé</w:t>
      </w:r>
      <w:bookmarkEnd w:id="4"/>
      <w:r w:rsidR="0020603E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en fin de DPGF.</w:t>
      </w:r>
    </w:p>
    <w:bookmarkEnd w:id="3"/>
    <w:bookmarkEnd w:id="5"/>
    <w:p w14:paraId="38C7EF2E" w14:textId="692F988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1FAF3DE" w14:textId="736A6569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3C15E36" w14:textId="3C481B3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5486EB6" w14:textId="36CC0745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C3FC306" w14:textId="452998AB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7D2A9A4" w14:textId="17C2EA6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BA6FB29" w14:textId="3FFE1EE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2F43094" w14:textId="3CF85B22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ECCF820" w14:textId="3857B61F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7F29C94" w14:textId="516DA10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5C7330D" w14:textId="75FE6BB0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C76236B" w14:textId="1B3989AE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9638878" w14:textId="4A77162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59A60C3" w14:textId="1E7EFD52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8C8FC86" w14:textId="218C49F8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DFE65CB" w14:textId="4393E72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C1784CF" w14:textId="4D4EB12C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EEFB2C2" w14:textId="2CA9AB26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4178F26" w14:textId="16DB5D14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88E8B8C" w14:textId="0F8C7E69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BDA4210" w14:textId="77777777" w:rsidR="00CA5ECB" w:rsidRPr="00CF1AEA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0CEA28A" w14:textId="461978F9" w:rsidR="00CA5ECB" w:rsidRDefault="00CA5ECB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A42B5EE" w14:textId="4C4A649F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D02F696" w14:textId="55BAB5A1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6D6B2DB" w14:textId="259885CE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751E841" w14:textId="77777777" w:rsidR="00CF1AEA" w:rsidRDefault="00CF1AEA" w:rsidP="0038354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775FC5D" w14:textId="5EA488A3" w:rsidR="006C757B" w:rsidRPr="00CC24AE" w:rsidRDefault="00CC24AE" w:rsidP="00CC24AE">
      <w:pPr>
        <w:pStyle w:val="Paragraphedeliste"/>
        <w:numPr>
          <w:ilvl w:val="0"/>
          <w:numId w:val="5"/>
        </w:num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 w:rsidRPr="00CC24AE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lastRenderedPageBreak/>
        <w:t xml:space="preserve"> </w:t>
      </w:r>
      <w:r w:rsidR="006C757B" w:rsidRPr="00CC24AE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 w:rsidRPr="00CC24AE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Qualité du traitement, de l’évacuation et du devenir des </w:t>
      </w:r>
      <w:r w:rsidRPr="004C6EE4">
        <w:rPr>
          <w:rFonts w:ascii="Arial" w:eastAsia="Calibri" w:hAnsi="Arial" w:cs="Arial"/>
          <w:b/>
          <w:bCs/>
          <w:i/>
          <w:iCs/>
          <w:color w:val="4F81BD" w:themeColor="accent1"/>
          <w:sz w:val="40"/>
          <w:szCs w:val="40"/>
        </w:rPr>
        <w:t>déchets</w:t>
      </w:r>
      <w:r w:rsidR="004C6EE4" w:rsidRPr="004C6EE4">
        <w:rPr>
          <w:rFonts w:ascii="Arial" w:eastAsia="Calibri" w:hAnsi="Arial" w:cs="Arial"/>
          <w:b/>
          <w:bCs/>
          <w:i/>
          <w:iCs/>
          <w:color w:val="4F81BD" w:themeColor="accent1"/>
          <w:sz w:val="40"/>
          <w:szCs w:val="40"/>
        </w:rPr>
        <w:t xml:space="preserve"> </w:t>
      </w:r>
      <w:r w:rsidR="004C6EE4" w:rsidRPr="004C6EE4">
        <w:rPr>
          <w:rFonts w:ascii="Arial" w:hAnsi="Arial" w:cs="Arial"/>
          <w:b/>
          <w:bCs/>
          <w:i/>
          <w:iCs/>
          <w:color w:val="4F81BD" w:themeColor="accent1"/>
          <w:sz w:val="40"/>
          <w:szCs w:val="40"/>
        </w:rPr>
        <w:t>(filière d’élimination, de recyclage)</w:t>
      </w:r>
      <w:r w:rsidR="004C6EE4" w:rsidRPr="004C6EE4">
        <w:rPr>
          <w:rFonts w:cs="Arial"/>
          <w:color w:val="4F81BD" w:themeColor="accent1"/>
        </w:rPr>
        <w:t xml:space="preserve"> </w:t>
      </w:r>
      <w:r w:rsidRPr="004C6EE4">
        <w:rPr>
          <w:rFonts w:ascii="Arial" w:eastAsia="Calibri" w:hAnsi="Arial" w:cs="Arial"/>
          <w:b/>
          <w:bCs/>
          <w:i/>
          <w:iCs/>
          <w:color w:val="4F81BD" w:themeColor="accent1"/>
          <w:sz w:val="40"/>
          <w:szCs w:val="40"/>
        </w:rPr>
        <w:t xml:space="preserve"> </w:t>
      </w:r>
    </w:p>
    <w:p w14:paraId="245F2B5E" w14:textId="0C6E4F43" w:rsidR="006C757B" w:rsidRDefault="003D344E" w:rsidP="006C757B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</w:pPr>
      <w:r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Transmettre précisément le nom de la filière d’élimination, sa localisation pour chaque typologie de déchets, ainsi que le code de traitement qui sera réservé à chaque typologie de déchets.</w:t>
      </w:r>
    </w:p>
    <w:p w14:paraId="4828A4E3" w14:textId="29A789A6" w:rsidR="003D344E" w:rsidRPr="00C35BC6" w:rsidRDefault="003D344E" w:rsidP="006C757B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</w:pPr>
      <w:r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Préciser les circuits d’acheminement, de recyclage et/ou réemploi de chaque typologie de déchets, du site jusqu’à l’exutoire final. </w:t>
      </w:r>
    </w:p>
    <w:p w14:paraId="720F75BC" w14:textId="77777777" w:rsidR="006C757B" w:rsidRPr="00CF1AEA" w:rsidRDefault="006C757B" w:rsidP="006C757B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6249D2A" w14:textId="77777777" w:rsidR="006C757B" w:rsidRPr="00CF1AEA" w:rsidRDefault="006C757B" w:rsidP="006C757B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5AE3570" w14:textId="77777777" w:rsidR="006C757B" w:rsidRPr="00CF1AEA" w:rsidRDefault="006C757B" w:rsidP="006C757B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744FA15" w14:textId="77777777" w:rsidR="006C757B" w:rsidRPr="00CF1AEA" w:rsidRDefault="006C757B" w:rsidP="006C757B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C3ABCCA" w14:textId="77777777" w:rsidR="006C757B" w:rsidRPr="00CF1AEA" w:rsidRDefault="006C757B" w:rsidP="006C757B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4695DF7" w14:textId="77777777" w:rsidR="006C757B" w:rsidRPr="00CF1AEA" w:rsidRDefault="006C757B" w:rsidP="006C757B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9467245" w14:textId="77777777" w:rsidR="006C757B" w:rsidRPr="00CF1AEA" w:rsidRDefault="006C757B" w:rsidP="006C757B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E9A9AFA" w14:textId="77777777" w:rsidR="006C757B" w:rsidRPr="00CF1AEA" w:rsidRDefault="006C757B" w:rsidP="006C757B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C3867D4" w14:textId="77777777" w:rsidR="006C757B" w:rsidRPr="00CF1AEA" w:rsidRDefault="006C757B" w:rsidP="006C757B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AF3DEFE" w14:textId="77777777" w:rsidR="006C757B" w:rsidRPr="00CF1AEA" w:rsidRDefault="006C757B" w:rsidP="006C757B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8BEB235" w14:textId="77777777" w:rsidR="006C757B" w:rsidRPr="00CF1AEA" w:rsidRDefault="006C757B" w:rsidP="006C757B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6C75F84" w14:textId="77777777" w:rsidR="006C757B" w:rsidRPr="00CF1AEA" w:rsidRDefault="006C757B" w:rsidP="006C757B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9A810A4" w14:textId="77777777" w:rsidR="006C757B" w:rsidRPr="00CF1AEA" w:rsidRDefault="006C757B" w:rsidP="006C757B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F931434" w14:textId="77777777" w:rsidR="006C757B" w:rsidRPr="00CF1AEA" w:rsidRDefault="006C757B" w:rsidP="006C757B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87B0AAD" w14:textId="77777777" w:rsidR="006C757B" w:rsidRPr="00CF1AEA" w:rsidRDefault="006C757B" w:rsidP="006C757B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3554506" w14:textId="77777777" w:rsidR="006C757B" w:rsidRPr="00CF1AEA" w:rsidRDefault="006C757B" w:rsidP="006C757B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945B72B" w14:textId="77777777" w:rsidR="006C757B" w:rsidRPr="00CF1AEA" w:rsidRDefault="006C757B" w:rsidP="006C757B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290CB1C" w14:textId="77777777" w:rsidR="006C757B" w:rsidRPr="00CF1AEA" w:rsidRDefault="006C757B" w:rsidP="006C757B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7CCA685" w14:textId="77777777" w:rsidR="006C757B" w:rsidRPr="00CF1AEA" w:rsidRDefault="006C757B" w:rsidP="006C757B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11D22BE" w14:textId="77777777" w:rsidR="006C757B" w:rsidRPr="00CF1AEA" w:rsidRDefault="006C757B" w:rsidP="006C757B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5CAB87A" w14:textId="77777777" w:rsidR="006C757B" w:rsidRPr="00CF1AEA" w:rsidRDefault="006C757B" w:rsidP="006C757B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D13F7E9" w14:textId="77777777" w:rsidR="006C757B" w:rsidRDefault="006C757B" w:rsidP="006C757B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21A8C72" w14:textId="77777777" w:rsidR="006C757B" w:rsidRDefault="006C757B" w:rsidP="006C757B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F8AD359" w14:textId="77777777" w:rsidR="006C757B" w:rsidRDefault="006C757B" w:rsidP="006C757B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5BDAC051" w14:textId="77777777" w:rsidR="006C757B" w:rsidRDefault="006C757B" w:rsidP="006C757B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A8BA21B" w14:textId="1CC30150" w:rsidR="00CC24AE" w:rsidRPr="00CC24AE" w:rsidRDefault="003E4140" w:rsidP="003E4140">
      <w:pPr>
        <w:pStyle w:val="Paragraphedeliste"/>
        <w:numPr>
          <w:ilvl w:val="0"/>
          <w:numId w:val="5"/>
        </w:num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 w:rsidR="00CC24AE" w:rsidRPr="00CC24AE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Adaptation de l’offre aux spécificités du site </w:t>
      </w:r>
      <w:r w:rsidR="004C6EE4" w:rsidRPr="004C6EE4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(matériel, méthode, organisation du chantier)</w:t>
      </w:r>
    </w:p>
    <w:p w14:paraId="045423FB" w14:textId="1F90C0C0" w:rsidR="00CC24AE" w:rsidRDefault="00846CA1" w:rsidP="00CC24AE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</w:pPr>
      <w:r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Détailler, illustrez les engins, les contenants qui permettront l’organisation du chantier, à savoir la méthodologie </w:t>
      </w:r>
      <w:r w:rsidR="00F822AB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et le</w:t>
      </w:r>
      <w:r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mode opératoire, ainsi que la manutention et le chargement des déchets.</w:t>
      </w:r>
      <w:r w:rsidR="004B6A3D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</w:t>
      </w:r>
    </w:p>
    <w:p w14:paraId="3666F9BC" w14:textId="1AE8E081" w:rsidR="004B6A3D" w:rsidRPr="00C35BC6" w:rsidRDefault="004B6A3D" w:rsidP="00CC24AE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</w:pPr>
      <w:r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Décrire les étapes chronologiques et l</w:t>
      </w:r>
      <w:r w:rsidR="000011D2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e</w:t>
      </w:r>
      <w:r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déroul</w:t>
      </w:r>
      <w:r w:rsidR="003E4140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ement </w:t>
      </w:r>
      <w:r w:rsidR="000011D2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pendant</w:t>
      </w:r>
      <w:r w:rsidR="003E4140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l’exécution des travaux</w:t>
      </w:r>
      <w:r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.</w:t>
      </w:r>
    </w:p>
    <w:p w14:paraId="2AF51419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710DA9A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C9EFF69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AB96B8F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6603613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4074AC0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6CB650B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3F020CE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E272F17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0465E4C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69C5464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65E3E73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88E6524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9CB0C17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D9BAB6B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80BF247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D5A4F6F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CA60D4C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958EA62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324A045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F255BD9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7415313" w14:textId="77777777" w:rsidR="00CC24AE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01CBF12" w14:textId="77777777" w:rsidR="00CC24AE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9DACDBC" w14:textId="77777777" w:rsidR="00CC24AE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A1387FB" w14:textId="77777777" w:rsidR="00CC24AE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A54641F" w14:textId="77777777" w:rsidR="00CC24AE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CC54251" w14:textId="47FAF14F" w:rsidR="00040C4A" w:rsidRPr="00040C4A" w:rsidRDefault="00795AB2" w:rsidP="00040C4A">
      <w:pPr>
        <w:pStyle w:val="Paragraphedeliste"/>
        <w:numPr>
          <w:ilvl w:val="0"/>
          <w:numId w:val="5"/>
        </w:numP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 w:rsidRPr="00040C4A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 w:rsidR="00040C4A" w:rsidRPr="00040C4A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Dispositions prises par l’entreprise pour la protection de l’environnement dans l’exécution du marché</w:t>
      </w:r>
      <w:r w:rsidR="004C6EE4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 w:rsidR="004C6EE4" w:rsidRPr="004C6EE4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et la réduction des nuisances et protection des pollutions accidentelles</w:t>
      </w:r>
    </w:p>
    <w:p w14:paraId="79B4C347" w14:textId="4B24BF22" w:rsidR="0095659F" w:rsidRDefault="0095659F" w:rsidP="00530AD9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</w:pPr>
      <w:r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Préciser la gestion des risques de pollution dans les milieux environnants, la gestion du chantier et la réduction des nuisances et la protection des pollutions accidentelles</w:t>
      </w:r>
      <w:r w:rsidR="00530AD9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.</w:t>
      </w:r>
    </w:p>
    <w:p w14:paraId="3AEFC83C" w14:textId="77777777" w:rsidR="00525950" w:rsidRPr="00525950" w:rsidRDefault="00525950" w:rsidP="00525950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</w:pPr>
      <w:r w:rsidRPr="00525950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Préciser les moyens mis en œuvre pour limiter les nuisances, émissions de poussière, polluants dans l’air, sonores et les vibrations. Préciser les procédures en cas d’accidents.</w:t>
      </w:r>
    </w:p>
    <w:p w14:paraId="55F6ED49" w14:textId="463DF884" w:rsidR="00342365" w:rsidRPr="00CF1AEA" w:rsidRDefault="00342365" w:rsidP="00342365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</w:pPr>
      <w:r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Précisez </w:t>
      </w:r>
      <w:r w:rsidRPr="009A5A5F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les différentes actions relatives à la démarche RSE mise</w:t>
      </w:r>
      <w:r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s</w:t>
      </w:r>
      <w:r w:rsidRPr="009A5A5F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en œuvre</w:t>
      </w:r>
      <w:r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 : </w:t>
      </w:r>
      <w:r w:rsidRPr="00231B55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processus, recours à des transports écologiques pour tout le processu</w:t>
      </w:r>
      <w:r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s.</w:t>
      </w:r>
    </w:p>
    <w:p w14:paraId="031AEC81" w14:textId="77777777" w:rsidR="00525950" w:rsidRPr="00C35BC6" w:rsidRDefault="00525950" w:rsidP="00530AD9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</w:pPr>
    </w:p>
    <w:p w14:paraId="155A0DE9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AD451E0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E55DAFC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EBEE2DE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C123916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224E40D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C4D7F24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4137FAA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B1572B4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0DE23FB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5171DB1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2DACA0C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E85F16C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38B8585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A8DFC28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40F7740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05EC198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E35BAEA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E505C8E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BFB7A3F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98D8160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4A92C71" w14:textId="77777777" w:rsidR="00CC24AE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91AF2D3" w14:textId="77777777" w:rsidR="00CC24AE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9E24139" w14:textId="77777777" w:rsidR="00CC24AE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7ED06DE" w14:textId="77777777" w:rsidR="00CC24AE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B2D405A" w14:textId="77777777" w:rsidR="00CC24AE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ADECB5E" w14:textId="196E05E0" w:rsidR="00CC24AE" w:rsidRPr="00040C4A" w:rsidRDefault="00040C4A" w:rsidP="00040C4A">
      <w:pPr>
        <w:pStyle w:val="Paragraphedeliste"/>
        <w:numPr>
          <w:ilvl w:val="0"/>
          <w:numId w:val="5"/>
        </w:numP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 w:rsidRPr="00040C4A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Optimisation du délai global d’exécution du marché</w:t>
      </w:r>
      <w:r w:rsidR="004C6EE4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(</w:t>
      </w:r>
      <w:r w:rsidR="004C6EE4" w:rsidRPr="004C6EE4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préparation + exécution des travaux) + justification des moyens garantissant le respect de ces délais</w:t>
      </w:r>
    </w:p>
    <w:p w14:paraId="138229CA" w14:textId="1F240856" w:rsidR="00123921" w:rsidRDefault="00950D46" w:rsidP="00123921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</w:pPr>
      <w:r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Fournir un calendrier simple et explicite qui détaille les étapes de l’exécution des travaux depuis la période de préparation </w:t>
      </w:r>
      <w:r w:rsidR="00DD54FE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jusqu’à la réception </w:t>
      </w:r>
      <w:r w:rsidR="006C2A84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des travaux</w:t>
      </w:r>
      <w:r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et justifier les moyens mis en œuvre pour garantir le respect des délais</w:t>
      </w:r>
      <w:r w:rsidR="006C2A84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annoncés</w:t>
      </w:r>
      <w:r w:rsidR="00123921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, en tenant compte de toutes les étapes jusqu’à la réception et remise en état du site.</w:t>
      </w:r>
      <w:r w:rsidR="004C6EE4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Détaillez les délais indiqués dans l’acte d’engagement avec les justifications.</w:t>
      </w:r>
    </w:p>
    <w:p w14:paraId="6AB09648" w14:textId="77777777" w:rsidR="00123921" w:rsidRPr="00C35BC6" w:rsidRDefault="00123921" w:rsidP="00CC24AE">
      <w:p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jc w:val="center"/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</w:pPr>
    </w:p>
    <w:p w14:paraId="6AAFAF32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0E1018E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305901D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7764ED4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0BAC786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8854C77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CD35842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2EDAC86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30074A3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3875088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9293789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D448392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8785B17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C4B86A7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87993E7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B2BD997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2648766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25AB2C9F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2B66862" w14:textId="4AAF7041" w:rsidR="00CC24AE" w:rsidRPr="00255CE3" w:rsidRDefault="0023014D" w:rsidP="00255CE3">
      <w:pPr>
        <w:pStyle w:val="Paragraphedeliste"/>
        <w:numPr>
          <w:ilvl w:val="0"/>
          <w:numId w:val="5"/>
        </w:numPr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</w:pPr>
      <w:r w:rsidRPr="00255CE3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 w:rsidR="00CC24AE" w:rsidRPr="00255CE3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 xml:space="preserve"> </w:t>
      </w:r>
      <w:r w:rsidR="00255CE3" w:rsidRPr="00255CE3">
        <w:rPr>
          <w:rFonts w:ascii="Arial" w:eastAsia="Calibri" w:hAnsi="Arial" w:cs="Arial"/>
          <w:b/>
          <w:bCs/>
          <w:i/>
          <w:iCs/>
          <w:color w:val="4472C4"/>
          <w:sz w:val="40"/>
          <w:szCs w:val="40"/>
        </w:rPr>
        <w:t>Méthodologie dans l’exécution des travaux et dispositions relatives à la sécurité des personnes et des biens sur le chantier.</w:t>
      </w:r>
    </w:p>
    <w:p w14:paraId="1809F183" w14:textId="1F2BADEA" w:rsidR="002056E0" w:rsidRPr="002056E0" w:rsidRDefault="002056E0" w:rsidP="002056E0">
      <w:pPr>
        <w:pStyle w:val="Paragraphedeliste"/>
        <w:numPr>
          <w:ilvl w:val="0"/>
          <w:numId w:val="6"/>
        </w:num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</w:pPr>
      <w:r w:rsidRPr="002056E0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Décrire le procédé de sécurisation du site pendant l’exécution des travaux et en fin de chantier.</w:t>
      </w:r>
    </w:p>
    <w:p w14:paraId="25B8C72D" w14:textId="1449F4E4" w:rsidR="002056E0" w:rsidRPr="002056E0" w:rsidRDefault="002056E0" w:rsidP="002056E0">
      <w:pPr>
        <w:pStyle w:val="Paragraphedeliste"/>
        <w:numPr>
          <w:ilvl w:val="0"/>
          <w:numId w:val="6"/>
        </w:num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</w:pPr>
      <w:r w:rsidRPr="002056E0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Présenter la démarche sécurité et environnement, </w:t>
      </w:r>
      <w:r w:rsidR="0095659F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la </w:t>
      </w:r>
      <w:r w:rsidRPr="002056E0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liste du matériel pour le curage,</w:t>
      </w:r>
      <w:r w:rsidR="0095659F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et la</w:t>
      </w:r>
      <w:r w:rsidRPr="002056E0"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 xml:space="preserve"> liste du matériel pour la déconstruction.</w:t>
      </w:r>
    </w:p>
    <w:p w14:paraId="2562FF28" w14:textId="40F604BC" w:rsidR="002056E0" w:rsidRDefault="002056E0" w:rsidP="002056E0">
      <w:pPr>
        <w:pStyle w:val="Paragraphedeliste"/>
        <w:numPr>
          <w:ilvl w:val="0"/>
          <w:numId w:val="6"/>
        </w:num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</w:pPr>
      <w:r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Présenter le processus de curage, le tri des déchets, l’économie circulaire et le réemploi direct.</w:t>
      </w:r>
    </w:p>
    <w:p w14:paraId="7BFA7082" w14:textId="7E9026B2" w:rsidR="002056E0" w:rsidRPr="00342365" w:rsidRDefault="002056E0" w:rsidP="00342365">
      <w:pPr>
        <w:pStyle w:val="Paragraphedeliste"/>
        <w:numPr>
          <w:ilvl w:val="0"/>
          <w:numId w:val="6"/>
        </w:numPr>
        <w:pBdr>
          <w:top w:val="single" w:sz="4" w:space="10" w:color="4472C4"/>
          <w:bottom w:val="single" w:sz="4" w:space="10" w:color="4472C4"/>
        </w:pBdr>
        <w:spacing w:after="0" w:line="259" w:lineRule="auto"/>
        <w:ind w:right="-1"/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</w:pPr>
      <w:r>
        <w:rPr>
          <w:rFonts w:ascii="Arial" w:eastAsia="Calibri" w:hAnsi="Arial" w:cs="Arial"/>
          <w:i/>
          <w:iCs/>
          <w:color w:val="4F81BD" w:themeColor="accent1"/>
          <w:sz w:val="20"/>
          <w:szCs w:val="20"/>
        </w:rPr>
        <w:t>Préciser les mesures de nettoyage du chantier, des voiries et remise en état du site.</w:t>
      </w:r>
    </w:p>
    <w:p w14:paraId="2F1AE639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5FEE942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F474692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C6B0E5B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2127F30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AA6553D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A20E84A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B7C44A4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961EE51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D006FBD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14CBAF75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516D07A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748C245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7D51A4C2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02AA28F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EAB19FF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45112181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D3F31D9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3C681F75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018BAC3E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65B66BE" w14:textId="77777777" w:rsidR="00CC24AE" w:rsidRPr="00CF1AEA" w:rsidRDefault="00CC24AE" w:rsidP="00CC24AE">
      <w:pPr>
        <w:spacing w:after="160" w:line="259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bookmarkEnd w:id="0"/>
    <w:p w14:paraId="4DE53DAC" w14:textId="6E7BD1DD" w:rsidR="00CF1AEA" w:rsidRDefault="00CF1AEA" w:rsidP="0038354E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sectPr w:rsidR="00CF1AEA" w:rsidSect="00F85020">
      <w:headerReference w:type="default" r:id="rId9"/>
      <w:footerReference w:type="default" r:id="rId10"/>
      <w:pgSz w:w="11906" w:h="16838"/>
      <w:pgMar w:top="720" w:right="991" w:bottom="72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C0AAA" w14:textId="77777777" w:rsidR="00821FDA" w:rsidRDefault="00821FDA" w:rsidP="0038354E">
      <w:pPr>
        <w:spacing w:after="0" w:line="240" w:lineRule="auto"/>
      </w:pPr>
      <w:r>
        <w:separator/>
      </w:r>
    </w:p>
  </w:endnote>
  <w:endnote w:type="continuationSeparator" w:id="0">
    <w:p w14:paraId="3257B19A" w14:textId="77777777" w:rsidR="00821FDA" w:rsidRDefault="00821FDA" w:rsidP="00383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43263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8969E7" w14:textId="77777777" w:rsidR="00836CED" w:rsidRDefault="00075768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5B0BC61" w14:textId="77777777" w:rsidR="00836CED" w:rsidRDefault="00075768" w:rsidP="00C65C3D">
    <w:pPr>
      <w:pStyle w:val="Pieddepage"/>
      <w:jc w:val="center"/>
    </w:pPr>
    <w:r>
      <w:t>Ports de Lille – CCI Hauts de France</w:t>
    </w:r>
  </w:p>
  <w:p w14:paraId="58379992" w14:textId="79723214" w:rsidR="00836CED" w:rsidRDefault="003B53B1" w:rsidP="00C65C3D">
    <w:pPr>
      <w:pStyle w:val="Pieddepage"/>
      <w:jc w:val="center"/>
    </w:pPr>
    <w:r>
      <w:t>1</w:t>
    </w:r>
    <w:r w:rsidR="007D7281">
      <w:t>5</w:t>
    </w:r>
    <w:r w:rsidR="006E4BB3">
      <w:t>-</w:t>
    </w:r>
    <w:r w:rsidR="007D7281">
      <w:t>01</w:t>
    </w:r>
    <w:r w:rsidR="006E4BB3">
      <w:t>-202</w:t>
    </w:r>
    <w:r w:rsidR="007D7281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840DF" w14:textId="77777777" w:rsidR="00821FDA" w:rsidRDefault="00821FDA" w:rsidP="0038354E">
      <w:pPr>
        <w:spacing w:after="0" w:line="240" w:lineRule="auto"/>
      </w:pPr>
      <w:r>
        <w:separator/>
      </w:r>
    </w:p>
  </w:footnote>
  <w:footnote w:type="continuationSeparator" w:id="0">
    <w:p w14:paraId="4790BF8E" w14:textId="77777777" w:rsidR="00821FDA" w:rsidRDefault="00821FDA" w:rsidP="00383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6C3CE" w14:textId="2CB98B24" w:rsidR="00836CED" w:rsidRPr="006E4BB3" w:rsidRDefault="00A407D8" w:rsidP="006E4BB3">
    <w:pPr>
      <w:pStyle w:val="En-tte"/>
    </w:pPr>
    <w:r>
      <w:t xml:space="preserve">Lot 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59C1"/>
    <w:multiLevelType w:val="hybridMultilevel"/>
    <w:tmpl w:val="1E3E769C"/>
    <w:lvl w:ilvl="0" w:tplc="040C0019">
      <w:start w:val="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85C0E"/>
    <w:multiLevelType w:val="hybridMultilevel"/>
    <w:tmpl w:val="74A43380"/>
    <w:lvl w:ilvl="0" w:tplc="8BB664CA">
      <w:start w:val="4"/>
      <w:numFmt w:val="bullet"/>
      <w:lvlText w:val="-"/>
      <w:lvlJc w:val="left"/>
      <w:pPr>
        <w:ind w:left="1506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D935819"/>
    <w:multiLevelType w:val="hybridMultilevel"/>
    <w:tmpl w:val="B5AE72A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D50BB"/>
    <w:multiLevelType w:val="hybridMultilevel"/>
    <w:tmpl w:val="8DD2201E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05884"/>
    <w:multiLevelType w:val="hybridMultilevel"/>
    <w:tmpl w:val="45CAD99A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B3F4D"/>
    <w:multiLevelType w:val="hybridMultilevel"/>
    <w:tmpl w:val="F4D637A8"/>
    <w:lvl w:ilvl="0" w:tplc="791A6C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A5FF0"/>
    <w:multiLevelType w:val="hybridMultilevel"/>
    <w:tmpl w:val="F1E4628C"/>
    <w:lvl w:ilvl="0" w:tplc="2A9E5AE8">
      <w:start w:val="1"/>
      <w:numFmt w:val="lowerLetter"/>
      <w:lvlText w:val="%1-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03702C"/>
    <w:multiLevelType w:val="hybridMultilevel"/>
    <w:tmpl w:val="AFA018A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855E02"/>
    <w:multiLevelType w:val="hybridMultilevel"/>
    <w:tmpl w:val="09C08C1E"/>
    <w:lvl w:ilvl="0" w:tplc="31E48022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E6169A"/>
    <w:multiLevelType w:val="hybridMultilevel"/>
    <w:tmpl w:val="88D4CA86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767282"/>
    <w:multiLevelType w:val="hybridMultilevel"/>
    <w:tmpl w:val="7550129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C750A"/>
    <w:multiLevelType w:val="hybridMultilevel"/>
    <w:tmpl w:val="F1E4628C"/>
    <w:lvl w:ilvl="0" w:tplc="FFFFFFFF">
      <w:start w:val="1"/>
      <w:numFmt w:val="lowerLetter"/>
      <w:lvlText w:val="%1-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795895"/>
    <w:multiLevelType w:val="hybridMultilevel"/>
    <w:tmpl w:val="870688A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0612052">
    <w:abstractNumId w:val="10"/>
  </w:num>
  <w:num w:numId="2" w16cid:durableId="1136877754">
    <w:abstractNumId w:val="0"/>
  </w:num>
  <w:num w:numId="3" w16cid:durableId="900556386">
    <w:abstractNumId w:val="6"/>
  </w:num>
  <w:num w:numId="4" w16cid:durableId="1694846250">
    <w:abstractNumId w:val="11"/>
  </w:num>
  <w:num w:numId="5" w16cid:durableId="1642812089">
    <w:abstractNumId w:val="5"/>
  </w:num>
  <w:num w:numId="6" w16cid:durableId="562061392">
    <w:abstractNumId w:val="8"/>
  </w:num>
  <w:num w:numId="7" w16cid:durableId="63528106">
    <w:abstractNumId w:val="1"/>
  </w:num>
  <w:num w:numId="8" w16cid:durableId="79134021">
    <w:abstractNumId w:val="12"/>
  </w:num>
  <w:num w:numId="9" w16cid:durableId="1555854018">
    <w:abstractNumId w:val="3"/>
  </w:num>
  <w:num w:numId="10" w16cid:durableId="1474641482">
    <w:abstractNumId w:val="9"/>
  </w:num>
  <w:num w:numId="11" w16cid:durableId="84814014">
    <w:abstractNumId w:val="7"/>
  </w:num>
  <w:num w:numId="12" w16cid:durableId="394819861">
    <w:abstractNumId w:val="4"/>
  </w:num>
  <w:num w:numId="13" w16cid:durableId="2755308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54E"/>
    <w:rsid w:val="000011D2"/>
    <w:rsid w:val="000026BF"/>
    <w:rsid w:val="00005BEB"/>
    <w:rsid w:val="000273D9"/>
    <w:rsid w:val="00040C4A"/>
    <w:rsid w:val="000475F6"/>
    <w:rsid w:val="00075768"/>
    <w:rsid w:val="000F4129"/>
    <w:rsid w:val="001024EE"/>
    <w:rsid w:val="00123921"/>
    <w:rsid w:val="00155F31"/>
    <w:rsid w:val="001B134A"/>
    <w:rsid w:val="001F5F14"/>
    <w:rsid w:val="002056E0"/>
    <w:rsid w:val="0020603E"/>
    <w:rsid w:val="00212655"/>
    <w:rsid w:val="00230083"/>
    <w:rsid w:val="0023014D"/>
    <w:rsid w:val="00231B55"/>
    <w:rsid w:val="00250E0B"/>
    <w:rsid w:val="00255CE3"/>
    <w:rsid w:val="002E0219"/>
    <w:rsid w:val="003106E5"/>
    <w:rsid w:val="00317D07"/>
    <w:rsid w:val="003251DE"/>
    <w:rsid w:val="00331766"/>
    <w:rsid w:val="00342365"/>
    <w:rsid w:val="003502A1"/>
    <w:rsid w:val="0036364A"/>
    <w:rsid w:val="0038354E"/>
    <w:rsid w:val="003A03E0"/>
    <w:rsid w:val="003B53B1"/>
    <w:rsid w:val="003D344E"/>
    <w:rsid w:val="003D552A"/>
    <w:rsid w:val="003E4140"/>
    <w:rsid w:val="003F3C4F"/>
    <w:rsid w:val="00450A38"/>
    <w:rsid w:val="00462AB4"/>
    <w:rsid w:val="004916B9"/>
    <w:rsid w:val="004A48F5"/>
    <w:rsid w:val="004B0CDF"/>
    <w:rsid w:val="004B52B0"/>
    <w:rsid w:val="004B6A3D"/>
    <w:rsid w:val="004C076C"/>
    <w:rsid w:val="004C5393"/>
    <w:rsid w:val="004C6EE4"/>
    <w:rsid w:val="004E34CC"/>
    <w:rsid w:val="004F17A7"/>
    <w:rsid w:val="00506BF6"/>
    <w:rsid w:val="005101B1"/>
    <w:rsid w:val="00512473"/>
    <w:rsid w:val="00514283"/>
    <w:rsid w:val="00525950"/>
    <w:rsid w:val="00530AD9"/>
    <w:rsid w:val="00555FA0"/>
    <w:rsid w:val="0055743B"/>
    <w:rsid w:val="00563282"/>
    <w:rsid w:val="00585DAE"/>
    <w:rsid w:val="00591400"/>
    <w:rsid w:val="005C06F2"/>
    <w:rsid w:val="005E271B"/>
    <w:rsid w:val="005F13B2"/>
    <w:rsid w:val="00644554"/>
    <w:rsid w:val="006920EF"/>
    <w:rsid w:val="006B1E10"/>
    <w:rsid w:val="006C2A84"/>
    <w:rsid w:val="006C757B"/>
    <w:rsid w:val="006E4BB3"/>
    <w:rsid w:val="00732DB7"/>
    <w:rsid w:val="00795AB2"/>
    <w:rsid w:val="007A0762"/>
    <w:rsid w:val="007A0CFD"/>
    <w:rsid w:val="007B744B"/>
    <w:rsid w:val="007D7281"/>
    <w:rsid w:val="007F3048"/>
    <w:rsid w:val="00810C54"/>
    <w:rsid w:val="00821FDA"/>
    <w:rsid w:val="00836CED"/>
    <w:rsid w:val="00836F49"/>
    <w:rsid w:val="00846CA1"/>
    <w:rsid w:val="00866C65"/>
    <w:rsid w:val="008807CA"/>
    <w:rsid w:val="008A4A6D"/>
    <w:rsid w:val="008D4AC8"/>
    <w:rsid w:val="008E7547"/>
    <w:rsid w:val="00950D46"/>
    <w:rsid w:val="0095659F"/>
    <w:rsid w:val="009575A7"/>
    <w:rsid w:val="00966AF9"/>
    <w:rsid w:val="00977DE1"/>
    <w:rsid w:val="009A5A5F"/>
    <w:rsid w:val="009B3766"/>
    <w:rsid w:val="009B5372"/>
    <w:rsid w:val="009D0924"/>
    <w:rsid w:val="00A14429"/>
    <w:rsid w:val="00A154C0"/>
    <w:rsid w:val="00A407D8"/>
    <w:rsid w:val="00A413B3"/>
    <w:rsid w:val="00A743BD"/>
    <w:rsid w:val="00A757DD"/>
    <w:rsid w:val="00AA658C"/>
    <w:rsid w:val="00AB4523"/>
    <w:rsid w:val="00B23493"/>
    <w:rsid w:val="00B51AEB"/>
    <w:rsid w:val="00B70B71"/>
    <w:rsid w:val="00B73D07"/>
    <w:rsid w:val="00B75CA8"/>
    <w:rsid w:val="00B8607B"/>
    <w:rsid w:val="00BA0112"/>
    <w:rsid w:val="00BA5907"/>
    <w:rsid w:val="00BB6BA4"/>
    <w:rsid w:val="00BD14DB"/>
    <w:rsid w:val="00BF7796"/>
    <w:rsid w:val="00C16D47"/>
    <w:rsid w:val="00C32293"/>
    <w:rsid w:val="00C35BC6"/>
    <w:rsid w:val="00C712FB"/>
    <w:rsid w:val="00C76B95"/>
    <w:rsid w:val="00C77633"/>
    <w:rsid w:val="00CA5ECB"/>
    <w:rsid w:val="00CB141E"/>
    <w:rsid w:val="00CB7FE6"/>
    <w:rsid w:val="00CC0DE7"/>
    <w:rsid w:val="00CC24AE"/>
    <w:rsid w:val="00CF1AEA"/>
    <w:rsid w:val="00D0783D"/>
    <w:rsid w:val="00D10AFD"/>
    <w:rsid w:val="00D41B53"/>
    <w:rsid w:val="00D9372D"/>
    <w:rsid w:val="00DA1339"/>
    <w:rsid w:val="00DC2E3F"/>
    <w:rsid w:val="00DD54FE"/>
    <w:rsid w:val="00DF14CB"/>
    <w:rsid w:val="00E30A78"/>
    <w:rsid w:val="00EA5427"/>
    <w:rsid w:val="00EB2663"/>
    <w:rsid w:val="00F03497"/>
    <w:rsid w:val="00F04F7C"/>
    <w:rsid w:val="00F2253D"/>
    <w:rsid w:val="00F52AB2"/>
    <w:rsid w:val="00F7358C"/>
    <w:rsid w:val="00F822AB"/>
    <w:rsid w:val="00F85020"/>
    <w:rsid w:val="00FC6200"/>
    <w:rsid w:val="00FE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81674"/>
  <w15:chartTrackingRefBased/>
  <w15:docId w15:val="{D926FBAC-D3E7-42B7-97BB-09E65AC2F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83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8354E"/>
  </w:style>
  <w:style w:type="paragraph" w:styleId="Pieddepage">
    <w:name w:val="footer"/>
    <w:basedOn w:val="Normal"/>
    <w:link w:val="PieddepageCar"/>
    <w:uiPriority w:val="99"/>
    <w:unhideWhenUsed/>
    <w:rsid w:val="00383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8354E"/>
  </w:style>
  <w:style w:type="table" w:styleId="Grilledutableau">
    <w:name w:val="Table Grid"/>
    <w:basedOn w:val="TableauNormal"/>
    <w:uiPriority w:val="39"/>
    <w:rsid w:val="00383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36CED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4C53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C5393"/>
    <w:pPr>
      <w:spacing w:after="160" w:line="240" w:lineRule="auto"/>
    </w:pPr>
    <w:rPr>
      <w:kern w:val="2"/>
      <w:sz w:val="20"/>
      <w:szCs w:val="20"/>
      <w14:ligatures w14:val="standardContextual"/>
    </w:rPr>
  </w:style>
  <w:style w:type="character" w:customStyle="1" w:styleId="CommentaireCar">
    <w:name w:val="Commentaire Car"/>
    <w:basedOn w:val="Policepardfaut"/>
    <w:link w:val="Commentaire"/>
    <w:uiPriority w:val="99"/>
    <w:rsid w:val="004C5393"/>
    <w:rPr>
      <w:kern w:val="2"/>
      <w:sz w:val="20"/>
      <w:szCs w:val="20"/>
      <w14:ligatures w14:val="standardContextu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12655"/>
    <w:pPr>
      <w:spacing w:after="200"/>
    </w:pPr>
    <w:rPr>
      <w:b/>
      <w:bCs/>
      <w:kern w:val="0"/>
      <w14:ligatures w14:val="none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12655"/>
    <w:rPr>
      <w:b/>
      <w:bCs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8</Pages>
  <Words>755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SAWADOGO Adama</dc:creator>
  <cp:keywords/>
  <dc:description/>
  <cp:lastModifiedBy>SAWADOGO Adama</cp:lastModifiedBy>
  <cp:revision>40</cp:revision>
  <dcterms:created xsi:type="dcterms:W3CDTF">2024-12-16T09:06:00Z</dcterms:created>
  <dcterms:modified xsi:type="dcterms:W3CDTF">2025-02-05T08:42:00Z</dcterms:modified>
</cp:coreProperties>
</file>