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BE4D5" w:themeFill="accent2" w:themeFillTint="3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FICHE DE RENSEIGNEMENTS DE MARCHE</w:t>
      </w:r>
    </w:p>
    <w:p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Numéro de la consultation :</w:t>
      </w:r>
    </w:p>
    <w:p>
      <w:pPr>
        <w:spacing w:line="240" w:lineRule="auto"/>
        <w:rPr>
          <w:b/>
          <w:sz w:val="24"/>
          <w:szCs w:val="24"/>
          <w:u w:val="single"/>
        </w:rPr>
      </w:pPr>
    </w:p>
    <w:p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Objet de la consultation</w:t>
      </w:r>
      <w:r>
        <w:rPr>
          <w:b/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>
        <w:rPr>
          <w:b/>
          <w:color w:val="0066FF"/>
          <w:sz w:val="24"/>
          <w:szCs w:val="24"/>
        </w:rPr>
        <w:t>Fourniture, installation et mise en service d’injecteurs de produits de contraste reconditionnés pour le GHT Centre Franche Comté</w:t>
      </w:r>
    </w:p>
    <w:p>
      <w:pPr>
        <w:spacing w:line="240" w:lineRule="auto"/>
        <w:rPr>
          <w:b/>
          <w:sz w:val="24"/>
          <w:szCs w:val="24"/>
          <w:u w:val="single"/>
        </w:rPr>
      </w:pPr>
    </w:p>
    <w:p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Mode de passation</w:t>
      </w:r>
      <w:r>
        <w:rPr>
          <w:sz w:val="24"/>
          <w:szCs w:val="24"/>
        </w:rPr>
        <w:t> :</w:t>
      </w:r>
    </w:p>
    <w:p>
      <w:pPr>
        <w:spacing w:line="240" w:lineRule="auto"/>
        <w:ind w:left="3402" w:hanging="3402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Appel d’offres</w:t>
      </w:r>
      <w:r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2"/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0"/>
      <w:r>
        <w:rPr>
          <w:sz w:val="24"/>
          <w:szCs w:val="24"/>
        </w:rPr>
        <w:t xml:space="preserve"> Procédure  avec négociation (PN)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  <w:t xml:space="preserve">      </w:t>
      </w:r>
    </w:p>
    <w:p>
      <w:pPr>
        <w:spacing w:line="240" w:lineRule="auto"/>
        <w:ind w:left="1560" w:hanging="1560"/>
        <w:rPr>
          <w:sz w:val="24"/>
          <w:szCs w:val="24"/>
        </w:rPr>
      </w:pPr>
      <w:r>
        <w:rPr>
          <w:rFonts w:ascii="Cambria" w:hAnsi="Cambria"/>
          <w:sz w:val="36"/>
          <w:szCs w:val="24"/>
        </w:rPr>
        <w:t>⊠</w:t>
      </w:r>
      <w:r>
        <w:rPr>
          <w:sz w:val="36"/>
          <w:szCs w:val="24"/>
        </w:rPr>
        <w:t xml:space="preserve"> </w:t>
      </w:r>
      <w:r>
        <w:rPr>
          <w:b/>
          <w:color w:val="0066FF"/>
          <w:sz w:val="24"/>
          <w:szCs w:val="24"/>
        </w:rPr>
        <w:t>MAPA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>
        <w:rPr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 xml:space="preserve"> Marché  sans publicité ni mise en concurrence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6"/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2"/>
      <w:r>
        <w:rPr>
          <w:sz w:val="24"/>
          <w:szCs w:val="24"/>
        </w:rPr>
        <w:t xml:space="preserve"> Dialogue compétitif</w:t>
      </w:r>
      <w:r>
        <w:rPr>
          <w:sz w:val="24"/>
          <w:szCs w:val="24"/>
        </w:rPr>
        <w:br/>
      </w:r>
    </w:p>
    <w:p>
      <w:pPr>
        <w:tabs>
          <w:tab w:val="left" w:pos="2100"/>
        </w:tabs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Type de contrat :</w:t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b/>
          <w:i/>
          <w:color w:val="0066FF"/>
          <w:sz w:val="24"/>
          <w:szCs w:val="24"/>
        </w:rPr>
        <w:t>Marché</w:t>
      </w:r>
      <w:r>
        <w:rPr>
          <w:b/>
          <w:i/>
          <w:sz w:val="24"/>
          <w:szCs w:val="24"/>
        </w:rPr>
        <w:t xml:space="preserve"> :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rFonts w:ascii="Cambria" w:hAnsi="Cambria"/>
          <w:sz w:val="36"/>
          <w:szCs w:val="24"/>
        </w:rPr>
        <w:t>⊠</w:t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b/>
          <w:i/>
          <w:sz w:val="24"/>
          <w:szCs w:val="24"/>
        </w:rPr>
        <w:t>Accord Cadre :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rFonts w:ascii="Cambria" w:hAnsi="Cambria"/>
          <w:sz w:val="36"/>
          <w:szCs w:val="24"/>
        </w:rPr>
        <w:t>⊠</w:t>
      </w:r>
      <w:r>
        <w:rPr>
          <w:sz w:val="24"/>
          <w:szCs w:val="24"/>
        </w:rPr>
        <w:t xml:space="preserve"> </w:t>
      </w:r>
      <w:r>
        <w:rPr>
          <w:color w:val="0066FF"/>
          <w:sz w:val="24"/>
          <w:szCs w:val="24"/>
        </w:rPr>
        <w:t xml:space="preserve">Bon de commandes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Subséquent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Mixte </w:t>
      </w:r>
      <w:r>
        <w:rPr>
          <w:sz w:val="18"/>
          <w:szCs w:val="18"/>
        </w:rPr>
        <w:t>(A détailler, merci)</w:t>
      </w:r>
      <w:r>
        <w:rPr>
          <w:sz w:val="24"/>
          <w:szCs w:val="24"/>
        </w:rPr>
        <w:tab/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</w:p>
    <w:p>
      <w:pPr>
        <w:tabs>
          <w:tab w:val="left" w:pos="2100"/>
        </w:tabs>
        <w:spacing w:line="240" w:lineRule="auto"/>
        <w:rPr>
          <w:sz w:val="18"/>
          <w:szCs w:val="18"/>
        </w:rPr>
      </w:pP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Si Multi Attributaires </w:t>
      </w:r>
      <w:r>
        <w:rPr>
          <w:i/>
          <w:sz w:val="18"/>
          <w:szCs w:val="18"/>
        </w:rPr>
        <w:t>Merci de détailler la répartition des prestations entre les attributaires</w:t>
      </w:r>
      <w:r>
        <w:rPr>
          <w:sz w:val="24"/>
          <w:szCs w:val="24"/>
        </w:rPr>
        <w:t xml:space="preserve">   : </w:t>
      </w:r>
    </w:p>
    <w:p>
      <w:pPr>
        <w:tabs>
          <w:tab w:val="left" w:pos="2100"/>
        </w:tabs>
        <w:spacing w:line="240" w:lineRule="auto"/>
        <w:rPr>
          <w:b/>
          <w:sz w:val="24"/>
          <w:szCs w:val="24"/>
        </w:rPr>
      </w:pP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Concours :</w:t>
      </w:r>
      <w:r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b/>
          <w:i/>
          <w:sz w:val="24"/>
          <w:szCs w:val="24"/>
        </w:rPr>
        <w:t>Système d’acquisition dynamique :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</w:p>
    <w:p>
      <w:pPr>
        <w:tabs>
          <w:tab w:val="left" w:pos="2100"/>
        </w:tabs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Nature des prestations :</w:t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Travaux     </w:t>
      </w:r>
      <w:r>
        <w:rPr>
          <w:rFonts w:ascii="Cambria" w:hAnsi="Cambria"/>
          <w:sz w:val="36"/>
          <w:szCs w:val="24"/>
        </w:rPr>
        <w:t>⊠</w:t>
      </w:r>
      <w:r>
        <w:rPr>
          <w:color w:val="0066FF"/>
          <w:sz w:val="24"/>
          <w:szCs w:val="24"/>
        </w:rPr>
        <w:t>Fournitures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Service     </w:t>
      </w: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Prestation intellectuelle</w:t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</w:p>
    <w:p>
      <w:pPr>
        <w:tabs>
          <w:tab w:val="left" w:pos="2100"/>
        </w:tabs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Forme du contrat :</w:t>
      </w:r>
    </w:p>
    <w:p>
      <w:pPr>
        <w:tabs>
          <w:tab w:val="left" w:pos="2100"/>
        </w:tabs>
        <w:spacing w:line="240" w:lineRule="auto"/>
        <w:rPr>
          <w:b/>
          <w:sz w:val="24"/>
          <w:szCs w:val="24"/>
          <w:u w:val="single"/>
        </w:rPr>
      </w:pP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rFonts w:ascii="Cambria" w:hAnsi="Cambria"/>
          <w:sz w:val="36"/>
          <w:szCs w:val="24"/>
        </w:rPr>
        <w:t>⊠</w:t>
      </w:r>
      <w:r>
        <w:rPr>
          <w:color w:val="0066FF"/>
          <w:sz w:val="24"/>
          <w:szCs w:val="24"/>
        </w:rPr>
        <w:t>Ordinaire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Tranches</w:t>
      </w:r>
    </w:p>
    <w:p>
      <w:pPr>
        <w:tabs>
          <w:tab w:val="left" w:pos="2100"/>
        </w:tabs>
        <w:spacing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lastRenderedPageBreak/>
        <w:br/>
      </w:r>
    </w:p>
    <w:p>
      <w:pPr>
        <w:tabs>
          <w:tab w:val="left" w:pos="2100"/>
        </w:tabs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Niveau de mutualisation des achats le cas échéant :</w:t>
      </w: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</w:p>
    <w:p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Groupement de commandes     </w:t>
      </w:r>
      <w:r>
        <w:rPr>
          <w:rFonts w:ascii="Cambria" w:hAnsi="Cambria"/>
          <w:sz w:val="36"/>
          <w:szCs w:val="24"/>
        </w:rPr>
        <w:t>⊠</w:t>
      </w:r>
      <w:r>
        <w:rPr>
          <w:sz w:val="24"/>
          <w:szCs w:val="24"/>
        </w:rPr>
        <w:t xml:space="preserve"> </w:t>
      </w:r>
      <w:r>
        <w:rPr>
          <w:color w:val="0066FF"/>
          <w:sz w:val="24"/>
          <w:szCs w:val="24"/>
        </w:rPr>
        <w:t>GHT</w:t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CVP :</w:t>
      </w: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Date limite de réception des offres</w:t>
      </w:r>
      <w:r>
        <w:rPr>
          <w:b/>
          <w:sz w:val="24"/>
          <w:szCs w:val="24"/>
        </w:rPr>
        <w:t xml:space="preserve"> : </w:t>
      </w:r>
      <w:r>
        <w:rPr>
          <w:b/>
          <w:color w:val="0066FF"/>
          <w:sz w:val="24"/>
          <w:szCs w:val="24"/>
        </w:rPr>
        <w:t>à définir</w:t>
      </w:r>
    </w:p>
    <w:p>
      <w:pPr>
        <w:rPr>
          <w:b/>
          <w:sz w:val="24"/>
          <w:szCs w:val="24"/>
          <w:u w:val="single"/>
        </w:rPr>
      </w:pPr>
    </w:p>
    <w:p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Allotissement </w:t>
      </w:r>
      <w:r>
        <w:rPr>
          <w:b/>
          <w:sz w:val="24"/>
          <w:szCs w:val="24"/>
        </w:rPr>
        <w:t xml:space="preserve">: 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NON     </w:t>
      </w:r>
      <w:r>
        <w:rPr>
          <w:rFonts w:ascii="Cambria" w:hAnsi="Cambria"/>
          <w:sz w:val="36"/>
          <w:szCs w:val="24"/>
        </w:rPr>
        <w:t>⊠</w:t>
      </w:r>
      <w:r>
        <w:rPr>
          <w:color w:val="0066FF"/>
          <w:sz w:val="24"/>
          <w:szCs w:val="24"/>
        </w:rPr>
        <w:t xml:space="preserve">OUI </w:t>
      </w:r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proofErr w:type="gramStart"/>
      <w:r>
        <w:rPr>
          <w:i/>
          <w:sz w:val="24"/>
          <w:szCs w:val="24"/>
        </w:rPr>
        <w:t>si</w:t>
      </w:r>
      <w:proofErr w:type="gramEnd"/>
      <w:r>
        <w:rPr>
          <w:i/>
          <w:sz w:val="24"/>
          <w:szCs w:val="24"/>
        </w:rPr>
        <w:t xml:space="preserve"> oui merci de détailler)</w:t>
      </w:r>
    </w:p>
    <w:p>
      <w:pPr>
        <w:rPr>
          <w:i/>
          <w:color w:val="0066FF"/>
          <w:sz w:val="24"/>
          <w:szCs w:val="24"/>
        </w:rPr>
      </w:pPr>
      <w:r>
        <w:rPr>
          <w:i/>
          <w:color w:val="0066FF"/>
          <w:sz w:val="24"/>
          <w:szCs w:val="24"/>
        </w:rPr>
        <w:t>Lot n° 1 : Injecteurs de produits de contraste pour scanner</w:t>
      </w:r>
    </w:p>
    <w:p>
      <w:pPr>
        <w:pStyle w:val="Paragraphedeliste"/>
        <w:numPr>
          <w:ilvl w:val="0"/>
          <w:numId w:val="2"/>
        </w:numPr>
        <w:rPr>
          <w:i/>
          <w:color w:val="0066FF"/>
          <w:sz w:val="24"/>
          <w:szCs w:val="24"/>
        </w:rPr>
      </w:pPr>
      <w:r>
        <w:rPr>
          <w:i/>
          <w:color w:val="0066FF"/>
          <w:sz w:val="24"/>
          <w:szCs w:val="24"/>
        </w:rPr>
        <w:t>CHU Besançon : 3</w:t>
      </w:r>
    </w:p>
    <w:p>
      <w:pPr>
        <w:pStyle w:val="Paragraphedeliste"/>
        <w:numPr>
          <w:ilvl w:val="0"/>
          <w:numId w:val="2"/>
        </w:numPr>
        <w:rPr>
          <w:i/>
          <w:color w:val="0066FF"/>
          <w:sz w:val="24"/>
          <w:szCs w:val="24"/>
        </w:rPr>
      </w:pPr>
      <w:r>
        <w:rPr>
          <w:i/>
          <w:color w:val="0066FF"/>
          <w:sz w:val="24"/>
          <w:szCs w:val="24"/>
        </w:rPr>
        <w:t>CH Dole : 1</w:t>
      </w:r>
    </w:p>
    <w:p>
      <w:pPr>
        <w:rPr>
          <w:i/>
          <w:color w:val="0066FF"/>
          <w:sz w:val="24"/>
          <w:szCs w:val="24"/>
        </w:rPr>
      </w:pPr>
      <w:r>
        <w:rPr>
          <w:i/>
          <w:color w:val="0066FF"/>
          <w:sz w:val="24"/>
          <w:szCs w:val="24"/>
        </w:rPr>
        <w:t>Lot n° 2 injecteurs de produits de contraste pour IRM</w:t>
      </w:r>
    </w:p>
    <w:p>
      <w:pPr>
        <w:pStyle w:val="Paragraphedeliste"/>
        <w:numPr>
          <w:ilvl w:val="0"/>
          <w:numId w:val="3"/>
        </w:numPr>
        <w:rPr>
          <w:i/>
          <w:color w:val="0066FF"/>
          <w:sz w:val="24"/>
          <w:szCs w:val="24"/>
          <w:u w:val="single"/>
        </w:rPr>
      </w:pPr>
      <w:r>
        <w:rPr>
          <w:i/>
          <w:color w:val="0066FF"/>
          <w:sz w:val="24"/>
          <w:szCs w:val="24"/>
        </w:rPr>
        <w:t>CHU Besançon : 3</w:t>
      </w:r>
    </w:p>
    <w:p>
      <w:pPr>
        <w:rPr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Montant estimé HT sur la durée du marché</w:t>
      </w:r>
      <w:r>
        <w:rPr>
          <w:b/>
          <w:sz w:val="24"/>
          <w:szCs w:val="24"/>
        </w:rPr>
        <w:t> </w:t>
      </w:r>
      <w:r>
        <w:rPr>
          <w:b/>
          <w:color w:val="0066FF"/>
          <w:sz w:val="24"/>
          <w:szCs w:val="24"/>
        </w:rPr>
        <w:t xml:space="preserve">: 100 </w:t>
      </w:r>
      <w:proofErr w:type="spellStart"/>
      <w:r>
        <w:rPr>
          <w:b/>
          <w:color w:val="0066FF"/>
          <w:sz w:val="24"/>
          <w:szCs w:val="24"/>
        </w:rPr>
        <w:t>k€HT</w:t>
      </w:r>
      <w:proofErr w:type="spellEnd"/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Pour les accords-cadres uniquement :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Maximum</w:t>
      </w:r>
      <w:r>
        <w:rPr>
          <w:sz w:val="24"/>
          <w:szCs w:val="24"/>
        </w:rPr>
        <w:tab/>
        <w:t xml:space="preserve">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Montant HT maximum :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Minimum et maximum  </w:t>
      </w:r>
      <w:r>
        <w:rPr>
          <w:sz w:val="24"/>
          <w:szCs w:val="24"/>
        </w:rPr>
        <w:tab/>
        <w:t xml:space="preserve">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Montant HT minimum :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Montant HT maximum :</w:t>
      </w:r>
    </w:p>
    <w:p>
      <w:r>
        <w:rPr>
          <w:i/>
        </w:rPr>
        <w:t>(</w:t>
      </w:r>
      <w:proofErr w:type="gramStart"/>
      <w:r>
        <w:rPr>
          <w:i/>
        </w:rPr>
        <w:t>montant</w:t>
      </w:r>
      <w:proofErr w:type="gramEnd"/>
      <w:r>
        <w:rPr>
          <w:i/>
        </w:rPr>
        <w:t xml:space="preserve"> à indiquer sur la durée totale du marché)</w:t>
      </w:r>
      <w:r>
        <w:t xml:space="preserve">                   </w:t>
      </w: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Prix : </w:t>
      </w:r>
      <w:r>
        <w:rPr>
          <w:b/>
          <w:sz w:val="24"/>
          <w:szCs w:val="24"/>
          <w:u w:val="single"/>
        </w:rPr>
        <w:br/>
      </w:r>
    </w:p>
    <w:p>
      <w:pPr>
        <w:rPr>
          <w:sz w:val="24"/>
          <w:szCs w:val="24"/>
        </w:rPr>
      </w:pPr>
      <w:r>
        <w:rPr>
          <w:rFonts w:ascii="Cambria" w:hAnsi="Cambria"/>
          <w:sz w:val="36"/>
          <w:szCs w:val="24"/>
        </w:rPr>
        <w:t>⊠</w:t>
      </w:r>
      <w:r>
        <w:rPr>
          <w:sz w:val="24"/>
          <w:szCs w:val="24"/>
        </w:rPr>
        <w:t xml:space="preserve"> </w:t>
      </w:r>
      <w:r>
        <w:rPr>
          <w:color w:val="0066FF"/>
          <w:sz w:val="24"/>
          <w:szCs w:val="24"/>
        </w:rPr>
        <w:t>Fermes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Révisables   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Actualisable</w:t>
      </w:r>
    </w:p>
    <w:p>
      <w:pPr>
        <w:rPr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Clause de sauvegarde/butoir :</w:t>
      </w:r>
      <w:r>
        <w:rPr>
          <w:b/>
          <w:sz w:val="24"/>
          <w:szCs w:val="24"/>
        </w:rPr>
        <w:t xml:space="preserve"> </w:t>
      </w:r>
      <w:r>
        <w:rPr>
          <w:rFonts w:ascii="Cambria" w:hAnsi="Cambria"/>
          <w:sz w:val="36"/>
          <w:szCs w:val="24"/>
        </w:rPr>
        <w:t>⊠</w:t>
      </w:r>
      <w:r>
        <w:rPr>
          <w:sz w:val="24"/>
          <w:szCs w:val="24"/>
        </w:rPr>
        <w:t xml:space="preserve"> </w:t>
      </w:r>
      <w:r>
        <w:rPr>
          <w:color w:val="0066FF"/>
          <w:sz w:val="24"/>
          <w:szCs w:val="24"/>
        </w:rPr>
        <w:t xml:space="preserve">NON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OUI </w:t>
      </w:r>
      <w:r>
        <w:rPr>
          <w:i/>
        </w:rPr>
        <w:t>(si oui à détailler)</w:t>
      </w:r>
      <w:r>
        <w:rPr>
          <w:b/>
          <w:sz w:val="24"/>
          <w:szCs w:val="24"/>
          <w:u w:val="single"/>
        </w:rPr>
        <w:br/>
      </w: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Critères de sélection des offres avec leur pondération : </w:t>
      </w:r>
    </w:p>
    <w:p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>Prix des prestations 50 %</w:t>
      </w:r>
    </w:p>
    <w:p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>Valeur technique 40 %</w:t>
      </w:r>
    </w:p>
    <w:p>
      <w:pPr>
        <w:spacing w:after="0" w:line="240" w:lineRule="auto"/>
        <w:ind w:left="360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>Les caractéristiques techniques seront jugées sur la base des questionnaires techniques et des fiches techniques fournies (annexe 2) :</w:t>
      </w:r>
    </w:p>
    <w:p>
      <w:pPr>
        <w:spacing w:after="0" w:line="240" w:lineRule="auto"/>
        <w:ind w:left="720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>- Ergonomie, encombrement, interfaçage,</w:t>
      </w:r>
    </w:p>
    <w:p>
      <w:pPr>
        <w:spacing w:after="0" w:line="240" w:lineRule="auto"/>
        <w:ind w:left="720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 xml:space="preserve">- Performance, </w:t>
      </w:r>
    </w:p>
    <w:p>
      <w:pPr>
        <w:spacing w:after="0" w:line="240" w:lineRule="auto"/>
        <w:ind w:left="720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>- Facilité et sécurité d’utilisation,</w:t>
      </w:r>
    </w:p>
    <w:p>
      <w:pPr>
        <w:spacing w:after="0" w:line="240" w:lineRule="auto"/>
        <w:ind w:left="720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>- Facilité de changement consommables, ...</w:t>
      </w:r>
    </w:p>
    <w:p>
      <w:pPr>
        <w:spacing w:after="0" w:line="240" w:lineRule="auto"/>
        <w:ind w:left="720"/>
        <w:rPr>
          <w:rFonts w:ascii="Calibri" w:eastAsia="Times New Roman" w:hAnsi="Calibri" w:cs="Calibri"/>
          <w:color w:val="0066FF"/>
          <w:sz w:val="24"/>
        </w:rPr>
      </w:pPr>
    </w:p>
    <w:p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>Service après-vente 10 %</w:t>
      </w:r>
    </w:p>
    <w:p>
      <w:pPr>
        <w:spacing w:after="0" w:line="240" w:lineRule="auto"/>
        <w:ind w:left="720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>- Installation et mise en service,</w:t>
      </w:r>
    </w:p>
    <w:p>
      <w:pPr>
        <w:spacing w:after="0" w:line="240" w:lineRule="auto"/>
        <w:ind w:left="720"/>
        <w:rPr>
          <w:rFonts w:ascii="Calibri" w:eastAsia="Times New Roman" w:hAnsi="Calibri" w:cs="Calibri"/>
          <w:color w:val="0066FF"/>
          <w:sz w:val="24"/>
        </w:rPr>
      </w:pPr>
      <w:r>
        <w:rPr>
          <w:rFonts w:ascii="Calibri" w:eastAsia="Times New Roman" w:hAnsi="Calibri" w:cs="Calibri"/>
          <w:color w:val="0066FF"/>
          <w:sz w:val="24"/>
        </w:rPr>
        <w:t xml:space="preserve">- Gestion de la maintenance </w:t>
      </w: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Durée du marché</w:t>
      </w:r>
      <w:r>
        <w:rPr>
          <w:b/>
          <w:sz w:val="24"/>
          <w:szCs w:val="24"/>
        </w:rPr>
        <w:t> </w:t>
      </w:r>
      <w:r>
        <w:rPr>
          <w:b/>
          <w:color w:val="0066FF"/>
          <w:sz w:val="24"/>
          <w:szCs w:val="24"/>
        </w:rPr>
        <w:t>: 1 an</w:t>
      </w: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Reconduction :</w:t>
      </w:r>
      <w:r>
        <w:rPr>
          <w:b/>
          <w:sz w:val="24"/>
          <w:szCs w:val="24"/>
        </w:rPr>
        <w:t xml:space="preserve">   </w:t>
      </w:r>
      <w:r>
        <w:rPr>
          <w:rFonts w:ascii="Cambria" w:hAnsi="Cambria"/>
          <w:sz w:val="36"/>
          <w:szCs w:val="24"/>
        </w:rPr>
        <w:t>⊠</w:t>
      </w:r>
      <w:r>
        <w:rPr>
          <w:color w:val="0066FF"/>
          <w:sz w:val="24"/>
          <w:szCs w:val="24"/>
        </w:rPr>
        <w:t>NON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OUI </w:t>
      </w:r>
      <w:r>
        <w:rPr>
          <w:i/>
        </w:rPr>
        <w:t>(si oui à détailler)</w:t>
      </w: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Variante/ PSE </w:t>
      </w:r>
      <w:r>
        <w:rPr>
          <w:b/>
          <w:sz w:val="24"/>
          <w:szCs w:val="24"/>
        </w:rPr>
        <w:t xml:space="preserve">: 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NON     </w:t>
      </w:r>
      <w:r>
        <w:rPr>
          <w:rFonts w:ascii="Cambria" w:hAnsi="Cambria"/>
          <w:sz w:val="36"/>
          <w:szCs w:val="24"/>
        </w:rPr>
        <w:t>⊠</w:t>
      </w:r>
      <w:r>
        <w:rPr>
          <w:color w:val="0066FF"/>
          <w:sz w:val="24"/>
          <w:szCs w:val="24"/>
        </w:rPr>
        <w:t>OUI</w:t>
      </w:r>
      <w:r>
        <w:rPr>
          <w:sz w:val="24"/>
          <w:szCs w:val="24"/>
        </w:rPr>
        <w:t xml:space="preserve"> </w:t>
      </w:r>
      <w:r>
        <w:rPr>
          <w:i/>
        </w:rPr>
        <w:t>(si oui à détailler)</w:t>
      </w:r>
    </w:p>
    <w:p>
      <w:pPr>
        <w:tabs>
          <w:tab w:val="left" w:pos="1305"/>
        </w:tabs>
        <w:rPr>
          <w:b/>
          <w:i/>
          <w:color w:val="0066FF"/>
          <w:sz w:val="24"/>
          <w:szCs w:val="24"/>
          <w:u w:val="single"/>
        </w:rPr>
      </w:pPr>
      <w:r>
        <w:rPr>
          <w:b/>
          <w:color w:val="0066FF"/>
          <w:sz w:val="24"/>
          <w:szCs w:val="24"/>
        </w:rPr>
        <w:t>Proposition d’un contrat de maintenance préventive obligatoire.</w:t>
      </w:r>
    </w:p>
    <w:p>
      <w:pPr>
        <w:tabs>
          <w:tab w:val="left" w:pos="1305"/>
        </w:tabs>
        <w:rPr>
          <w:b/>
          <w:i/>
          <w:color w:val="0066FF"/>
          <w:sz w:val="24"/>
          <w:szCs w:val="24"/>
          <w:u w:val="single"/>
        </w:rPr>
      </w:pPr>
      <w:r>
        <w:rPr>
          <w:b/>
          <w:i/>
          <w:color w:val="0066FF"/>
          <w:sz w:val="24"/>
          <w:szCs w:val="24"/>
          <w:u w:val="single"/>
        </w:rPr>
        <w:t>Prestations supplémentaires facultatives obligatoires :</w:t>
      </w:r>
    </w:p>
    <w:p>
      <w:pPr>
        <w:pStyle w:val="Paragraphedeliste"/>
        <w:numPr>
          <w:ilvl w:val="0"/>
          <w:numId w:val="3"/>
        </w:numPr>
        <w:tabs>
          <w:tab w:val="left" w:pos="1305"/>
        </w:tabs>
        <w:rPr>
          <w:b/>
          <w:color w:val="0066FF"/>
          <w:sz w:val="24"/>
          <w:szCs w:val="24"/>
        </w:rPr>
      </w:pPr>
      <w:r>
        <w:rPr>
          <w:b/>
          <w:color w:val="0066FF"/>
          <w:sz w:val="24"/>
          <w:szCs w:val="24"/>
        </w:rPr>
        <w:t>PSF 1 : Proposition d’un contrat de maintenance tous risques (curatif inclus)</w:t>
      </w:r>
    </w:p>
    <w:p>
      <w:pPr>
        <w:tabs>
          <w:tab w:val="left" w:pos="1305"/>
        </w:tabs>
        <w:rPr>
          <w:b/>
          <w:sz w:val="24"/>
          <w:szCs w:val="24"/>
          <w:u w:val="single"/>
        </w:rPr>
      </w:pPr>
      <w:bookmarkStart w:id="3" w:name="_GoBack"/>
      <w:bookmarkEnd w:id="3"/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Echantillon, visites</w:t>
      </w:r>
      <w:proofErr w:type="gramStart"/>
      <w:r>
        <w:rPr>
          <w:b/>
          <w:sz w:val="24"/>
          <w:szCs w:val="24"/>
          <w:u w:val="single"/>
        </w:rPr>
        <w:t xml:space="preserve"> ….</w:t>
      </w:r>
      <w:proofErr w:type="gramEnd"/>
      <w:r>
        <w:rPr>
          <w:b/>
          <w:sz w:val="24"/>
          <w:szCs w:val="24"/>
          <w:u w:val="single"/>
        </w:rPr>
        <w:t> </w:t>
      </w:r>
      <w:r>
        <w:rPr>
          <w:b/>
          <w:u w:val="single"/>
        </w:rPr>
        <w:t xml:space="preserve">: </w:t>
      </w:r>
      <w:r>
        <w:rPr>
          <w:i/>
        </w:rPr>
        <w:t>(Si oui, à détailler)</w:t>
      </w:r>
    </w:p>
    <w:p>
      <w:pPr>
        <w:rPr>
          <w:b/>
          <w:color w:val="0066FF"/>
          <w:sz w:val="24"/>
          <w:szCs w:val="24"/>
        </w:rPr>
      </w:pPr>
      <w:r>
        <w:rPr>
          <w:b/>
          <w:color w:val="0066FF"/>
          <w:sz w:val="24"/>
          <w:szCs w:val="24"/>
        </w:rPr>
        <w:t>N/A</w:t>
      </w: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Clause environnementale :</w:t>
      </w:r>
      <w:r>
        <w:rPr>
          <w:b/>
          <w:sz w:val="24"/>
          <w:szCs w:val="24"/>
        </w:rPr>
        <w:t xml:space="preserve">   </w:t>
      </w:r>
      <w:r>
        <w:rPr>
          <w:rFonts w:ascii="Cambria" w:hAnsi="Cambria"/>
          <w:sz w:val="36"/>
          <w:szCs w:val="24"/>
        </w:rPr>
        <w:t>⊠</w:t>
      </w:r>
      <w:r>
        <w:rPr>
          <w:color w:val="0066FF"/>
          <w:sz w:val="24"/>
          <w:szCs w:val="24"/>
        </w:rPr>
        <w:t xml:space="preserve">NON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OUI </w:t>
      </w:r>
      <w:r>
        <w:rPr>
          <w:i/>
        </w:rPr>
        <w:t>(si oui à détailler)</w:t>
      </w: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Pénalités </w:t>
      </w:r>
      <w:r>
        <w:rPr>
          <w:b/>
          <w:sz w:val="24"/>
          <w:szCs w:val="24"/>
        </w:rPr>
        <w:t xml:space="preserve">: </w:t>
      </w:r>
    </w:p>
    <w:p>
      <w:pPr>
        <w:ind w:right="-426"/>
        <w:rPr>
          <w:i/>
        </w:rPr>
      </w:pPr>
      <w:r>
        <w:rPr>
          <w:sz w:val="24"/>
          <w:szCs w:val="24"/>
        </w:rPr>
        <w:t xml:space="preserve">Application de la clause classique pour les pénalités de retard :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NON     </w:t>
      </w:r>
      <w:r>
        <w:rPr>
          <w:rFonts w:ascii="Cambria" w:hAnsi="Cambria"/>
          <w:sz w:val="36"/>
          <w:szCs w:val="24"/>
        </w:rPr>
        <w:t>⊠</w:t>
      </w:r>
      <w:r>
        <w:rPr>
          <w:sz w:val="24"/>
          <w:szCs w:val="24"/>
        </w:rPr>
        <w:t xml:space="preserve"> </w:t>
      </w:r>
      <w:r>
        <w:rPr>
          <w:color w:val="0066FF"/>
          <w:sz w:val="24"/>
          <w:szCs w:val="24"/>
        </w:rPr>
        <w:t xml:space="preserve">OUI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Application de d’autres pénalités ?</w:t>
      </w:r>
    </w:p>
    <w:p>
      <w:pPr>
        <w:rPr>
          <w:b/>
          <w:color w:val="0066FF"/>
          <w:sz w:val="24"/>
          <w:szCs w:val="24"/>
        </w:rPr>
      </w:pPr>
      <w:r>
        <w:rPr>
          <w:b/>
          <w:color w:val="0066FF"/>
          <w:sz w:val="24"/>
          <w:szCs w:val="24"/>
        </w:rPr>
        <w:t>N/A</w:t>
      </w:r>
    </w:p>
    <w:p>
      <w:pPr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RGDP 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szCs w:val="24"/>
        </w:rPr>
        <w:instrText xml:space="preserve"> FORMCHECKBOX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separate"/>
      </w:r>
      <w:r>
        <w:rPr>
          <w:b/>
          <w:sz w:val="24"/>
          <w:szCs w:val="24"/>
        </w:rPr>
        <w:fldChar w:fldCharType="end"/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OUI</w:t>
      </w:r>
      <w:r>
        <w:rPr>
          <w:i/>
          <w:sz w:val="18"/>
          <w:szCs w:val="18"/>
        </w:rPr>
        <w:t xml:space="preserve"> </w:t>
      </w:r>
      <w:r>
        <w:rPr>
          <w:i/>
        </w:rPr>
        <w:t>(Si oui à détailler)</w:t>
      </w:r>
    </w:p>
    <w:p>
      <w:pPr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Le Prestataire, en qualité de sous-traitant, aura accès aux catégories de données à caractère personnel suivantes :</w:t>
      </w:r>
    </w:p>
    <w:p>
      <w:pPr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Les personnes concernées par les traitements sont :</w:t>
      </w:r>
    </w:p>
    <w:p>
      <w:pPr>
        <w:rPr>
          <w:rFonts w:ascii="Calibri" w:hAnsi="Calibri"/>
          <w:bCs/>
          <w:sz w:val="24"/>
          <w:szCs w:val="24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Clauses diverses </w:t>
      </w:r>
      <w:r>
        <w:rPr>
          <w:b/>
          <w:sz w:val="24"/>
          <w:szCs w:val="24"/>
        </w:rPr>
        <w:t xml:space="preserve">: </w:t>
      </w:r>
      <w:r>
        <w:rPr>
          <w:i/>
          <w:sz w:val="24"/>
          <w:szCs w:val="24"/>
        </w:rPr>
        <w:t>(négociation, audition, de réexamen, exécution)</w:t>
      </w:r>
      <w:r>
        <w:rPr>
          <w:b/>
          <w:sz w:val="24"/>
          <w:szCs w:val="24"/>
          <w:u w:val="single"/>
        </w:rPr>
        <w:t xml:space="preserve">  </w:t>
      </w:r>
    </w:p>
    <w:p>
      <w:pPr>
        <w:rPr>
          <w:b/>
          <w:color w:val="0066FF"/>
          <w:sz w:val="24"/>
          <w:szCs w:val="24"/>
        </w:rPr>
      </w:pPr>
      <w:r>
        <w:rPr>
          <w:b/>
          <w:color w:val="0066FF"/>
          <w:sz w:val="24"/>
          <w:szCs w:val="24"/>
        </w:rPr>
        <w:t>N/A</w:t>
      </w:r>
    </w:p>
    <w:p>
      <w:pPr>
        <w:rPr>
          <w:b/>
          <w:sz w:val="24"/>
          <w:szCs w:val="24"/>
          <w:u w:val="single"/>
        </w:rPr>
      </w:pPr>
    </w:p>
    <w:p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Autres informations pertinentes : </w:t>
      </w:r>
      <w:r>
        <w:rPr>
          <w:b/>
          <w:sz w:val="24"/>
          <w:szCs w:val="24"/>
          <w:u w:val="single"/>
        </w:rPr>
        <w:br/>
      </w:r>
    </w:p>
    <w:p>
      <w:pPr>
        <w:rPr>
          <w:b/>
          <w:color w:val="0066FF"/>
          <w:sz w:val="24"/>
          <w:szCs w:val="24"/>
        </w:rPr>
      </w:pPr>
      <w:r>
        <w:rPr>
          <w:b/>
          <w:color w:val="0066FF"/>
          <w:sz w:val="24"/>
          <w:szCs w:val="24"/>
        </w:rPr>
        <w:t>N/A</w:t>
      </w:r>
    </w:p>
    <w:p>
      <w:pPr>
        <w:rPr>
          <w:b/>
          <w:sz w:val="24"/>
          <w:szCs w:val="24"/>
          <w:u w:val="single"/>
        </w:rPr>
      </w:pPr>
    </w:p>
    <w:p>
      <w:pPr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Date souhaitée de publication</w:t>
      </w:r>
      <w:r>
        <w:rPr>
          <w:b/>
          <w:color w:val="FF0000"/>
          <w:sz w:val="24"/>
          <w:szCs w:val="24"/>
        </w:rPr>
        <w:t> </w:t>
      </w:r>
      <w:r>
        <w:rPr>
          <w:b/>
          <w:color w:val="0066FF"/>
          <w:sz w:val="24"/>
          <w:szCs w:val="24"/>
        </w:rPr>
        <w:t>: à définir</w:t>
      </w:r>
    </w:p>
    <w:p>
      <w:pPr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Date limite de réception des offres souhaitée</w:t>
      </w:r>
      <w:r>
        <w:rPr>
          <w:b/>
          <w:color w:val="FF0000"/>
          <w:sz w:val="24"/>
          <w:szCs w:val="24"/>
        </w:rPr>
        <w:t xml:space="preserve"> : </w:t>
      </w:r>
      <w:r>
        <w:rPr>
          <w:b/>
          <w:color w:val="0066FF"/>
          <w:sz w:val="24"/>
          <w:szCs w:val="24"/>
        </w:rPr>
        <w:t>à définir</w:t>
      </w:r>
    </w:p>
    <w:sectPr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rPr>
        <w:b/>
        <w:bCs/>
        <w:color w:val="C00000"/>
      </w:rPr>
    </w:pPr>
    <w:r>
      <w:rPr>
        <w:b/>
        <w:bCs/>
        <w:color w:val="C00000"/>
      </w:rPr>
      <w:t xml:space="preserve">Merci de nous transmettre tout autres documents (CCTP, annexe financière…) </w:t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rPr>
        <w:b/>
        <w:bCs/>
        <w:color w:val="0066FF"/>
      </w:rPr>
    </w:pPr>
    <w:r>
      <w:rPr>
        <w:b/>
        <w:bCs/>
        <w:noProof/>
        <w:color w:val="0066FF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>
      <w:rPr>
        <w:b/>
        <w:bCs/>
        <w:color w:val="0066FF"/>
      </w:rPr>
      <w:t>Dossier suivi par : E. BERENGER, Ingénieur biomédical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E62E8"/>
    <w:multiLevelType w:val="hybridMultilevel"/>
    <w:tmpl w:val="40D0D2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59610B"/>
    <w:multiLevelType w:val="hybridMultilevel"/>
    <w:tmpl w:val="3B64D6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40BD9"/>
    <w:multiLevelType w:val="hybridMultilevel"/>
    <w:tmpl w:val="998655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806BA"/>
    <w:multiLevelType w:val="hybridMultilevel"/>
    <w:tmpl w:val="AB0EE0AA"/>
    <w:lvl w:ilvl="0" w:tplc="35A205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92EFE-8CCA-4947-931B-625DA249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iblet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B9119-9158-4225-B397-82F363C5F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Besançon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BLANDIN</dc:creator>
  <cp:lastModifiedBy>Emmanuel BERENGER</cp:lastModifiedBy>
  <cp:revision>4</cp:revision>
  <cp:lastPrinted>2020-10-20T09:13:00Z</cp:lastPrinted>
  <dcterms:created xsi:type="dcterms:W3CDTF">2024-12-13T16:35:00Z</dcterms:created>
  <dcterms:modified xsi:type="dcterms:W3CDTF">2025-01-02T14:47:00Z</dcterms:modified>
</cp:coreProperties>
</file>