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Annexe 1 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: Liste des comptables assignataires</w:t>
      </w:r>
    </w:p>
    <w:tbl>
      <w:tblPr>
        <w:tblpPr w:leftFromText="141" w:rightFromText="141" w:vertAnchor="page" w:horzAnchor="margin" w:tblpY="1966"/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829"/>
        <w:gridCol w:w="3215"/>
        <w:gridCol w:w="2008"/>
      </w:tblGrid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mbria" w:eastAsia="MS Mincho" w:hAnsi="Cambria" w:cs="Calibri"/>
                <w:b/>
                <w:bCs/>
                <w:i/>
                <w:sz w:val="20"/>
                <w:szCs w:val="20"/>
                <w:lang w:eastAsia="ja-JP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i/>
                <w:noProof/>
                <w:sz w:val="20"/>
                <w:szCs w:val="20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i/>
                <w:noProof/>
                <w:sz w:val="20"/>
                <w:szCs w:val="20"/>
                <w:lang w:eastAsia="fr-FR"/>
              </w:rPr>
              <w:t>Centre Hospitalier Régional Universitaire de Besançon</w:t>
            </w:r>
          </w:p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Madame le Trésorier Principal du CHU de Besançon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sz w:val="20"/>
                <w:szCs w:val="20"/>
                <w:lang w:eastAsia="fr-FR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Centre des finances publiques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5, Boulevard Charles de Gaulle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25043 Besançon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Centre Hospitalier </w:t>
            </w:r>
            <w:proofErr w:type="spellStart"/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L.Pasteur</w:t>
            </w:r>
            <w:proofErr w:type="spellEnd"/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Madame la Trésorière principale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136 avenue Léon Jouhaux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br/>
              <w:t>39100 DOLE</w:t>
            </w:r>
          </w:p>
        </w:tc>
      </w:tr>
    </w:tbl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61792-DEE0-4B9B-BAB5-90ADC2F8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283</Characters>
  <Application>Microsoft Office Word</Application>
  <DocSecurity>0</DocSecurity>
  <Lines>2</Lines>
  <Paragraphs>1</Paragraphs>
  <ScaleCrop>false</ScaleCrop>
  <Company>CHRU de Besançon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BLANDIN</dc:creator>
  <cp:keywords/>
  <dc:description/>
  <cp:lastModifiedBy>Marie BLANDIN (CHUB)</cp:lastModifiedBy>
  <cp:revision>3</cp:revision>
  <dcterms:created xsi:type="dcterms:W3CDTF">2023-06-15T06:17:00Z</dcterms:created>
  <dcterms:modified xsi:type="dcterms:W3CDTF">2025-01-16T14:13:00Z</dcterms:modified>
</cp:coreProperties>
</file>