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FFC9" w14:textId="77777777" w:rsidR="00632595" w:rsidRPr="00BC2BFF" w:rsidRDefault="001051F5" w:rsidP="005C1753">
      <w:pPr>
        <w:jc w:val="center"/>
      </w:pPr>
      <w:r w:rsidRPr="001957D5">
        <w:rPr>
          <w:rFonts w:cstheme="minorHAnsi"/>
          <w:b/>
          <w:noProof/>
          <w:color w:val="999999"/>
          <w:sz w:val="24"/>
          <w:szCs w:val="24"/>
          <w:lang w:eastAsia="fr-FR"/>
        </w:rPr>
        <w:drawing>
          <wp:anchor distT="0" distB="0" distL="114300" distR="114300" simplePos="0" relativeHeight="251659264" behindDoc="0" locked="0" layoutInCell="1" allowOverlap="1" wp14:anchorId="387D5182" wp14:editId="702341EF">
            <wp:simplePos x="0" y="0"/>
            <wp:positionH relativeFrom="margin">
              <wp:align>center</wp:align>
            </wp:positionH>
            <wp:positionV relativeFrom="paragraph">
              <wp:posOffset>218440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77777777" w:rsidR="00B3398C" w:rsidRPr="00BC2BFF" w:rsidRDefault="00B3398C"/>
    <w:p w14:paraId="27EB898A" w14:textId="77777777" w:rsidR="00B3398C" w:rsidRPr="00BC2BFF" w:rsidRDefault="00B3398C" w:rsidP="00B1466D">
      <w:pPr>
        <w:rPr>
          <w:rFonts w:cs="Arial"/>
          <w:sz w:val="36"/>
          <w:szCs w:val="36"/>
        </w:rPr>
      </w:pPr>
    </w:p>
    <w:p w14:paraId="12082902" w14:textId="77777777" w:rsidR="00042D7D" w:rsidRPr="00D27E8D" w:rsidRDefault="00042D7D" w:rsidP="00B1466D">
      <w:pPr>
        <w:rPr>
          <w:rFonts w:cs="Arial"/>
          <w:sz w:val="24"/>
          <w:szCs w:val="24"/>
        </w:rPr>
      </w:pPr>
    </w:p>
    <w:p w14:paraId="5E19FC34" w14:textId="77777777" w:rsidR="00D27E8D" w:rsidRPr="00D27E8D" w:rsidRDefault="00D27E8D" w:rsidP="00D27E8D">
      <w:pPr>
        <w:jc w:val="center"/>
        <w:rPr>
          <w:sz w:val="24"/>
          <w:szCs w:val="24"/>
        </w:rPr>
      </w:pPr>
      <w:r w:rsidRPr="00D27E8D">
        <w:rPr>
          <w:sz w:val="24"/>
          <w:szCs w:val="24"/>
        </w:rPr>
        <w:t xml:space="preserve">Pouvoir Adjudicateur : </w:t>
      </w:r>
    </w:p>
    <w:p w14:paraId="7212A06E" w14:textId="77777777" w:rsidR="00D27E8D" w:rsidRPr="00F83BD0" w:rsidRDefault="00D27E8D" w:rsidP="00D27E8D">
      <w:pPr>
        <w:spacing w:after="0"/>
        <w:jc w:val="center"/>
        <w:rPr>
          <w:rFonts w:eastAsia="Arial Narrow" w:cs="Arial Narrow"/>
          <w:sz w:val="24"/>
          <w:szCs w:val="24"/>
        </w:rPr>
      </w:pPr>
      <w:r w:rsidRPr="00F83BD0">
        <w:rPr>
          <w:rFonts w:eastAsia="Arial Narrow" w:cs="Arial Narrow"/>
          <w:sz w:val="24"/>
          <w:szCs w:val="24"/>
        </w:rPr>
        <w:t xml:space="preserve">Centre Ile-de-France - Jouy-en-Josas – Antony </w:t>
      </w:r>
    </w:p>
    <w:p w14:paraId="4FA1926C" w14:textId="77777777" w:rsidR="00D27E8D" w:rsidRPr="00F83BD0" w:rsidRDefault="00D27E8D" w:rsidP="00D27E8D">
      <w:pPr>
        <w:spacing w:before="0" w:after="0"/>
        <w:jc w:val="center"/>
        <w:rPr>
          <w:rFonts w:eastAsia="Arial Narrow" w:cs="Arial"/>
          <w:bCs/>
          <w:sz w:val="24"/>
          <w:szCs w:val="24"/>
        </w:rPr>
      </w:pPr>
      <w:r w:rsidRPr="00F83BD0">
        <w:rPr>
          <w:rFonts w:eastAsia="Arial Narrow" w:cs="Arial"/>
          <w:bCs/>
          <w:sz w:val="24"/>
          <w:szCs w:val="24"/>
        </w:rPr>
        <w:t xml:space="preserve">Domaine de </w:t>
      </w:r>
      <w:proofErr w:type="spellStart"/>
      <w:r w:rsidRPr="00F83BD0">
        <w:rPr>
          <w:rFonts w:eastAsia="Arial Narrow" w:cs="Arial"/>
          <w:bCs/>
          <w:sz w:val="24"/>
          <w:szCs w:val="24"/>
        </w:rPr>
        <w:t>Vilvert</w:t>
      </w:r>
      <w:proofErr w:type="spellEnd"/>
    </w:p>
    <w:p w14:paraId="047B19D2" w14:textId="77777777" w:rsidR="00D27E8D" w:rsidRPr="00F83BD0" w:rsidRDefault="00D27E8D" w:rsidP="00D27E8D">
      <w:pPr>
        <w:spacing w:before="0" w:after="0"/>
        <w:jc w:val="center"/>
        <w:rPr>
          <w:sz w:val="24"/>
          <w:szCs w:val="24"/>
        </w:rPr>
      </w:pPr>
      <w:r w:rsidRPr="00F83BD0">
        <w:rPr>
          <w:rFonts w:eastAsia="Arial Narrow" w:cs="Arial"/>
          <w:bCs/>
          <w:sz w:val="24"/>
          <w:szCs w:val="24"/>
        </w:rPr>
        <w:t>78352 JOUY-EN-JOSAS Cedex</w:t>
      </w:r>
    </w:p>
    <w:p w14:paraId="55E748EB" w14:textId="0A00A2F2" w:rsidR="00D27E8D" w:rsidRPr="00F83BD0" w:rsidRDefault="00D27E8D" w:rsidP="00D27E8D">
      <w:pPr>
        <w:jc w:val="center"/>
        <w:rPr>
          <w:sz w:val="24"/>
          <w:szCs w:val="24"/>
        </w:rPr>
      </w:pPr>
      <w:r w:rsidRPr="00F83BD0">
        <w:rPr>
          <w:sz w:val="24"/>
          <w:szCs w:val="24"/>
        </w:rPr>
        <w:t xml:space="preserve">Unité </w:t>
      </w:r>
      <w:r w:rsidR="001E35C4" w:rsidRPr="00F83BD0">
        <w:rPr>
          <w:sz w:val="24"/>
          <w:szCs w:val="24"/>
        </w:rPr>
        <w:t>PROSE</w:t>
      </w:r>
    </w:p>
    <w:p w14:paraId="24E5535D" w14:textId="678011B8" w:rsidR="00D27E8D" w:rsidRPr="00F83BD0" w:rsidRDefault="00D27E8D" w:rsidP="00D27E8D">
      <w:pPr>
        <w:jc w:val="center"/>
        <w:rPr>
          <w:sz w:val="24"/>
          <w:szCs w:val="24"/>
        </w:rPr>
      </w:pPr>
      <w:r w:rsidRPr="00F83BD0">
        <w:rPr>
          <w:sz w:val="24"/>
          <w:szCs w:val="24"/>
        </w:rPr>
        <w:t>Adresse :</w:t>
      </w:r>
      <w:r w:rsidR="001E35C4" w:rsidRPr="00F83BD0">
        <w:rPr>
          <w:sz w:val="24"/>
          <w:szCs w:val="24"/>
        </w:rPr>
        <w:t xml:space="preserve"> 1 rue Pierre-Gilles de Gennes, 92160 Antony</w:t>
      </w:r>
    </w:p>
    <w:p w14:paraId="0CBBD128" w14:textId="77777777" w:rsidR="00042D7D" w:rsidRPr="00BC2BFF" w:rsidRDefault="00042D7D" w:rsidP="00B1466D">
      <w:pPr>
        <w:rPr>
          <w:rFonts w:cs="Arial"/>
          <w:sz w:val="36"/>
          <w:szCs w:val="36"/>
        </w:rPr>
      </w:pPr>
    </w:p>
    <w:p w14:paraId="1C53B21E" w14:textId="77777777" w:rsidR="00042D7D" w:rsidRPr="00BC2BFF" w:rsidRDefault="00042D7D" w:rsidP="00B1466D">
      <w:pPr>
        <w:rPr>
          <w:rFonts w:cs="Arial"/>
          <w:sz w:val="36"/>
          <w:szCs w:val="36"/>
        </w:rPr>
      </w:pPr>
    </w:p>
    <w:p w14:paraId="51E4E06B" w14:textId="77777777" w:rsidR="00B3398C" w:rsidRPr="00BC2BFF" w:rsidRDefault="00B3398C" w:rsidP="003C2E90">
      <w:pPr>
        <w:pBdr>
          <w:top w:val="single" w:sz="18" w:space="0" w:color="auto"/>
          <w:left w:val="single" w:sz="18" w:space="4" w:color="auto"/>
          <w:bottom w:val="single" w:sz="18" w:space="1" w:color="auto"/>
          <w:right w:val="single" w:sz="18" w:space="4" w:color="auto"/>
        </w:pBdr>
        <w:jc w:val="center"/>
        <w:rPr>
          <w:rFonts w:cs="Arial"/>
          <w:sz w:val="36"/>
          <w:szCs w:val="36"/>
        </w:rPr>
      </w:pPr>
    </w:p>
    <w:p w14:paraId="54825990" w14:textId="185CDF42" w:rsidR="003F4F96" w:rsidRDefault="003F4F96" w:rsidP="003C2E90">
      <w:pPr>
        <w:pBdr>
          <w:top w:val="single" w:sz="18" w:space="0" w:color="auto"/>
          <w:left w:val="single" w:sz="18" w:space="4" w:color="auto"/>
          <w:bottom w:val="single" w:sz="18" w:space="1" w:color="auto"/>
          <w:right w:val="single" w:sz="18" w:space="4" w:color="auto"/>
        </w:pBdr>
        <w:jc w:val="center"/>
        <w:rPr>
          <w:rFonts w:cs="Arial"/>
          <w:b/>
          <w:sz w:val="36"/>
          <w:szCs w:val="36"/>
        </w:rPr>
      </w:pPr>
      <w:r>
        <w:rPr>
          <w:rFonts w:cs="Arial"/>
          <w:b/>
          <w:sz w:val="36"/>
          <w:szCs w:val="36"/>
        </w:rPr>
        <w:t xml:space="preserve">OBJET DU MARCHE : </w:t>
      </w:r>
      <w:r w:rsidR="001E35C4" w:rsidRPr="00F83BD0">
        <w:rPr>
          <w:rFonts w:cs="Arial"/>
          <w:b/>
          <w:sz w:val="36"/>
          <w:szCs w:val="36"/>
        </w:rPr>
        <w:t xml:space="preserve">Acquisition </w:t>
      </w:r>
      <w:r w:rsidR="00E15A9B" w:rsidRPr="00F83BD0">
        <w:rPr>
          <w:rFonts w:cs="Arial"/>
          <w:b/>
          <w:sz w:val="36"/>
          <w:szCs w:val="36"/>
        </w:rPr>
        <w:t xml:space="preserve">d’un appareil </w:t>
      </w:r>
      <w:r w:rsidR="001E35C4" w:rsidRPr="00F83BD0">
        <w:rPr>
          <w:rFonts w:cs="Arial"/>
          <w:b/>
          <w:sz w:val="36"/>
          <w:szCs w:val="36"/>
        </w:rPr>
        <w:t>à tomographie par cohérence optique</w:t>
      </w:r>
    </w:p>
    <w:p w14:paraId="27B2CA59" w14:textId="77777777" w:rsidR="00B3398C" w:rsidRPr="00BC2BFF" w:rsidRDefault="001D73E9" w:rsidP="003C2E90">
      <w:pPr>
        <w:pBdr>
          <w:top w:val="single" w:sz="18" w:space="0" w:color="auto"/>
          <w:left w:val="single" w:sz="18" w:space="4" w:color="auto"/>
          <w:bottom w:val="single" w:sz="18" w:space="1" w:color="auto"/>
          <w:right w:val="single" w:sz="18" w:space="4" w:color="auto"/>
        </w:pBdr>
        <w:jc w:val="center"/>
        <w:rPr>
          <w:rFonts w:cs="Arial"/>
          <w:b/>
          <w:color w:val="C00000"/>
          <w:sz w:val="36"/>
          <w:szCs w:val="36"/>
        </w:rPr>
      </w:pPr>
      <w:r w:rsidRPr="00BC2BFF">
        <w:rPr>
          <w:rFonts w:cs="Arial"/>
          <w:b/>
          <w:sz w:val="36"/>
          <w:szCs w:val="36"/>
        </w:rPr>
        <w:t xml:space="preserve">MARCHÉ </w:t>
      </w:r>
      <w:r w:rsidR="009F0C4E" w:rsidRPr="00BC2BFF">
        <w:rPr>
          <w:rFonts w:cs="Arial"/>
          <w:b/>
          <w:sz w:val="36"/>
          <w:szCs w:val="36"/>
        </w:rPr>
        <w:t>n°</w:t>
      </w:r>
      <w:r w:rsidR="009F0C4E" w:rsidRPr="00BC2BFF">
        <w:rPr>
          <w:rFonts w:cs="Arial"/>
          <w:b/>
          <w:color w:val="C00000"/>
          <w:sz w:val="36"/>
          <w:szCs w:val="36"/>
        </w:rPr>
        <w:t>………………</w:t>
      </w:r>
      <w:proofErr w:type="gramStart"/>
      <w:r w:rsidR="009F0C4E" w:rsidRPr="00BC2BFF">
        <w:rPr>
          <w:rFonts w:cs="Arial"/>
          <w:b/>
          <w:color w:val="C00000"/>
          <w:sz w:val="36"/>
          <w:szCs w:val="36"/>
        </w:rPr>
        <w:t>…….</w:t>
      </w:r>
      <w:proofErr w:type="gramEnd"/>
      <w:r w:rsidR="009F0C4E" w:rsidRPr="00BC2BFF">
        <w:rPr>
          <w:rFonts w:cs="Arial"/>
          <w:b/>
          <w:color w:val="C00000"/>
          <w:sz w:val="36"/>
          <w:szCs w:val="36"/>
        </w:rPr>
        <w:t>.</w:t>
      </w:r>
    </w:p>
    <w:p w14:paraId="1109746D" w14:textId="77777777" w:rsidR="009F0C4E" w:rsidRPr="00BC2BFF" w:rsidRDefault="009F0C4E" w:rsidP="003C2E90">
      <w:pPr>
        <w:pBdr>
          <w:top w:val="single" w:sz="18" w:space="0" w:color="auto"/>
          <w:left w:val="single" w:sz="18" w:space="4" w:color="auto"/>
          <w:bottom w:val="single" w:sz="18" w:space="1" w:color="auto"/>
          <w:right w:val="single" w:sz="18" w:space="4" w:color="auto"/>
        </w:pBdr>
        <w:jc w:val="center"/>
        <w:rPr>
          <w:rFonts w:cs="Arial"/>
          <w:sz w:val="36"/>
          <w:szCs w:val="36"/>
        </w:rPr>
      </w:pPr>
    </w:p>
    <w:p w14:paraId="32C44700" w14:textId="77777777" w:rsidR="00B3398C" w:rsidRPr="00BC2BFF" w:rsidRDefault="00B3398C">
      <w:pPr>
        <w:widowControl w:val="0"/>
        <w:autoSpaceDE w:val="0"/>
        <w:autoSpaceDN w:val="0"/>
        <w:adjustRightInd w:val="0"/>
        <w:spacing w:before="14" w:line="240" w:lineRule="exact"/>
        <w:ind w:left="120"/>
        <w:rPr>
          <w:b/>
          <w:bCs/>
        </w:rPr>
      </w:pPr>
    </w:p>
    <w:p w14:paraId="2EE496D4" w14:textId="77777777" w:rsidR="00B3398C" w:rsidRPr="00BC2BFF" w:rsidRDefault="00B3398C">
      <w:pPr>
        <w:widowControl w:val="0"/>
        <w:autoSpaceDE w:val="0"/>
        <w:autoSpaceDN w:val="0"/>
        <w:adjustRightInd w:val="0"/>
        <w:spacing w:before="14" w:line="240" w:lineRule="exact"/>
        <w:rPr>
          <w:b/>
          <w:bCs/>
        </w:rPr>
      </w:pPr>
    </w:p>
    <w:p w14:paraId="69E2D5E1" w14:textId="77777777" w:rsidR="00B3398C" w:rsidRPr="00BC2BFF" w:rsidRDefault="00707B79" w:rsidP="00707B79">
      <w:pPr>
        <w:widowControl w:val="0"/>
        <w:autoSpaceDE w:val="0"/>
        <w:autoSpaceDN w:val="0"/>
        <w:adjustRightInd w:val="0"/>
        <w:spacing w:before="14" w:line="240" w:lineRule="exact"/>
        <w:jc w:val="center"/>
        <w:rPr>
          <w:b/>
          <w:bCs/>
          <w:sz w:val="28"/>
          <w:szCs w:val="28"/>
        </w:rPr>
      </w:pPr>
      <w:r w:rsidRPr="00BC2BFF">
        <w:rPr>
          <w:b/>
          <w:bCs/>
          <w:sz w:val="28"/>
          <w:szCs w:val="28"/>
        </w:rPr>
        <w:t>Marché à procédure adaptée</w:t>
      </w:r>
    </w:p>
    <w:p w14:paraId="3E341139" w14:textId="77777777" w:rsidR="00642C9F" w:rsidRPr="00BC2BFF" w:rsidRDefault="007F511F" w:rsidP="00642C9F">
      <w:pPr>
        <w:widowControl w:val="0"/>
        <w:autoSpaceDE w:val="0"/>
        <w:autoSpaceDN w:val="0"/>
        <w:adjustRightInd w:val="0"/>
        <w:spacing w:before="14" w:line="240" w:lineRule="exact"/>
        <w:jc w:val="center"/>
        <w:rPr>
          <w:b/>
          <w:bCs/>
          <w:sz w:val="28"/>
          <w:szCs w:val="28"/>
        </w:rPr>
      </w:pPr>
      <w:r w:rsidRPr="00BC2BFF">
        <w:rPr>
          <w:b/>
          <w:bCs/>
          <w:sz w:val="28"/>
          <w:szCs w:val="28"/>
        </w:rPr>
        <w:t xml:space="preserve">Articles </w:t>
      </w:r>
      <w:r w:rsidR="00642C9F" w:rsidRPr="00BC2BFF">
        <w:rPr>
          <w:b/>
          <w:bCs/>
          <w:sz w:val="28"/>
          <w:szCs w:val="28"/>
        </w:rPr>
        <w:t xml:space="preserve">R2123-1 à R2123-8 du </w:t>
      </w:r>
      <w:r w:rsidR="00065251">
        <w:rPr>
          <w:b/>
          <w:bCs/>
          <w:sz w:val="28"/>
          <w:szCs w:val="28"/>
        </w:rPr>
        <w:t>c</w:t>
      </w:r>
      <w:r w:rsidR="00642C9F" w:rsidRPr="00BC2BFF">
        <w:rPr>
          <w:b/>
          <w:bCs/>
          <w:sz w:val="28"/>
          <w:szCs w:val="28"/>
        </w:rPr>
        <w:t xml:space="preserve">ode de la </w:t>
      </w:r>
      <w:r w:rsidR="00065251">
        <w:rPr>
          <w:b/>
          <w:bCs/>
          <w:sz w:val="28"/>
          <w:szCs w:val="28"/>
        </w:rPr>
        <w:t>c</w:t>
      </w:r>
      <w:r w:rsidR="00642C9F" w:rsidRPr="00BC2BFF">
        <w:rPr>
          <w:b/>
          <w:bCs/>
          <w:sz w:val="28"/>
          <w:szCs w:val="28"/>
        </w:rPr>
        <w:t xml:space="preserve">ommande </w:t>
      </w:r>
      <w:r w:rsidR="00065251">
        <w:rPr>
          <w:b/>
          <w:bCs/>
          <w:sz w:val="28"/>
          <w:szCs w:val="28"/>
        </w:rPr>
        <w:t>p</w:t>
      </w:r>
      <w:r w:rsidR="00642C9F" w:rsidRPr="00BC2BFF">
        <w:rPr>
          <w:b/>
          <w:bCs/>
          <w:sz w:val="28"/>
          <w:szCs w:val="28"/>
        </w:rPr>
        <w:t>ublique.</w:t>
      </w:r>
    </w:p>
    <w:p w14:paraId="161DF08A" w14:textId="77777777" w:rsidR="00B3398C" w:rsidRPr="00BC2BFF" w:rsidRDefault="00B3398C" w:rsidP="00042D7D">
      <w:pPr>
        <w:widowControl w:val="0"/>
        <w:autoSpaceDE w:val="0"/>
        <w:autoSpaceDN w:val="0"/>
        <w:adjustRightInd w:val="0"/>
        <w:spacing w:before="14" w:line="240" w:lineRule="exact"/>
        <w:jc w:val="center"/>
        <w:rPr>
          <w:b/>
          <w:bCs/>
          <w:sz w:val="28"/>
          <w:szCs w:val="28"/>
        </w:rPr>
      </w:pPr>
    </w:p>
    <w:p w14:paraId="15A19848" w14:textId="77777777" w:rsidR="00B3398C" w:rsidRPr="00BC2BFF" w:rsidRDefault="00B3398C">
      <w:pPr>
        <w:widowControl w:val="0"/>
        <w:autoSpaceDE w:val="0"/>
        <w:autoSpaceDN w:val="0"/>
        <w:adjustRightInd w:val="0"/>
        <w:spacing w:before="14" w:line="240" w:lineRule="exact"/>
        <w:rPr>
          <w:b/>
          <w:bCs/>
        </w:rPr>
      </w:pPr>
    </w:p>
    <w:p w14:paraId="735BB3D5" w14:textId="5BDA8A57" w:rsidR="00B50E28" w:rsidRDefault="00B50E28">
      <w:pPr>
        <w:spacing w:before="0" w:after="0"/>
        <w:jc w:val="left"/>
      </w:pPr>
      <w:r>
        <w:br w:type="page"/>
      </w:r>
    </w:p>
    <w:p w14:paraId="69FA1A7F" w14:textId="77777777" w:rsidR="00962958" w:rsidRDefault="00962958" w:rsidP="008630D8"/>
    <w:p w14:paraId="7532D5D7" w14:textId="77777777" w:rsidR="00962958" w:rsidRDefault="00962958" w:rsidP="008630D8"/>
    <w:p w14:paraId="3A4292A4" w14:textId="77777777" w:rsidR="00962958" w:rsidRDefault="00962958" w:rsidP="008630D8"/>
    <w:p w14:paraId="1FB6B5F6" w14:textId="77777777" w:rsidR="00D74AB2" w:rsidRDefault="00D74AB2" w:rsidP="008630D8">
      <w:pPr>
        <w:rPr>
          <w:b/>
        </w:rPr>
      </w:pPr>
    </w:p>
    <w:p w14:paraId="27006908" w14:textId="49AD7D8F" w:rsidR="00B3398C" w:rsidRPr="00BC2BFF" w:rsidRDefault="00B3398C" w:rsidP="008630D8">
      <w:pPr>
        <w:rPr>
          <w:b/>
          <w:bCs/>
        </w:rPr>
      </w:pPr>
      <w:r w:rsidRPr="00BC2BFF">
        <w:rPr>
          <w:b/>
        </w:rPr>
        <w:t>Le Titulaire</w:t>
      </w:r>
    </w:p>
    <w:p w14:paraId="55CA2E5F" w14:textId="77777777" w:rsidR="00B3398C" w:rsidRPr="00BC2BFF" w:rsidRDefault="00B3398C" w:rsidP="008630D8">
      <w:r w:rsidRPr="00BC2BFF">
        <w:t xml:space="preserve">Je soussigné (nom, prénoms) : </w:t>
      </w:r>
      <w:r w:rsidR="00260443" w:rsidRPr="00BC2BFF">
        <w:t>………………</w:t>
      </w:r>
      <w:r w:rsidR="00962958">
        <w:t>………………………………………………………………………</w:t>
      </w:r>
      <w:r w:rsidR="00260443" w:rsidRPr="00BC2BFF">
        <w:t>.</w:t>
      </w:r>
    </w:p>
    <w:p w14:paraId="4861E3E1" w14:textId="77777777" w:rsidR="00B3398C" w:rsidRPr="00BC2BFF" w:rsidRDefault="00B3398C" w:rsidP="008630D8">
      <w:r w:rsidRPr="00BC2BFF">
        <w:t xml:space="preserve">Agissant pour le compte de : </w:t>
      </w:r>
      <w:r w:rsidR="00260443" w:rsidRPr="00BC2BFF">
        <w:t>……………………</w:t>
      </w:r>
      <w:r w:rsidR="00962958">
        <w:t>…………………………………………………………………….</w:t>
      </w:r>
    </w:p>
    <w:p w14:paraId="6E7001C2" w14:textId="77777777" w:rsidR="00B3398C" w:rsidRPr="00BC2BFF" w:rsidRDefault="00B3398C" w:rsidP="008630D8">
      <w:r w:rsidRPr="00BC2BFF">
        <w:t xml:space="preserve">Forme juridique : </w:t>
      </w:r>
      <w:r w:rsidR="00260443" w:rsidRPr="00BC2BFF">
        <w:t>…………………………………</w:t>
      </w:r>
      <w:r w:rsidR="00962958">
        <w:t>…………………………………………………………………...</w:t>
      </w:r>
    </w:p>
    <w:p w14:paraId="5A005334" w14:textId="77777777" w:rsidR="00B3398C" w:rsidRPr="00BC2BFF" w:rsidRDefault="00B3398C" w:rsidP="008630D8">
      <w:r w:rsidRPr="00BC2BFF">
        <w:t xml:space="preserve">Capital social : </w:t>
      </w:r>
      <w:r w:rsidR="00260443" w:rsidRPr="00BC2BFF">
        <w:t>……………………………………</w:t>
      </w:r>
      <w:r w:rsidR="00962958">
        <w:t>……………………………………………………………………</w:t>
      </w:r>
    </w:p>
    <w:p w14:paraId="5984E91A" w14:textId="77777777" w:rsidR="00B3398C" w:rsidRPr="00BC2BFF" w:rsidRDefault="00B3398C" w:rsidP="008630D8">
      <w:r w:rsidRPr="00BC2BFF">
        <w:t xml:space="preserve">Adresse du siège social : </w:t>
      </w:r>
      <w:r w:rsidR="00260443" w:rsidRPr="00BC2BFF">
        <w:t>………………………</w:t>
      </w:r>
      <w:r w:rsidR="00962958">
        <w:t>……………………………………………………………………….</w:t>
      </w:r>
    </w:p>
    <w:p w14:paraId="5AEF63E9" w14:textId="77777777" w:rsidR="00B3398C" w:rsidRPr="00BC2BFF" w:rsidRDefault="00B3398C" w:rsidP="008630D8">
      <w:r w:rsidRPr="00BC2BFF">
        <w:t xml:space="preserve">Tél. : </w:t>
      </w:r>
      <w:r w:rsidR="00260443" w:rsidRPr="00BC2BFF">
        <w:t>………………………</w:t>
      </w:r>
      <w:r w:rsidR="00962958">
        <w:t>……………………………………………………………………………………</w:t>
      </w:r>
      <w:proofErr w:type="gramStart"/>
      <w:r w:rsidR="00962958">
        <w:t>…….</w:t>
      </w:r>
      <w:proofErr w:type="gramEnd"/>
      <w:r w:rsidR="00962958">
        <w:t>.</w:t>
      </w:r>
    </w:p>
    <w:p w14:paraId="2CD8B6D7" w14:textId="77777777" w:rsidR="00B3398C" w:rsidRPr="00796DA1" w:rsidRDefault="00B3398C" w:rsidP="008630D8">
      <w:pPr>
        <w:rPr>
          <w:b/>
        </w:rPr>
      </w:pPr>
      <w:r w:rsidRPr="00796DA1">
        <w:rPr>
          <w:b/>
        </w:rPr>
        <w:t>Immatriculation à l’INSEE</w:t>
      </w:r>
    </w:p>
    <w:p w14:paraId="10EB1DBD" w14:textId="77777777" w:rsidR="00B3398C" w:rsidRPr="00BC2BFF" w:rsidRDefault="00B3398C" w:rsidP="008630D8">
      <w:proofErr w:type="gramStart"/>
      <w:r w:rsidRPr="00BC2BFF">
        <w:t>n</w:t>
      </w:r>
      <w:proofErr w:type="gramEnd"/>
      <w:r w:rsidRPr="00BC2BFF">
        <w:t xml:space="preserve">° d’identité d’établissement (SIRET) : </w:t>
      </w:r>
      <w:r w:rsidR="00260443" w:rsidRPr="00BC2BFF">
        <w:t>……………………………………………</w:t>
      </w:r>
      <w:r w:rsidR="00962958">
        <w:t>……………………………………</w:t>
      </w:r>
    </w:p>
    <w:p w14:paraId="26E0A804" w14:textId="77777777" w:rsidR="00B3398C" w:rsidRPr="00BC2BFF" w:rsidRDefault="00B3398C" w:rsidP="008630D8">
      <w:proofErr w:type="gramStart"/>
      <w:r w:rsidRPr="00BC2BFF">
        <w:t>code</w:t>
      </w:r>
      <w:proofErr w:type="gramEnd"/>
      <w:r w:rsidRPr="00BC2BFF">
        <w:t xml:space="preserve"> d’activité économique principale (APE) : </w:t>
      </w:r>
      <w:r w:rsidR="00260443" w:rsidRPr="00BC2BFF">
        <w:t>…………………………………</w:t>
      </w:r>
      <w:r w:rsidR="00962958">
        <w:t>………………………………………</w:t>
      </w:r>
    </w:p>
    <w:p w14:paraId="139A5874" w14:textId="77777777" w:rsidR="00B3398C" w:rsidRPr="00BC2BFF" w:rsidRDefault="00B3398C" w:rsidP="008630D8">
      <w:proofErr w:type="gramStart"/>
      <w:r w:rsidRPr="00BC2BFF">
        <w:t>n</w:t>
      </w:r>
      <w:proofErr w:type="gramEnd"/>
      <w:r w:rsidRPr="00BC2BFF">
        <w:t xml:space="preserve">° d’inscription au registre du commerce de : RCS : </w:t>
      </w:r>
      <w:r w:rsidR="00260443" w:rsidRPr="00BC2BFF">
        <w:t>……………………………</w:t>
      </w:r>
      <w:r w:rsidR="00962958">
        <w:t>………………………………………</w:t>
      </w:r>
    </w:p>
    <w:p w14:paraId="23401A0E" w14:textId="77777777" w:rsidR="00796DA1" w:rsidRDefault="00796DA1" w:rsidP="008630D8"/>
    <w:p w14:paraId="6D34629A" w14:textId="77777777" w:rsidR="00B3398C" w:rsidRPr="00BC2BFF" w:rsidRDefault="00796DA1" w:rsidP="008630D8">
      <w:r>
        <w:t>A</w:t>
      </w:r>
      <w:r w:rsidR="00B3398C" w:rsidRPr="00BC2BFF">
        <w:t>près avoir pris connaissance des dispositions du présent document, des documents qui y sont mentionnés et après avoir satisfait aux obligations fiscales et sociales en vigueur,</w:t>
      </w:r>
    </w:p>
    <w:p w14:paraId="0DB78DC8" w14:textId="77777777" w:rsidR="00B3398C" w:rsidRPr="00BC2BFF" w:rsidRDefault="00796DA1" w:rsidP="008630D8">
      <w:r>
        <w:t>M</w:t>
      </w:r>
      <w:r w:rsidR="00B3398C" w:rsidRPr="00BC2BFF">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t>c</w:t>
      </w:r>
      <w:r w:rsidR="00B3398C" w:rsidRPr="00BC2BFF">
        <w:t xml:space="preserve">ahier des </w:t>
      </w:r>
      <w:r w:rsidR="00065251">
        <w:t>c</w:t>
      </w:r>
      <w:r w:rsidR="00B3398C" w:rsidRPr="00BC2BFF">
        <w:t xml:space="preserve">lauses </w:t>
      </w:r>
      <w:r w:rsidR="00065251">
        <w:t>p</w:t>
      </w:r>
      <w:r w:rsidR="00B3398C" w:rsidRPr="00BC2BFF">
        <w:t>articulières.</w:t>
      </w:r>
    </w:p>
    <w:p w14:paraId="49A264A3" w14:textId="3EF3A036" w:rsidR="00B3398C" w:rsidRPr="00BC2BFF" w:rsidRDefault="00B3398C" w:rsidP="008630D8">
      <w:r w:rsidRPr="00BC2BFF">
        <w:t>L’offre, ainsi présentée ne me lie toutefois que si son acceptation m’est notifiée dans le délai de</w:t>
      </w:r>
      <w:r w:rsidR="00B50E28">
        <w:t xml:space="preserve"> 90 jours</w:t>
      </w:r>
      <w:r w:rsidRPr="00BC2BFF">
        <w:t xml:space="preserve"> à compter de la date </w:t>
      </w:r>
      <w:r w:rsidR="00B152C6" w:rsidRPr="00BC2BFF">
        <w:t>limite de remise des plis</w:t>
      </w:r>
      <w:r w:rsidR="003F539D">
        <w:t xml:space="preserve">. </w:t>
      </w:r>
    </w:p>
    <w:p w14:paraId="75FBA684" w14:textId="77777777" w:rsidR="008630D8" w:rsidRPr="00BC2BFF" w:rsidRDefault="008630D8" w:rsidP="008630D8">
      <w:pPr>
        <w:rPr>
          <w:rFonts w:cs="Arial"/>
          <w:b/>
        </w:rPr>
      </w:pPr>
    </w:p>
    <w:p w14:paraId="523005F8" w14:textId="77777777" w:rsidR="00B3398C" w:rsidRPr="00BC2BFF" w:rsidRDefault="00B3398C" w:rsidP="008630D8">
      <w:pPr>
        <w:rPr>
          <w:rFonts w:cs="Arial"/>
          <w:b/>
        </w:rPr>
      </w:pPr>
      <w:r w:rsidRPr="00BC2BFF">
        <w:rPr>
          <w:rFonts w:cs="Arial"/>
          <w:b/>
        </w:rPr>
        <w:t>Fait à ………………… le ……………</w:t>
      </w:r>
      <w:proofErr w:type="gramStart"/>
      <w:r w:rsidRPr="00BC2BFF">
        <w:rPr>
          <w:rFonts w:cs="Arial"/>
          <w:b/>
        </w:rPr>
        <w:t>…….</w:t>
      </w:r>
      <w:proofErr w:type="gramEnd"/>
      <w:r w:rsidRPr="00BC2BFF">
        <w:rPr>
          <w:rFonts w:cs="Arial"/>
          <w:b/>
        </w:rPr>
        <w:t>.</w:t>
      </w:r>
      <w:r w:rsidRPr="00BC2BFF">
        <w:rPr>
          <w:rStyle w:val="Appelnotedebasdep"/>
          <w:rFonts w:cs="Arial"/>
          <w:b/>
          <w:color w:val="000000"/>
        </w:rPr>
        <w:footnoteReference w:id="1"/>
      </w:r>
    </w:p>
    <w:p w14:paraId="1761EA37" w14:textId="77777777" w:rsidR="00E37210" w:rsidRPr="00BC2BFF" w:rsidRDefault="00E37210" w:rsidP="008630D8">
      <w:r w:rsidRPr="00BC2BFF">
        <w:t>Le titulaire</w:t>
      </w:r>
      <w:r w:rsidRPr="00BC2BFF">
        <w:rPr>
          <w:rStyle w:val="Appelnotedebasdep"/>
          <w:rFonts w:cs="Arial"/>
        </w:rPr>
        <w:footnoteReference w:id="2"/>
      </w:r>
    </w:p>
    <w:p w14:paraId="226301C5" w14:textId="77777777" w:rsidR="00E37210" w:rsidRPr="00BC2BFF" w:rsidRDefault="00962958" w:rsidP="008630D8">
      <w:r>
        <w:sym w:font="Wingdings" w:char="F0A8"/>
      </w:r>
      <w:r>
        <w:t xml:space="preserve"> </w:t>
      </w:r>
      <w:proofErr w:type="gramStart"/>
      <w:r w:rsidR="00E37210" w:rsidRPr="00BC2BFF">
        <w:t>ne</w:t>
      </w:r>
      <w:proofErr w:type="gramEnd"/>
      <w:r w:rsidR="00E37210" w:rsidRPr="00BC2BFF">
        <w:t xml:space="preserve"> refuse pas de percevoir l’avance prévue à l’article </w:t>
      </w:r>
      <w:r w:rsidR="00B51FA9" w:rsidRPr="00BC2BFF">
        <w:t>8</w:t>
      </w:r>
      <w:r w:rsidR="00E37210" w:rsidRPr="00BC2BFF">
        <w:t xml:space="preserve"> du présent document.</w:t>
      </w:r>
    </w:p>
    <w:p w14:paraId="4B47A879" w14:textId="77777777" w:rsidR="00E37210" w:rsidRPr="00BC2BFF" w:rsidRDefault="00962958" w:rsidP="008630D8">
      <w:pPr>
        <w:pBdr>
          <w:bottom w:val="single" w:sz="12" w:space="1" w:color="auto"/>
        </w:pBdr>
      </w:pPr>
      <w:r>
        <w:sym w:font="Wingdings" w:char="F06F"/>
      </w:r>
      <w:r>
        <w:t xml:space="preserve"> </w:t>
      </w:r>
      <w:proofErr w:type="gramStart"/>
      <w:r w:rsidR="00E37210" w:rsidRPr="00BC2BFF">
        <w:t>refuse</w:t>
      </w:r>
      <w:proofErr w:type="gramEnd"/>
      <w:r w:rsidR="00E37210" w:rsidRPr="00BC2BFF">
        <w:t xml:space="preserve"> de percevoir l’avance prévue à l’article </w:t>
      </w:r>
      <w:r w:rsidR="00B51FA9" w:rsidRPr="00BC2BFF">
        <w:t>8</w:t>
      </w:r>
      <w:r w:rsidR="00E37210" w:rsidRPr="00BC2BFF">
        <w:t xml:space="preserve"> du présent document. </w:t>
      </w:r>
    </w:p>
    <w:p w14:paraId="171715DB" w14:textId="7B364950" w:rsidR="008630D8" w:rsidRDefault="008630D8" w:rsidP="008630D8">
      <w:pPr>
        <w:pBdr>
          <w:bottom w:val="single" w:sz="12" w:space="1" w:color="auto"/>
        </w:pBdr>
      </w:pPr>
    </w:p>
    <w:p w14:paraId="6CA78961" w14:textId="724E503C" w:rsidR="009C0B67" w:rsidRDefault="009C0B67" w:rsidP="008630D8">
      <w:pPr>
        <w:pBdr>
          <w:bottom w:val="single" w:sz="12" w:space="1" w:color="auto"/>
        </w:pBdr>
      </w:pPr>
    </w:p>
    <w:p w14:paraId="416913B2" w14:textId="77777777" w:rsidR="009C0B67" w:rsidRPr="00BC2BFF" w:rsidRDefault="009C0B67" w:rsidP="008630D8">
      <w:pPr>
        <w:pBdr>
          <w:bottom w:val="single" w:sz="12" w:space="1" w:color="auto"/>
        </w:pBdr>
      </w:pPr>
    </w:p>
    <w:p w14:paraId="6BAE3B9D" w14:textId="660879CC" w:rsidR="00C21452" w:rsidRPr="00C21452" w:rsidRDefault="00E4467E" w:rsidP="00C21452">
      <w:pPr>
        <w:spacing w:before="0" w:after="0"/>
        <w:rPr>
          <w:rFonts w:ascii="AvenirNext LT Pro LightCn" w:hAnsi="AvenirNext LT Pro LightCn"/>
          <w:b/>
          <w:color w:val="E36C0A" w:themeColor="accent6" w:themeShade="BF"/>
        </w:rPr>
      </w:pPr>
      <w:r w:rsidRPr="00C21452">
        <w:rPr>
          <w:rFonts w:ascii="AvenirNext LT Pro LightCn" w:hAnsi="AvenirNext LT Pro LightCn"/>
          <w:b/>
        </w:rPr>
        <w:t>INRAE</w:t>
      </w:r>
      <w:r w:rsidR="00C21452" w:rsidRPr="00C21452">
        <w:rPr>
          <w:rFonts w:ascii="AvenirNext LT Pro LightCn" w:hAnsi="AvenirNext LT Pro LightCn"/>
          <w:b/>
          <w:color w:val="E36C0A" w:themeColor="accent6" w:themeShade="BF"/>
        </w:rPr>
        <w:t xml:space="preserve"> </w:t>
      </w:r>
      <w:r w:rsidR="00C21452" w:rsidRPr="003F539D">
        <w:rPr>
          <w:rFonts w:ascii="AvenirNext LT Pro LightCn" w:hAnsi="AvenirNext LT Pro LightCn"/>
        </w:rPr>
        <w:t>– Centre</w:t>
      </w:r>
      <w:r w:rsidR="001C3695" w:rsidRPr="003F539D">
        <w:rPr>
          <w:rFonts w:ascii="AvenirNext LT Pro LightCn" w:hAnsi="AvenirNext LT Pro LightCn"/>
        </w:rPr>
        <w:t xml:space="preserve"> Jouy en Josas Antony</w:t>
      </w:r>
    </w:p>
    <w:p w14:paraId="1631D3B3" w14:textId="44FBEC8D" w:rsidR="00DA08FD" w:rsidRPr="003F539D" w:rsidRDefault="00DA08FD" w:rsidP="00C21452">
      <w:pPr>
        <w:spacing w:before="0" w:after="0"/>
        <w:rPr>
          <w:rFonts w:ascii="AvenirNext LT Pro LightCn" w:hAnsi="AvenirNext LT Pro LightCn"/>
        </w:rPr>
      </w:pPr>
      <w:r w:rsidRPr="003F539D">
        <w:rPr>
          <w:rFonts w:ascii="AvenirNext LT Pro LightCn" w:hAnsi="AvenirNext LT Pro LightCn"/>
        </w:rPr>
        <w:t xml:space="preserve">Unité </w:t>
      </w:r>
      <w:r w:rsidR="001C3695" w:rsidRPr="003F539D">
        <w:rPr>
          <w:rFonts w:ascii="AvenirNext LT Pro LightCn" w:hAnsi="AvenirNext LT Pro LightCn"/>
        </w:rPr>
        <w:t>PROSE</w:t>
      </w:r>
    </w:p>
    <w:p w14:paraId="10932F9B" w14:textId="77777777" w:rsidR="00B3398C" w:rsidRPr="00C21452" w:rsidRDefault="00B3398C" w:rsidP="00C21452">
      <w:pPr>
        <w:spacing w:before="0" w:after="0"/>
        <w:rPr>
          <w:rFonts w:ascii="AvenirNext LT Pro LightCn" w:hAnsi="AvenirNext LT Pro LightCn"/>
        </w:rPr>
      </w:pPr>
      <w:r w:rsidRPr="00C21452">
        <w:rPr>
          <w:rFonts w:ascii="AvenirNext LT Pro LightCn" w:hAnsi="AvenirNext LT Pro LightCn"/>
        </w:rPr>
        <w:t xml:space="preserve">Est acceptée la présente offre </w:t>
      </w:r>
      <w:r w:rsidR="00911DB8" w:rsidRPr="00C21452">
        <w:rPr>
          <w:rFonts w:ascii="AvenirNext LT Pro LightCn" w:hAnsi="AvenirNext LT Pro LightCn"/>
        </w:rPr>
        <w:t>pour valoir Acte d’Engagement.</w:t>
      </w:r>
    </w:p>
    <w:p w14:paraId="7995FBE9" w14:textId="244EA2F1" w:rsidR="00B3398C" w:rsidRPr="00C21452" w:rsidRDefault="00B3398C" w:rsidP="00C21452">
      <w:pPr>
        <w:spacing w:before="0" w:after="0"/>
        <w:rPr>
          <w:rFonts w:ascii="AvenirNext LT Pro LightCn" w:hAnsi="AvenirNext LT Pro LightCn"/>
        </w:rPr>
      </w:pPr>
      <w:r w:rsidRPr="00C21452">
        <w:rPr>
          <w:rFonts w:ascii="AvenirNext LT Pro LightCn" w:hAnsi="AvenirNext LT Pro LightCn"/>
        </w:rPr>
        <w:t>L</w:t>
      </w:r>
      <w:r w:rsidR="00F84DE2" w:rsidRPr="00C21452">
        <w:rPr>
          <w:rFonts w:ascii="AvenirNext LT Pro LightCn" w:hAnsi="AvenirNext LT Pro LightCn"/>
        </w:rPr>
        <w:t>e</w:t>
      </w:r>
      <w:r w:rsidR="00DA08FD" w:rsidRPr="00C21452">
        <w:rPr>
          <w:rFonts w:ascii="AvenirNext LT Pro LightCn" w:hAnsi="AvenirNext LT Pro LightCn"/>
        </w:rPr>
        <w:t xml:space="preserve"> </w:t>
      </w:r>
      <w:r w:rsidR="001B75C4" w:rsidRPr="00C21452">
        <w:rPr>
          <w:rFonts w:ascii="AvenirNext LT Pro LightCn" w:hAnsi="AvenirNext LT Pro LightCn"/>
        </w:rPr>
        <w:t>Représentant</w:t>
      </w:r>
      <w:r w:rsidR="003F539D">
        <w:rPr>
          <w:rFonts w:ascii="AvenirNext LT Pro LightCn" w:hAnsi="AvenirNext LT Pro LightCn"/>
          <w:color w:val="F79646" w:themeColor="accent6"/>
        </w:rPr>
        <w:t xml:space="preserve"> </w:t>
      </w:r>
      <w:r w:rsidR="001B75C4" w:rsidRPr="00C21452">
        <w:rPr>
          <w:rFonts w:ascii="AvenirNext LT Pro LightCn" w:hAnsi="AvenirNext LT Pro LightCn"/>
        </w:rPr>
        <w:t>du Pouvoir Adjudicateur</w:t>
      </w:r>
    </w:p>
    <w:p w14:paraId="0E45ACE0" w14:textId="2A7993D0" w:rsidR="00796DA1" w:rsidRPr="003F539D" w:rsidRDefault="00C21452" w:rsidP="003F539D">
      <w:pPr>
        <w:pStyle w:val="TM2"/>
        <w:spacing w:before="0" w:after="0"/>
        <w:rPr>
          <w:rFonts w:ascii="AvenirNext LT Pro LightCn" w:hAnsi="AvenirNext LT Pro LightCn"/>
          <w:color w:val="F79646" w:themeColor="accent6"/>
        </w:rPr>
      </w:pPr>
      <w:r w:rsidRPr="00C21452">
        <w:rPr>
          <w:rFonts w:ascii="AvenirNext LT Pro LightCn" w:hAnsi="AvenirNext LT Pro LightCn"/>
        </w:rPr>
        <w:t>Le Directeur</w:t>
      </w:r>
      <w:r w:rsidR="003F539D">
        <w:rPr>
          <w:rFonts w:ascii="AvenirNext LT Pro LightCn" w:hAnsi="AvenirNext LT Pro LightCn"/>
          <w:color w:val="F79646" w:themeColor="accent6"/>
        </w:rPr>
        <w:t xml:space="preserve"> </w:t>
      </w:r>
      <w:r w:rsidRPr="00C21452">
        <w:rPr>
          <w:rFonts w:ascii="AvenirNext LT Pro LightCn" w:hAnsi="AvenirNext LT Pro LightCn" w:cstheme="minorBidi"/>
        </w:rPr>
        <w:t>d’Unité</w:t>
      </w:r>
      <w:r w:rsidR="003F539D">
        <w:rPr>
          <w:rFonts w:ascii="AvenirNext LT Pro LightCn" w:hAnsi="AvenirNext LT Pro LightCn" w:cstheme="minorBidi"/>
        </w:rPr>
        <w:t xml:space="preserve">, </w:t>
      </w:r>
      <w:r w:rsidR="003F539D" w:rsidRPr="003F539D">
        <w:rPr>
          <w:rFonts w:ascii="AvenirNext LT Pro LightCn" w:hAnsi="AvenirNext LT Pro LightCn" w:cstheme="minorBidi"/>
        </w:rPr>
        <w:t xml:space="preserve">Théodore Bouchez </w:t>
      </w:r>
    </w:p>
    <w:p w14:paraId="2205CA38" w14:textId="1D3E8313" w:rsidR="00796DA1" w:rsidRDefault="00796DA1" w:rsidP="00A92860">
      <w:pPr>
        <w:pStyle w:val="TM2"/>
        <w:rPr>
          <w:rFonts w:ascii="AvenirNext LT Pro Cn" w:hAnsi="AvenirNext LT Pro Cn"/>
        </w:rPr>
      </w:pPr>
    </w:p>
    <w:p w14:paraId="4A29E4B8" w14:textId="1FF4C6A5" w:rsidR="003F539D" w:rsidRDefault="003F539D" w:rsidP="003F539D"/>
    <w:p w14:paraId="0C7571D3" w14:textId="109C62E1" w:rsidR="009C0B67" w:rsidRDefault="009C0B67" w:rsidP="003F539D"/>
    <w:p w14:paraId="5A8A0031" w14:textId="77777777" w:rsidR="009C0B67" w:rsidRPr="003F539D" w:rsidRDefault="009C0B67" w:rsidP="003F539D"/>
    <w:p w14:paraId="532B8CB3" w14:textId="71AB76BE" w:rsidR="00796DA1" w:rsidRDefault="00796DA1" w:rsidP="00A92860">
      <w:pPr>
        <w:pStyle w:val="TM2"/>
        <w:rPr>
          <w:rFonts w:ascii="AvenirNext LT Pro Cn" w:hAnsi="AvenirNext LT Pro Cn"/>
        </w:rPr>
      </w:pPr>
      <w:r>
        <w:rPr>
          <w:rFonts w:ascii="AvenirNext LT Pro Cn" w:hAnsi="AvenirNext LT Pro Cn"/>
        </w:rPr>
        <w:t>SOMMAIRE</w:t>
      </w:r>
    </w:p>
    <w:p w14:paraId="57A657D4" w14:textId="09161433" w:rsidR="00755C79" w:rsidRPr="00755C79" w:rsidRDefault="00B3398C">
      <w:pPr>
        <w:pStyle w:val="TM1"/>
        <w:tabs>
          <w:tab w:val="left" w:pos="480"/>
          <w:tab w:val="right" w:leader="dot" w:pos="9054"/>
        </w:tabs>
        <w:rPr>
          <w:rFonts w:ascii="AvenirNext LT Pro LightCn" w:eastAsiaTheme="minorEastAsia" w:hAnsi="AvenirNext LT Pro LightCn"/>
          <w:noProof/>
          <w:sz w:val="20"/>
          <w:szCs w:val="20"/>
          <w:lang w:eastAsia="fr-FR"/>
        </w:rPr>
      </w:pPr>
      <w:r w:rsidRPr="00755C79">
        <w:rPr>
          <w:rFonts w:ascii="AvenirNext LT Pro LightCn" w:hAnsi="AvenirNext LT Pro LightCn"/>
          <w:sz w:val="20"/>
          <w:szCs w:val="20"/>
        </w:rPr>
        <w:fldChar w:fldCharType="begin"/>
      </w:r>
      <w:r w:rsidRPr="00755C79">
        <w:rPr>
          <w:rFonts w:ascii="AvenirNext LT Pro LightCn" w:hAnsi="AvenirNext LT Pro LightCn"/>
          <w:sz w:val="20"/>
          <w:szCs w:val="20"/>
        </w:rPr>
        <w:instrText xml:space="preserve"> TOC \o "1-3" \h \z \u </w:instrText>
      </w:r>
      <w:r w:rsidRPr="00755C79">
        <w:rPr>
          <w:rFonts w:ascii="AvenirNext LT Pro LightCn" w:hAnsi="AvenirNext LT Pro LightCn"/>
          <w:sz w:val="20"/>
          <w:szCs w:val="20"/>
        </w:rPr>
        <w:fldChar w:fldCharType="separate"/>
      </w:r>
      <w:hyperlink w:anchor="_Toc135996137" w:history="1">
        <w:r w:rsidR="00755C79" w:rsidRPr="00755C79">
          <w:rPr>
            <w:rStyle w:val="Lienhypertexte"/>
            <w:rFonts w:ascii="AvenirNext LT Pro LightCn" w:hAnsi="AvenirNext LT Pro LightCn"/>
            <w:b/>
            <w:i/>
            <w:iCs/>
            <w:noProof/>
            <w:sz w:val="20"/>
            <w:szCs w:val="20"/>
          </w:rPr>
          <w:t>1.</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OBJET ET FORME DU MARCHE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_Toc135996137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23843F8D" w14:textId="4F30B6D5"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38" w:history="1">
        <w:r w:rsidR="00755C79" w:rsidRPr="00755C79">
          <w:rPr>
            <w:rStyle w:val="Lienhypertexte"/>
            <w:rFonts w:ascii="AvenirNext LT Pro LightCn" w:hAnsi="AvenirNext LT Pro LightCn"/>
            <w:noProof/>
            <w:sz w:val="20"/>
            <w:szCs w:val="20"/>
          </w:rPr>
          <w:t>1.1 - Objet du marché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_Toc135996138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2386CE67" w14:textId="0FCA3F2C"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39" w:history="1">
        <w:r w:rsidR="00755C79" w:rsidRPr="00755C79">
          <w:rPr>
            <w:rStyle w:val="Lienhypertexte"/>
            <w:rFonts w:ascii="AvenirNext LT Pro LightCn" w:hAnsi="AvenirNext LT Pro LightCn"/>
            <w:noProof/>
            <w:sz w:val="20"/>
            <w:szCs w:val="20"/>
          </w:rPr>
          <w:t>1.2. – Décomposition en lots/Tranches/Options/Prestations Supplémentaires Eventuelles/Variantes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_Toc135996139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05A91884" w14:textId="065A6D7D"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40" w:history="1">
        <w:r w:rsidR="00755C79" w:rsidRPr="00755C79">
          <w:rPr>
            <w:rStyle w:val="Lienhypertexte"/>
            <w:rFonts w:ascii="AvenirNext LT Pro LightCn" w:hAnsi="AvenirNext LT Pro LightCn"/>
            <w:i/>
            <w:iCs/>
            <w:noProof/>
            <w:sz w:val="20"/>
            <w:szCs w:val="20"/>
          </w:rPr>
          <w:t>Article 1.2.1 – Décomposition en lots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_Toc135996140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7B2E9788" w14:textId="35184219"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42" w:history="1">
        <w:r w:rsidR="00755C79" w:rsidRPr="00755C79">
          <w:rPr>
            <w:rStyle w:val="Lienhypertexte"/>
            <w:rFonts w:ascii="AvenirNext LT Pro LightCn" w:hAnsi="AvenirNext LT Pro LightCn"/>
            <w:i/>
            <w:iCs/>
            <w:noProof/>
            <w:sz w:val="20"/>
            <w:szCs w:val="20"/>
          </w:rPr>
          <w:t>Article 1.2.2 – Décomposition en tranches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_Toc135996142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2FAEAA86" w14:textId="3EBDEBB3"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44" w:history="1">
        <w:r w:rsidR="00755C79" w:rsidRPr="00755C79">
          <w:rPr>
            <w:rStyle w:val="Lienhypertexte"/>
            <w:rFonts w:ascii="AvenirNext LT Pro LightCn" w:hAnsi="AvenirNext LT Pro LightCn"/>
            <w:i/>
            <w:iCs/>
            <w:noProof/>
            <w:sz w:val="20"/>
            <w:szCs w:val="20"/>
          </w:rPr>
          <w:t>Article 1.2.3 – Options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_Toc135996144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5AD09744" w14:textId="2871AFB4"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45" w:history="1">
        <w:r w:rsidR="00755C79" w:rsidRPr="00755C79">
          <w:rPr>
            <w:rStyle w:val="Lienhypertexte"/>
            <w:rFonts w:ascii="AvenirNext LT Pro LightCn" w:hAnsi="AvenirNext LT Pro LightCn"/>
            <w:i/>
            <w:iCs/>
            <w:noProof/>
            <w:sz w:val="20"/>
            <w:szCs w:val="20"/>
          </w:rPr>
          <w:t>Article 1.2.4 – Prestations Supplémentaires Eventuelles (PSE)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_Toc135996145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578AF125" w14:textId="21C4FD93"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47" w:history="1">
        <w:r w:rsidR="00755C79" w:rsidRPr="00755C79">
          <w:rPr>
            <w:rStyle w:val="Lienhypertexte"/>
            <w:rFonts w:ascii="AvenirNext LT Pro LightCn" w:hAnsi="AvenirNext LT Pro LightCn"/>
            <w:i/>
            <w:iCs/>
            <w:noProof/>
            <w:sz w:val="20"/>
            <w:szCs w:val="20"/>
          </w:rPr>
          <w:t>Article 1.2.5 - Variantes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_Toc135996147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4D1E6AEE" w14:textId="55ECA89D"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49" w:history="1">
        <w:r w:rsidR="00755C79" w:rsidRPr="00755C79">
          <w:rPr>
            <w:rStyle w:val="Lienhypertexte"/>
            <w:rFonts w:ascii="AvenirNext LT Pro LightCn" w:hAnsi="AvenirNext LT Pro LightCn"/>
            <w:noProof/>
            <w:sz w:val="20"/>
            <w:szCs w:val="20"/>
          </w:rPr>
          <w:t>1.3. – Forme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_Toc135996149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22F8F8AA" w14:textId="65C4DC4D"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50" w:history="1">
        <w:r w:rsidR="00755C79" w:rsidRPr="00755C79">
          <w:rPr>
            <w:rStyle w:val="Lienhypertexte"/>
            <w:rFonts w:ascii="AvenirNext LT Pro LightCn" w:hAnsi="AvenirNext LT Pro LightCn"/>
            <w:noProof/>
            <w:sz w:val="20"/>
            <w:szCs w:val="20"/>
          </w:rPr>
          <w:t>1.4. – Modifications du marché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5</w:t>
        </w:r>
        <w:r w:rsidR="00755C79" w:rsidRPr="00755C79">
          <w:rPr>
            <w:rFonts w:ascii="AvenirNext LT Pro LightCn" w:hAnsi="AvenirNext LT Pro LightCn"/>
            <w:noProof/>
            <w:webHidden/>
            <w:sz w:val="20"/>
            <w:szCs w:val="20"/>
          </w:rPr>
          <w:fldChar w:fldCharType="end"/>
        </w:r>
      </w:hyperlink>
    </w:p>
    <w:p w14:paraId="4468612F" w14:textId="77FAFF16"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51" w:history="1">
        <w:r w:rsidR="00755C79" w:rsidRPr="00755C79">
          <w:rPr>
            <w:rStyle w:val="Lienhypertexte"/>
            <w:rFonts w:ascii="AvenirNext LT Pro LightCn" w:hAnsi="AvenirNext LT Pro LightCn"/>
            <w:b/>
            <w:i/>
            <w:iCs/>
            <w:noProof/>
            <w:sz w:val="20"/>
            <w:szCs w:val="20"/>
          </w:rPr>
          <w:t>2.</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PIÈCES CONTRACTUELLES DU MARCHÉ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_Toc135996151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6</w:t>
        </w:r>
        <w:r w:rsidR="00755C79" w:rsidRPr="00755C79">
          <w:rPr>
            <w:rFonts w:ascii="AvenirNext LT Pro LightCn" w:hAnsi="AvenirNext LT Pro LightCn"/>
            <w:noProof/>
            <w:webHidden/>
            <w:sz w:val="20"/>
            <w:szCs w:val="20"/>
          </w:rPr>
          <w:fldChar w:fldCharType="end"/>
        </w:r>
      </w:hyperlink>
    </w:p>
    <w:p w14:paraId="7365103A" w14:textId="1F9457CB"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52" w:history="1">
        <w:r w:rsidR="00755C79" w:rsidRPr="00755C79">
          <w:rPr>
            <w:rStyle w:val="Lienhypertexte"/>
            <w:rFonts w:ascii="AvenirNext LT Pro LightCn" w:hAnsi="AvenirNext LT Pro LightCn"/>
            <w:noProof/>
            <w:sz w:val="20"/>
            <w:szCs w:val="20"/>
          </w:rPr>
          <w:t>2.1 – Pièces particulières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6</w:t>
        </w:r>
        <w:r w:rsidR="00755C79" w:rsidRPr="00755C79">
          <w:rPr>
            <w:rFonts w:ascii="AvenirNext LT Pro LightCn" w:hAnsi="AvenirNext LT Pro LightCn"/>
            <w:noProof/>
            <w:webHidden/>
            <w:sz w:val="20"/>
            <w:szCs w:val="20"/>
          </w:rPr>
          <w:fldChar w:fldCharType="end"/>
        </w:r>
      </w:hyperlink>
    </w:p>
    <w:p w14:paraId="072C7E34" w14:textId="18AB32C7"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53" w:history="1">
        <w:r w:rsidR="00755C79" w:rsidRPr="00755C79">
          <w:rPr>
            <w:rStyle w:val="Lienhypertexte"/>
            <w:rFonts w:ascii="AvenirNext LT Pro LightCn" w:hAnsi="AvenirNext LT Pro LightCn"/>
            <w:noProof/>
            <w:sz w:val="20"/>
            <w:szCs w:val="20"/>
          </w:rPr>
          <w:t>2.2 – Pièces générales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_Toc135996153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6</w:t>
        </w:r>
        <w:r w:rsidR="00755C79" w:rsidRPr="00755C79">
          <w:rPr>
            <w:rFonts w:ascii="AvenirNext LT Pro LightCn" w:hAnsi="AvenirNext LT Pro LightCn"/>
            <w:noProof/>
            <w:webHidden/>
            <w:sz w:val="20"/>
            <w:szCs w:val="20"/>
          </w:rPr>
          <w:fldChar w:fldCharType="end"/>
        </w:r>
      </w:hyperlink>
    </w:p>
    <w:p w14:paraId="50F2518E" w14:textId="5D5DBFD1"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54" w:history="1">
        <w:r w:rsidR="00755C79" w:rsidRPr="00755C79">
          <w:rPr>
            <w:rStyle w:val="Lienhypertexte"/>
            <w:rFonts w:ascii="AvenirNext LT Pro LightCn" w:hAnsi="AvenirNext LT Pro LightCn"/>
            <w:b/>
            <w:i/>
            <w:iCs/>
            <w:noProof/>
            <w:sz w:val="20"/>
            <w:szCs w:val="20"/>
          </w:rPr>
          <w:t>3.</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CONTENU DES PRESTATIONS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_Toc135996154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6</w:t>
        </w:r>
        <w:r w:rsidR="00755C79" w:rsidRPr="00755C79">
          <w:rPr>
            <w:rFonts w:ascii="AvenirNext LT Pro LightCn" w:hAnsi="AvenirNext LT Pro LightCn"/>
            <w:noProof/>
            <w:webHidden/>
            <w:sz w:val="20"/>
            <w:szCs w:val="20"/>
          </w:rPr>
          <w:fldChar w:fldCharType="end"/>
        </w:r>
      </w:hyperlink>
    </w:p>
    <w:p w14:paraId="7B2F850E" w14:textId="129114B3"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55" w:history="1">
        <w:r w:rsidR="00755C79" w:rsidRPr="00755C79">
          <w:rPr>
            <w:rStyle w:val="Lienhypertexte"/>
            <w:rFonts w:ascii="AvenirNext LT Pro LightCn" w:hAnsi="AvenirNext LT Pro LightCn"/>
            <w:b/>
            <w:noProof/>
            <w:sz w:val="20"/>
            <w:szCs w:val="20"/>
          </w:rPr>
          <w:t>3.1.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Performances techniques - Normes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_Toc135996155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6</w:t>
        </w:r>
        <w:r w:rsidR="00755C79" w:rsidRPr="00755C79">
          <w:rPr>
            <w:rFonts w:ascii="AvenirNext LT Pro LightCn" w:hAnsi="AvenirNext LT Pro LightCn"/>
            <w:noProof/>
            <w:webHidden/>
            <w:sz w:val="20"/>
            <w:szCs w:val="20"/>
          </w:rPr>
          <w:fldChar w:fldCharType="end"/>
        </w:r>
      </w:hyperlink>
    </w:p>
    <w:p w14:paraId="69106D6F" w14:textId="73D873D7"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56" w:history="1">
        <w:r w:rsidR="00755C79" w:rsidRPr="00755C79">
          <w:rPr>
            <w:rStyle w:val="Lienhypertexte"/>
            <w:rFonts w:ascii="AvenirNext LT Pro LightCn" w:hAnsi="AvenirNext LT Pro LightCn"/>
            <w:b/>
            <w:noProof/>
            <w:sz w:val="20"/>
            <w:szCs w:val="20"/>
          </w:rPr>
          <w:t>3.2.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Spécifications techniques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_Toc135996156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6</w:t>
        </w:r>
        <w:r w:rsidR="00755C79" w:rsidRPr="00755C79">
          <w:rPr>
            <w:rFonts w:ascii="AvenirNext LT Pro LightCn" w:hAnsi="AvenirNext LT Pro LightCn"/>
            <w:noProof/>
            <w:webHidden/>
            <w:sz w:val="20"/>
            <w:szCs w:val="20"/>
          </w:rPr>
          <w:fldChar w:fldCharType="end"/>
        </w:r>
      </w:hyperlink>
    </w:p>
    <w:p w14:paraId="36432533" w14:textId="3E8A18A3"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57" w:history="1">
        <w:r w:rsidR="00755C79" w:rsidRPr="00755C79">
          <w:rPr>
            <w:rStyle w:val="Lienhypertexte"/>
            <w:rFonts w:ascii="AvenirNext LT Pro LightCn" w:hAnsi="AvenirNext LT Pro LightCn"/>
            <w:b/>
            <w:noProof/>
            <w:sz w:val="20"/>
            <w:szCs w:val="20"/>
          </w:rPr>
          <w:t>3.3.</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Indicateurs de suivi et taux de disponibilité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8</w:t>
        </w:r>
        <w:r w:rsidR="00755C79" w:rsidRPr="00755C79">
          <w:rPr>
            <w:rFonts w:ascii="AvenirNext LT Pro LightCn" w:hAnsi="AvenirNext LT Pro LightCn"/>
            <w:noProof/>
            <w:webHidden/>
            <w:sz w:val="20"/>
            <w:szCs w:val="20"/>
          </w:rPr>
          <w:fldChar w:fldCharType="end"/>
        </w:r>
      </w:hyperlink>
    </w:p>
    <w:p w14:paraId="48F6E241" w14:textId="77036559"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58" w:history="1">
        <w:r w:rsidR="00755C79" w:rsidRPr="00755C79">
          <w:rPr>
            <w:rStyle w:val="Lienhypertexte"/>
            <w:rFonts w:ascii="AvenirNext LT Pro LightCn" w:hAnsi="AvenirNext LT Pro LightCn"/>
            <w:b/>
            <w:noProof/>
            <w:sz w:val="20"/>
            <w:szCs w:val="20"/>
          </w:rPr>
          <w:t>3.4.</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Définition de l’indisponibilité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_Toc135996158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8</w:t>
        </w:r>
        <w:r w:rsidR="00755C79" w:rsidRPr="00755C79">
          <w:rPr>
            <w:rFonts w:ascii="AvenirNext LT Pro LightCn" w:hAnsi="AvenirNext LT Pro LightCn"/>
            <w:noProof/>
            <w:webHidden/>
            <w:sz w:val="20"/>
            <w:szCs w:val="20"/>
          </w:rPr>
          <w:fldChar w:fldCharType="end"/>
        </w:r>
      </w:hyperlink>
    </w:p>
    <w:p w14:paraId="4252B174" w14:textId="2ABA8434" w:rsidR="00755C79" w:rsidRPr="00755C79" w:rsidRDefault="009C0B67">
      <w:pPr>
        <w:pStyle w:val="TM3"/>
        <w:tabs>
          <w:tab w:val="left" w:pos="1320"/>
          <w:tab w:val="right" w:leader="dot" w:pos="9054"/>
        </w:tabs>
        <w:rPr>
          <w:rFonts w:ascii="AvenirNext LT Pro LightCn" w:eastAsiaTheme="minorEastAsia" w:hAnsi="AvenirNext LT Pro LightCn"/>
          <w:noProof/>
          <w:sz w:val="20"/>
          <w:szCs w:val="20"/>
          <w:lang w:eastAsia="fr-FR"/>
        </w:rPr>
      </w:pPr>
      <w:hyperlink w:anchor="_Toc135996159" w:history="1">
        <w:r w:rsidR="00755C79" w:rsidRPr="00755C79">
          <w:rPr>
            <w:rStyle w:val="Lienhypertexte"/>
            <w:rFonts w:ascii="AvenirNext LT Pro LightCn" w:eastAsiaTheme="majorEastAsia" w:hAnsi="AvenirNext LT Pro LightCn" w:cstheme="majorBidi"/>
            <w:b/>
            <w:noProof/>
            <w:sz w:val="20"/>
            <w:szCs w:val="20"/>
          </w:rPr>
          <w:t>3.4.1.</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eastAsiaTheme="majorEastAsia" w:hAnsi="AvenirNext LT Pro LightCn" w:cstheme="majorBidi"/>
            <w:noProof/>
            <w:sz w:val="20"/>
            <w:szCs w:val="20"/>
          </w:rPr>
          <w:t>Mesure de la durée d’arrêt</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_Toc135996159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8</w:t>
        </w:r>
        <w:r w:rsidR="00755C79" w:rsidRPr="00755C79">
          <w:rPr>
            <w:rFonts w:ascii="AvenirNext LT Pro LightCn" w:hAnsi="AvenirNext LT Pro LightCn"/>
            <w:noProof/>
            <w:webHidden/>
            <w:sz w:val="20"/>
            <w:szCs w:val="20"/>
          </w:rPr>
          <w:fldChar w:fldCharType="end"/>
        </w:r>
      </w:hyperlink>
    </w:p>
    <w:p w14:paraId="796E80CF" w14:textId="3E112DAA"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60" w:history="1">
        <w:r w:rsidR="00755C79" w:rsidRPr="00755C79">
          <w:rPr>
            <w:rStyle w:val="Lienhypertexte"/>
            <w:rFonts w:ascii="AvenirNext LT Pro LightCn" w:hAnsi="AvenirNext LT Pro LightCn"/>
            <w:b/>
            <w:noProof/>
            <w:sz w:val="20"/>
            <w:szCs w:val="20"/>
          </w:rPr>
          <w:t>3.5.</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Taux de disponibilité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8</w:t>
        </w:r>
        <w:r w:rsidR="00755C79" w:rsidRPr="00755C79">
          <w:rPr>
            <w:rFonts w:ascii="AvenirNext LT Pro LightCn" w:hAnsi="AvenirNext LT Pro LightCn"/>
            <w:noProof/>
            <w:webHidden/>
            <w:sz w:val="20"/>
            <w:szCs w:val="20"/>
          </w:rPr>
          <w:fldChar w:fldCharType="end"/>
        </w:r>
      </w:hyperlink>
    </w:p>
    <w:p w14:paraId="1F5084F4" w14:textId="2742024C" w:rsidR="00755C79" w:rsidRPr="00755C79" w:rsidRDefault="009C0B67">
      <w:pPr>
        <w:pStyle w:val="TM3"/>
        <w:tabs>
          <w:tab w:val="left" w:pos="1320"/>
          <w:tab w:val="right" w:leader="dot" w:pos="9054"/>
        </w:tabs>
        <w:rPr>
          <w:rFonts w:ascii="AvenirNext LT Pro LightCn" w:eastAsiaTheme="minorEastAsia" w:hAnsi="AvenirNext LT Pro LightCn"/>
          <w:noProof/>
          <w:sz w:val="20"/>
          <w:szCs w:val="20"/>
          <w:lang w:eastAsia="fr-FR"/>
        </w:rPr>
      </w:pPr>
      <w:hyperlink w:anchor="_Toc135996161" w:history="1">
        <w:r w:rsidR="00755C79" w:rsidRPr="00755C79">
          <w:rPr>
            <w:rStyle w:val="Lienhypertexte"/>
            <w:rFonts w:ascii="AvenirNext LT Pro LightCn" w:eastAsiaTheme="majorEastAsia" w:hAnsi="AvenirNext LT Pro LightCn" w:cstheme="majorBidi"/>
            <w:b/>
            <w:noProof/>
            <w:sz w:val="20"/>
            <w:szCs w:val="20"/>
          </w:rPr>
          <w:t>3.5.1.</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eastAsiaTheme="majorEastAsia" w:hAnsi="AvenirNext LT Pro LightCn" w:cstheme="majorBidi"/>
            <w:noProof/>
            <w:sz w:val="20"/>
            <w:szCs w:val="20"/>
          </w:rPr>
          <w:t>Délai maximal autorisé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_Toc135996161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8</w:t>
        </w:r>
        <w:r w:rsidR="00755C79" w:rsidRPr="00755C79">
          <w:rPr>
            <w:rFonts w:ascii="AvenirNext LT Pro LightCn" w:hAnsi="AvenirNext LT Pro LightCn"/>
            <w:noProof/>
            <w:webHidden/>
            <w:sz w:val="20"/>
            <w:szCs w:val="20"/>
          </w:rPr>
          <w:fldChar w:fldCharType="end"/>
        </w:r>
      </w:hyperlink>
    </w:p>
    <w:p w14:paraId="6F0952F0" w14:textId="140099BA"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62" w:history="1">
        <w:r w:rsidR="00755C79" w:rsidRPr="00755C79">
          <w:rPr>
            <w:rStyle w:val="Lienhypertexte"/>
            <w:rFonts w:ascii="AvenirNext LT Pro LightCn" w:hAnsi="AvenirNext LT Pro LightCn"/>
            <w:b/>
            <w:noProof/>
            <w:sz w:val="20"/>
            <w:szCs w:val="20"/>
          </w:rPr>
          <w:t>3.6.</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Emballage et transport</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8</w:t>
        </w:r>
        <w:r w:rsidR="00755C79" w:rsidRPr="00755C79">
          <w:rPr>
            <w:rFonts w:ascii="AvenirNext LT Pro LightCn" w:hAnsi="AvenirNext LT Pro LightCn"/>
            <w:noProof/>
            <w:webHidden/>
            <w:sz w:val="20"/>
            <w:szCs w:val="20"/>
          </w:rPr>
          <w:fldChar w:fldCharType="end"/>
        </w:r>
      </w:hyperlink>
    </w:p>
    <w:p w14:paraId="53BFBA45" w14:textId="4A8F8B98"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63" w:history="1">
        <w:r w:rsidR="00755C79" w:rsidRPr="00755C79">
          <w:rPr>
            <w:rStyle w:val="Lienhypertexte"/>
            <w:rFonts w:ascii="AvenirNext LT Pro LightCn" w:hAnsi="AvenirNext LT Pro LightCn"/>
            <w:b/>
            <w:noProof/>
            <w:sz w:val="20"/>
            <w:szCs w:val="20"/>
          </w:rPr>
          <w:t>3.7.</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Livraison</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_Toc135996163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9</w:t>
        </w:r>
        <w:r w:rsidR="00755C79" w:rsidRPr="00755C79">
          <w:rPr>
            <w:rFonts w:ascii="AvenirNext LT Pro LightCn" w:hAnsi="AvenirNext LT Pro LightCn"/>
            <w:noProof/>
            <w:webHidden/>
            <w:sz w:val="20"/>
            <w:szCs w:val="20"/>
          </w:rPr>
          <w:fldChar w:fldCharType="end"/>
        </w:r>
      </w:hyperlink>
    </w:p>
    <w:p w14:paraId="7D59D748" w14:textId="77FACAFC"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64" w:history="1">
        <w:r w:rsidR="00755C79" w:rsidRPr="00755C79">
          <w:rPr>
            <w:rStyle w:val="Lienhypertexte"/>
            <w:rFonts w:ascii="AvenirNext LT Pro LightCn" w:hAnsi="AvenirNext LT Pro LightCn"/>
            <w:b/>
            <w:noProof/>
            <w:sz w:val="20"/>
            <w:szCs w:val="20"/>
          </w:rPr>
          <w:t>3.8.</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Documentation à fournir</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_Toc135996164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9</w:t>
        </w:r>
        <w:r w:rsidR="00755C79" w:rsidRPr="00755C79">
          <w:rPr>
            <w:rFonts w:ascii="AvenirNext LT Pro LightCn" w:hAnsi="AvenirNext LT Pro LightCn"/>
            <w:noProof/>
            <w:webHidden/>
            <w:sz w:val="20"/>
            <w:szCs w:val="20"/>
          </w:rPr>
          <w:fldChar w:fldCharType="end"/>
        </w:r>
      </w:hyperlink>
    </w:p>
    <w:p w14:paraId="7AA4ECC6" w14:textId="1394AB29"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65" w:history="1">
        <w:r w:rsidR="00755C79" w:rsidRPr="00755C79">
          <w:rPr>
            <w:rStyle w:val="Lienhypertexte"/>
            <w:rFonts w:ascii="AvenirNext LT Pro LightCn" w:hAnsi="AvenirNext LT Pro LightCn"/>
            <w:b/>
            <w:noProof/>
            <w:sz w:val="20"/>
            <w:szCs w:val="20"/>
          </w:rPr>
          <w:t>3.9.</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Licence logiciel</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_Toc135996165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10</w:t>
        </w:r>
        <w:r w:rsidR="00755C79" w:rsidRPr="00755C79">
          <w:rPr>
            <w:rFonts w:ascii="AvenirNext LT Pro LightCn" w:hAnsi="AvenirNext LT Pro LightCn"/>
            <w:noProof/>
            <w:webHidden/>
            <w:sz w:val="20"/>
            <w:szCs w:val="20"/>
          </w:rPr>
          <w:fldChar w:fldCharType="end"/>
        </w:r>
      </w:hyperlink>
    </w:p>
    <w:p w14:paraId="241C5F71" w14:textId="73C34BC4"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66" w:history="1">
        <w:r w:rsidR="00755C79" w:rsidRPr="00755C79">
          <w:rPr>
            <w:rStyle w:val="Lienhypertexte"/>
            <w:rFonts w:ascii="AvenirNext LT Pro LightCn" w:hAnsi="AvenirNext LT Pro LightCn"/>
            <w:b/>
            <w:noProof/>
            <w:sz w:val="20"/>
            <w:szCs w:val="20"/>
          </w:rPr>
          <w:t>3.10.</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Formation à l’utilisation et à la maintenance de l’équipement</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_Toc135996166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10</w:t>
        </w:r>
        <w:r w:rsidR="00755C79" w:rsidRPr="00755C79">
          <w:rPr>
            <w:rFonts w:ascii="AvenirNext LT Pro LightCn" w:hAnsi="AvenirNext LT Pro LightCn"/>
            <w:noProof/>
            <w:webHidden/>
            <w:sz w:val="20"/>
            <w:szCs w:val="20"/>
          </w:rPr>
          <w:fldChar w:fldCharType="end"/>
        </w:r>
      </w:hyperlink>
    </w:p>
    <w:p w14:paraId="6F864119" w14:textId="4C19047A"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67" w:history="1">
        <w:r w:rsidR="00755C79" w:rsidRPr="00755C79">
          <w:rPr>
            <w:rStyle w:val="Lienhypertexte"/>
            <w:rFonts w:ascii="AvenirNext LT Pro LightCn" w:hAnsi="AvenirNext LT Pro LightCn"/>
            <w:b/>
            <w:noProof/>
            <w:sz w:val="20"/>
            <w:szCs w:val="20"/>
          </w:rPr>
          <w:t>3.11.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Brevets et licences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10</w:t>
        </w:r>
        <w:r w:rsidR="00755C79" w:rsidRPr="00755C79">
          <w:rPr>
            <w:rFonts w:ascii="AvenirNext LT Pro LightCn" w:hAnsi="AvenirNext LT Pro LightCn"/>
            <w:noProof/>
            <w:webHidden/>
            <w:sz w:val="20"/>
            <w:szCs w:val="20"/>
          </w:rPr>
          <w:fldChar w:fldCharType="end"/>
        </w:r>
      </w:hyperlink>
    </w:p>
    <w:p w14:paraId="0C7C4E20" w14:textId="4603EBB7"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68" w:history="1">
        <w:r w:rsidR="00755C79" w:rsidRPr="00755C79">
          <w:rPr>
            <w:rStyle w:val="Lienhypertexte"/>
            <w:rFonts w:ascii="AvenirNext LT Pro LightCn" w:hAnsi="AvenirNext LT Pro LightCn"/>
            <w:b/>
            <w:noProof/>
            <w:sz w:val="20"/>
            <w:szCs w:val="20"/>
          </w:rPr>
          <w:t>3.12.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Dispositions en cas de quench (spectromètres)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_Toc135996168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10</w:t>
        </w:r>
        <w:r w:rsidR="00755C79" w:rsidRPr="00755C79">
          <w:rPr>
            <w:rFonts w:ascii="AvenirNext LT Pro LightCn" w:hAnsi="AvenirNext LT Pro LightCn"/>
            <w:noProof/>
            <w:webHidden/>
            <w:sz w:val="20"/>
            <w:szCs w:val="20"/>
          </w:rPr>
          <w:fldChar w:fldCharType="end"/>
        </w:r>
      </w:hyperlink>
    </w:p>
    <w:p w14:paraId="17CDE6C9" w14:textId="26F2FDFA"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69" w:history="1">
        <w:r w:rsidR="00755C79" w:rsidRPr="00755C79">
          <w:rPr>
            <w:rStyle w:val="Lienhypertexte"/>
            <w:rFonts w:ascii="AvenirNext LT Pro LightCn" w:hAnsi="AvenirNext LT Pro LightCn"/>
            <w:b/>
            <w:noProof/>
            <w:sz w:val="20"/>
            <w:szCs w:val="20"/>
          </w:rPr>
          <w:t>3.13.</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Sous-traitance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_Toc135996169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10</w:t>
        </w:r>
        <w:r w:rsidR="00755C79" w:rsidRPr="00755C79">
          <w:rPr>
            <w:rFonts w:ascii="AvenirNext LT Pro LightCn" w:hAnsi="AvenirNext LT Pro LightCn"/>
            <w:noProof/>
            <w:webHidden/>
            <w:sz w:val="20"/>
            <w:szCs w:val="20"/>
          </w:rPr>
          <w:fldChar w:fldCharType="end"/>
        </w:r>
      </w:hyperlink>
    </w:p>
    <w:p w14:paraId="511B7998" w14:textId="309F9CEA"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70" w:history="1">
        <w:r w:rsidR="00755C79" w:rsidRPr="00755C79">
          <w:rPr>
            <w:rStyle w:val="Lienhypertexte"/>
            <w:rFonts w:ascii="AvenirNext LT Pro LightCn" w:hAnsi="AvenirNext LT Pro LightCn"/>
            <w:b/>
            <w:i/>
            <w:iCs/>
            <w:noProof/>
            <w:sz w:val="20"/>
            <w:szCs w:val="20"/>
          </w:rPr>
          <w:t>4.</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DURÉE ET DELAIS D’EXECUTION DU MARCHÉ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2614AE7C" w14:textId="7C147F70"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71" w:history="1">
        <w:r w:rsidR="00755C79" w:rsidRPr="00755C79">
          <w:rPr>
            <w:rStyle w:val="Lienhypertexte"/>
            <w:rFonts w:ascii="AvenirNext LT Pro LightCn" w:hAnsi="AvenirNext LT Pro LightCn"/>
            <w:b/>
            <w:noProof/>
            <w:sz w:val="20"/>
            <w:szCs w:val="20"/>
          </w:rPr>
          <w:t>4.1.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Durée du marché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_Toc135996171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0276A4F7" w14:textId="2D917256"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72" w:history="1">
        <w:r w:rsidR="00755C79" w:rsidRPr="00755C79">
          <w:rPr>
            <w:rStyle w:val="Lienhypertexte"/>
            <w:rFonts w:ascii="AvenirNext LT Pro LightCn" w:hAnsi="AvenirNext LT Pro LightCn"/>
            <w:b/>
            <w:noProof/>
            <w:sz w:val="20"/>
            <w:szCs w:val="20"/>
          </w:rPr>
          <w:t>4.2.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Délai de livraison</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1CA34A03" w14:textId="7C443D41"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73" w:history="1">
        <w:r w:rsidR="00755C79" w:rsidRPr="00755C79">
          <w:rPr>
            <w:rStyle w:val="Lienhypertexte"/>
            <w:rFonts w:ascii="AvenirNext LT Pro LightCn" w:hAnsi="AvenirNext LT Pro LightCn"/>
            <w:b/>
            <w:noProof/>
            <w:sz w:val="20"/>
            <w:szCs w:val="20"/>
          </w:rPr>
          <w:t>4.3.</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Prolongation du délai</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_Toc135996173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3F5B03FF" w14:textId="46F19EEB"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74" w:history="1">
        <w:r w:rsidR="00755C79" w:rsidRPr="00755C79">
          <w:rPr>
            <w:rStyle w:val="Lienhypertexte"/>
            <w:rFonts w:ascii="AvenirNext LT Pro LightCn" w:hAnsi="AvenirNext LT Pro LightCn"/>
            <w:b/>
            <w:noProof/>
            <w:sz w:val="20"/>
            <w:szCs w:val="20"/>
          </w:rPr>
          <w:t>5.</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INSTALLATIONS, MISE EN ORDRE DE MARCHE, VÉRIFICATION ET ADMISSION DES FOURNITURES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_Toc135996174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21B5333E" w14:textId="15B9C0CD"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75" w:history="1">
        <w:r w:rsidR="00755C79" w:rsidRPr="00755C79">
          <w:rPr>
            <w:rStyle w:val="Lienhypertexte"/>
            <w:rFonts w:ascii="AvenirNext LT Pro LightCn" w:hAnsi="AvenirNext LT Pro LightCn"/>
            <w:b/>
            <w:noProof/>
            <w:sz w:val="20"/>
            <w:szCs w:val="20"/>
          </w:rPr>
          <w:t>5.1.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Installation et mise en ordre de marche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_Toc135996175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3F7B90B0" w14:textId="5DF23521"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76" w:history="1">
        <w:r w:rsidR="00755C79" w:rsidRPr="00755C79">
          <w:rPr>
            <w:rStyle w:val="Lienhypertexte"/>
            <w:rFonts w:ascii="AvenirNext LT Pro LightCn" w:hAnsi="AvenirNext LT Pro LightCn"/>
            <w:b/>
            <w:noProof/>
            <w:sz w:val="20"/>
            <w:szCs w:val="20"/>
          </w:rPr>
          <w:t>5.2.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Opérations de vérification – Admission des prestations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_Toc135996176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11</w:t>
        </w:r>
        <w:r w:rsidR="00755C79" w:rsidRPr="00755C79">
          <w:rPr>
            <w:rFonts w:ascii="AvenirNext LT Pro LightCn" w:hAnsi="AvenirNext LT Pro LightCn"/>
            <w:noProof/>
            <w:webHidden/>
            <w:sz w:val="20"/>
            <w:szCs w:val="20"/>
          </w:rPr>
          <w:fldChar w:fldCharType="end"/>
        </w:r>
      </w:hyperlink>
    </w:p>
    <w:p w14:paraId="026A8E80" w14:textId="34F50879"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77" w:history="1">
        <w:r w:rsidR="00755C79" w:rsidRPr="00755C79">
          <w:rPr>
            <w:rStyle w:val="Lienhypertexte"/>
            <w:rFonts w:ascii="AvenirNext LT Pro LightCn" w:hAnsi="AvenirNext LT Pro LightCn"/>
            <w:b/>
            <w:noProof/>
            <w:sz w:val="20"/>
            <w:szCs w:val="20"/>
          </w:rPr>
          <w:t>6.</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ZONES A REGIME RESTRICTIF (ZRR) ET SECURITE DE L’INFORMATION</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12</w:t>
        </w:r>
        <w:r w:rsidR="00755C79" w:rsidRPr="00755C79">
          <w:rPr>
            <w:rFonts w:ascii="AvenirNext LT Pro LightCn" w:hAnsi="AvenirNext LT Pro LightCn"/>
            <w:noProof/>
            <w:webHidden/>
            <w:sz w:val="20"/>
            <w:szCs w:val="20"/>
          </w:rPr>
          <w:fldChar w:fldCharType="end"/>
        </w:r>
      </w:hyperlink>
    </w:p>
    <w:p w14:paraId="4CE980D1" w14:textId="7F1CDBC1"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78" w:history="1">
        <w:r w:rsidR="00755C79" w:rsidRPr="00755C79">
          <w:rPr>
            <w:rStyle w:val="Lienhypertexte"/>
            <w:rFonts w:ascii="AvenirNext LT Pro LightCn" w:hAnsi="AvenirNext LT Pro LightCn"/>
            <w:b/>
            <w:noProof/>
            <w:sz w:val="20"/>
            <w:szCs w:val="20"/>
          </w:rPr>
          <w:t>7.</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PRIX ET MODALITÉS DE PAIEMENTS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_Toc135996178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12</w:t>
        </w:r>
        <w:r w:rsidR="00755C79" w:rsidRPr="00755C79">
          <w:rPr>
            <w:rFonts w:ascii="AvenirNext LT Pro LightCn" w:hAnsi="AvenirNext LT Pro LightCn"/>
            <w:noProof/>
            <w:webHidden/>
            <w:sz w:val="20"/>
            <w:szCs w:val="20"/>
          </w:rPr>
          <w:fldChar w:fldCharType="end"/>
        </w:r>
      </w:hyperlink>
    </w:p>
    <w:p w14:paraId="34FFB43C" w14:textId="34E32B08"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79" w:history="1">
        <w:r w:rsidR="00755C79" w:rsidRPr="00755C79">
          <w:rPr>
            <w:rStyle w:val="Lienhypertexte"/>
            <w:rFonts w:ascii="AvenirNext LT Pro LightCn" w:hAnsi="AvenirNext LT Pro LightCn"/>
            <w:b/>
            <w:noProof/>
            <w:sz w:val="20"/>
            <w:szCs w:val="20"/>
          </w:rPr>
          <w:t>7.1.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Prix du marché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_Toc135996179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12</w:t>
        </w:r>
        <w:r w:rsidR="00755C79" w:rsidRPr="00755C79">
          <w:rPr>
            <w:rFonts w:ascii="AvenirNext LT Pro LightCn" w:hAnsi="AvenirNext LT Pro LightCn"/>
            <w:noProof/>
            <w:webHidden/>
            <w:sz w:val="20"/>
            <w:szCs w:val="20"/>
          </w:rPr>
          <w:fldChar w:fldCharType="end"/>
        </w:r>
      </w:hyperlink>
    </w:p>
    <w:p w14:paraId="50B23843" w14:textId="53BAD781"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0" w:history="1">
        <w:r w:rsidR="00755C79" w:rsidRPr="00755C79">
          <w:rPr>
            <w:rStyle w:val="Lienhypertexte"/>
            <w:rFonts w:ascii="AvenirNext LT Pro LightCn" w:hAnsi="AvenirNext LT Pro LightCn"/>
            <w:b/>
            <w:noProof/>
            <w:sz w:val="20"/>
            <w:szCs w:val="20"/>
          </w:rPr>
          <w:t>7.2.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Echéancier de paiement</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13</w:t>
        </w:r>
        <w:r w:rsidR="00755C79" w:rsidRPr="00755C79">
          <w:rPr>
            <w:rFonts w:ascii="AvenirNext LT Pro LightCn" w:hAnsi="AvenirNext LT Pro LightCn"/>
            <w:noProof/>
            <w:webHidden/>
            <w:sz w:val="20"/>
            <w:szCs w:val="20"/>
          </w:rPr>
          <w:fldChar w:fldCharType="end"/>
        </w:r>
      </w:hyperlink>
    </w:p>
    <w:p w14:paraId="602553B4" w14:textId="52AD407C"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1" w:history="1">
        <w:r w:rsidR="00755C79" w:rsidRPr="00755C79">
          <w:rPr>
            <w:rStyle w:val="Lienhypertexte"/>
            <w:rFonts w:ascii="AvenirNext LT Pro LightCn" w:hAnsi="AvenirNext LT Pro LightCn"/>
            <w:b/>
            <w:noProof/>
            <w:sz w:val="20"/>
            <w:szCs w:val="20"/>
          </w:rPr>
          <w:t>7.3.</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Modalités de paiement</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_Toc135996181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13</w:t>
        </w:r>
        <w:r w:rsidR="00755C79" w:rsidRPr="00755C79">
          <w:rPr>
            <w:rFonts w:ascii="AvenirNext LT Pro LightCn" w:hAnsi="AvenirNext LT Pro LightCn"/>
            <w:noProof/>
            <w:webHidden/>
            <w:sz w:val="20"/>
            <w:szCs w:val="20"/>
          </w:rPr>
          <w:fldChar w:fldCharType="end"/>
        </w:r>
      </w:hyperlink>
    </w:p>
    <w:p w14:paraId="130919C7" w14:textId="35D5825E"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82" w:history="1">
        <w:r w:rsidR="00755C79" w:rsidRPr="00755C79">
          <w:rPr>
            <w:rStyle w:val="Lienhypertexte"/>
            <w:rFonts w:ascii="AvenirNext LT Pro LightCn" w:hAnsi="AvenirNext LT Pro LightCn"/>
            <w:b/>
            <w:noProof/>
            <w:sz w:val="20"/>
            <w:szCs w:val="20"/>
          </w:rPr>
          <w:t>8.</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AVANCE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14</w:t>
        </w:r>
        <w:r w:rsidR="00755C79" w:rsidRPr="00755C79">
          <w:rPr>
            <w:rFonts w:ascii="AvenirNext LT Pro LightCn" w:hAnsi="AvenirNext LT Pro LightCn"/>
            <w:noProof/>
            <w:webHidden/>
            <w:sz w:val="20"/>
            <w:szCs w:val="20"/>
          </w:rPr>
          <w:fldChar w:fldCharType="end"/>
        </w:r>
      </w:hyperlink>
    </w:p>
    <w:p w14:paraId="5F2EA4A8" w14:textId="52FF2F87" w:rsidR="00755C79" w:rsidRPr="00755C79" w:rsidRDefault="009C0B67">
      <w:pPr>
        <w:pStyle w:val="TM1"/>
        <w:tabs>
          <w:tab w:val="left" w:pos="480"/>
          <w:tab w:val="right" w:leader="dot" w:pos="9054"/>
        </w:tabs>
        <w:rPr>
          <w:rFonts w:ascii="AvenirNext LT Pro LightCn" w:eastAsiaTheme="minorEastAsia" w:hAnsi="AvenirNext LT Pro LightCn"/>
          <w:noProof/>
          <w:sz w:val="20"/>
          <w:szCs w:val="20"/>
          <w:lang w:eastAsia="fr-FR"/>
        </w:rPr>
      </w:pPr>
      <w:hyperlink w:anchor="_Toc135996183" w:history="1">
        <w:r w:rsidR="00755C79" w:rsidRPr="00755C79">
          <w:rPr>
            <w:rStyle w:val="Lienhypertexte"/>
            <w:rFonts w:ascii="AvenirNext LT Pro LightCn" w:hAnsi="AvenirNext LT Pro LightCn"/>
            <w:b/>
            <w:noProof/>
            <w:sz w:val="20"/>
            <w:szCs w:val="20"/>
          </w:rPr>
          <w:t>9.</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PENALITES APPLICABLES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_Toc135996183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14</w:t>
        </w:r>
        <w:r w:rsidR="00755C79" w:rsidRPr="00755C79">
          <w:rPr>
            <w:rFonts w:ascii="AvenirNext LT Pro LightCn" w:hAnsi="AvenirNext LT Pro LightCn"/>
            <w:noProof/>
            <w:webHidden/>
            <w:sz w:val="20"/>
            <w:szCs w:val="20"/>
          </w:rPr>
          <w:fldChar w:fldCharType="end"/>
        </w:r>
      </w:hyperlink>
    </w:p>
    <w:p w14:paraId="1B6FB82B" w14:textId="001FFBF1"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4" w:history="1">
        <w:r w:rsidR="00755C79" w:rsidRPr="00755C79">
          <w:rPr>
            <w:rStyle w:val="Lienhypertexte"/>
            <w:rFonts w:ascii="AvenirNext LT Pro LightCn" w:hAnsi="AvenirNext LT Pro LightCn"/>
            <w:b/>
            <w:noProof/>
            <w:sz w:val="20"/>
            <w:szCs w:val="20"/>
          </w:rPr>
          <w:t>9.1.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Pénalités pour retard</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_Toc135996184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14</w:t>
        </w:r>
        <w:r w:rsidR="00755C79" w:rsidRPr="00755C79">
          <w:rPr>
            <w:rFonts w:ascii="AvenirNext LT Pro LightCn" w:hAnsi="AvenirNext LT Pro LightCn"/>
            <w:noProof/>
            <w:webHidden/>
            <w:sz w:val="20"/>
            <w:szCs w:val="20"/>
          </w:rPr>
          <w:fldChar w:fldCharType="end"/>
        </w:r>
      </w:hyperlink>
    </w:p>
    <w:p w14:paraId="27F91C1E" w14:textId="34F8C131"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5" w:history="1">
        <w:r w:rsidR="00755C79" w:rsidRPr="00755C79">
          <w:rPr>
            <w:rStyle w:val="Lienhypertexte"/>
            <w:rFonts w:ascii="AvenirNext LT Pro LightCn" w:hAnsi="AvenirNext LT Pro LightCn"/>
            <w:b/>
            <w:noProof/>
            <w:sz w:val="20"/>
            <w:szCs w:val="20"/>
          </w:rPr>
          <w:t>9.2.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 Pénalités pour non-respect du délai d’intervention en cas de panne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_Toc135996185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14</w:t>
        </w:r>
        <w:r w:rsidR="00755C79" w:rsidRPr="00755C79">
          <w:rPr>
            <w:rFonts w:ascii="AvenirNext LT Pro LightCn" w:hAnsi="AvenirNext LT Pro LightCn"/>
            <w:noProof/>
            <w:webHidden/>
            <w:sz w:val="20"/>
            <w:szCs w:val="20"/>
          </w:rPr>
          <w:fldChar w:fldCharType="end"/>
        </w:r>
      </w:hyperlink>
    </w:p>
    <w:p w14:paraId="1AB88437" w14:textId="2C99663F"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6" w:history="1">
        <w:r w:rsidR="00755C79" w:rsidRPr="00755C79">
          <w:rPr>
            <w:rStyle w:val="Lienhypertexte"/>
            <w:rFonts w:ascii="AvenirNext LT Pro LightCn" w:hAnsi="AvenirNext LT Pro LightCn"/>
            <w:b/>
            <w:noProof/>
            <w:sz w:val="20"/>
            <w:szCs w:val="20"/>
          </w:rPr>
          <w:t>9.3.</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Pénalités pour non-respect du délai de mise au point ou de réparation en cas de panne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_Toc135996186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15</w:t>
        </w:r>
        <w:r w:rsidR="00755C79" w:rsidRPr="00755C79">
          <w:rPr>
            <w:rFonts w:ascii="AvenirNext LT Pro LightCn" w:hAnsi="AvenirNext LT Pro LightCn"/>
            <w:noProof/>
            <w:webHidden/>
            <w:sz w:val="20"/>
            <w:szCs w:val="20"/>
          </w:rPr>
          <w:fldChar w:fldCharType="end"/>
        </w:r>
      </w:hyperlink>
    </w:p>
    <w:p w14:paraId="33B4F93D" w14:textId="1AEC4392"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7" w:history="1">
        <w:r w:rsidR="00755C79" w:rsidRPr="00755C79">
          <w:rPr>
            <w:rStyle w:val="Lienhypertexte"/>
            <w:rFonts w:ascii="AvenirNext LT Pro LightCn" w:eastAsiaTheme="majorEastAsia" w:hAnsi="AvenirNext LT Pro LightCn" w:cstheme="majorBidi"/>
            <w:noProof/>
            <w:sz w:val="20"/>
            <w:szCs w:val="20"/>
          </w:rPr>
          <w:t>9.4.</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eastAsiaTheme="majorEastAsia" w:hAnsi="AvenirNext LT Pro LightCn" w:cstheme="majorBidi"/>
            <w:noProof/>
            <w:sz w:val="20"/>
            <w:szCs w:val="20"/>
          </w:rPr>
          <w:t>- Pénalités pour indisponibilité</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16</w:t>
        </w:r>
        <w:r w:rsidR="00755C79" w:rsidRPr="00755C79">
          <w:rPr>
            <w:rFonts w:ascii="AvenirNext LT Pro LightCn" w:hAnsi="AvenirNext LT Pro LightCn"/>
            <w:noProof/>
            <w:webHidden/>
            <w:sz w:val="20"/>
            <w:szCs w:val="20"/>
          </w:rPr>
          <w:fldChar w:fldCharType="end"/>
        </w:r>
      </w:hyperlink>
    </w:p>
    <w:p w14:paraId="40CA6909" w14:textId="2920FBC9"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8" w:history="1">
        <w:r w:rsidR="00755C79" w:rsidRPr="00755C79">
          <w:rPr>
            <w:rStyle w:val="Lienhypertexte"/>
            <w:rFonts w:ascii="AvenirNext LT Pro LightCn" w:hAnsi="AvenirNext LT Pro LightCn"/>
            <w:b/>
            <w:noProof/>
            <w:sz w:val="20"/>
            <w:szCs w:val="20"/>
          </w:rPr>
          <w:t>9.5.</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Pénalités pour indisponibilité des pièces détachées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_Toc135996188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16</w:t>
        </w:r>
        <w:r w:rsidR="00755C79" w:rsidRPr="00755C79">
          <w:rPr>
            <w:rFonts w:ascii="AvenirNext LT Pro LightCn" w:hAnsi="AvenirNext LT Pro LightCn"/>
            <w:noProof/>
            <w:webHidden/>
            <w:sz w:val="20"/>
            <w:szCs w:val="20"/>
          </w:rPr>
          <w:fldChar w:fldCharType="end"/>
        </w:r>
      </w:hyperlink>
    </w:p>
    <w:p w14:paraId="302C49E0" w14:textId="4401B244"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89" w:history="1">
        <w:r w:rsidR="00755C79" w:rsidRPr="00755C79">
          <w:rPr>
            <w:rStyle w:val="Lienhypertexte"/>
            <w:rFonts w:ascii="AvenirNext LT Pro LightCn" w:hAnsi="AvenirNext LT Pro LightCn"/>
            <w:noProof/>
            <w:sz w:val="20"/>
            <w:szCs w:val="20"/>
          </w:rPr>
          <w:t>9.6.</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Pénalités pour non-respect des dispositions environnementales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_Toc135996189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16</w:t>
        </w:r>
        <w:r w:rsidR="00755C79" w:rsidRPr="00755C79">
          <w:rPr>
            <w:rFonts w:ascii="AvenirNext LT Pro LightCn" w:hAnsi="AvenirNext LT Pro LightCn"/>
            <w:noProof/>
            <w:webHidden/>
            <w:sz w:val="20"/>
            <w:szCs w:val="20"/>
          </w:rPr>
          <w:fldChar w:fldCharType="end"/>
        </w:r>
      </w:hyperlink>
    </w:p>
    <w:p w14:paraId="2E1AD46B" w14:textId="520B868C" w:rsidR="00755C79" w:rsidRPr="00755C79" w:rsidRDefault="009C0B67">
      <w:pPr>
        <w:pStyle w:val="TM2"/>
        <w:tabs>
          <w:tab w:val="left" w:pos="660"/>
        </w:tabs>
        <w:rPr>
          <w:rFonts w:ascii="AvenirNext LT Pro LightCn" w:eastAsiaTheme="minorEastAsia" w:hAnsi="AvenirNext LT Pro LightCn" w:cstheme="minorBidi"/>
          <w:noProof/>
          <w:sz w:val="20"/>
          <w:szCs w:val="20"/>
          <w:lang w:eastAsia="fr-FR"/>
        </w:rPr>
      </w:pPr>
      <w:hyperlink w:anchor="_Toc135996190" w:history="1">
        <w:r w:rsidR="00755C79" w:rsidRPr="00755C79">
          <w:rPr>
            <w:rStyle w:val="Lienhypertexte"/>
            <w:rFonts w:ascii="AvenirNext LT Pro LightCn" w:eastAsiaTheme="majorEastAsia" w:hAnsi="AvenirNext LT Pro LightCn" w:cstheme="majorBidi"/>
            <w:noProof/>
            <w:sz w:val="20"/>
            <w:szCs w:val="20"/>
          </w:rPr>
          <w:t>9.7.</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eastAsiaTheme="majorEastAsia" w:hAnsi="AvenirNext LT Pro LightCn" w:cstheme="majorBidi"/>
            <w:noProof/>
            <w:sz w:val="20"/>
            <w:szCs w:val="20"/>
          </w:rPr>
          <w:t>- Pénalités pour non-respect des formalités relatives à la lutte contre le travail illégal</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16</w:t>
        </w:r>
        <w:r w:rsidR="00755C79" w:rsidRPr="00755C79">
          <w:rPr>
            <w:rFonts w:ascii="AvenirNext LT Pro LightCn" w:hAnsi="AvenirNext LT Pro LightCn"/>
            <w:noProof/>
            <w:webHidden/>
            <w:sz w:val="20"/>
            <w:szCs w:val="20"/>
          </w:rPr>
          <w:fldChar w:fldCharType="end"/>
        </w:r>
      </w:hyperlink>
    </w:p>
    <w:p w14:paraId="5653CFA2" w14:textId="62C71FFE" w:rsidR="00755C79" w:rsidRPr="00755C79" w:rsidRDefault="009C0B67">
      <w:pPr>
        <w:pStyle w:val="TM1"/>
        <w:tabs>
          <w:tab w:val="left" w:pos="660"/>
          <w:tab w:val="right" w:leader="dot" w:pos="9054"/>
        </w:tabs>
        <w:rPr>
          <w:rFonts w:ascii="AvenirNext LT Pro LightCn" w:eastAsiaTheme="minorEastAsia" w:hAnsi="AvenirNext LT Pro LightCn"/>
          <w:noProof/>
          <w:sz w:val="20"/>
          <w:szCs w:val="20"/>
          <w:lang w:eastAsia="fr-FR"/>
        </w:rPr>
      </w:pPr>
      <w:hyperlink w:anchor="_Toc135996191" w:history="1">
        <w:r w:rsidR="00755C79" w:rsidRPr="00755C79">
          <w:rPr>
            <w:rStyle w:val="Lienhypertexte"/>
            <w:rFonts w:ascii="AvenirNext LT Pro LightCn" w:hAnsi="AvenirNext LT Pro LightCn"/>
            <w:b/>
            <w:noProof/>
            <w:sz w:val="20"/>
            <w:szCs w:val="20"/>
          </w:rPr>
          <w:t>10.</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CLAUSES ENVIRONNEMENTALES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_Toc135996191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16</w:t>
        </w:r>
        <w:r w:rsidR="00755C79" w:rsidRPr="00755C79">
          <w:rPr>
            <w:rFonts w:ascii="AvenirNext LT Pro LightCn" w:hAnsi="AvenirNext LT Pro LightCn"/>
            <w:noProof/>
            <w:webHidden/>
            <w:sz w:val="20"/>
            <w:szCs w:val="20"/>
          </w:rPr>
          <w:fldChar w:fldCharType="end"/>
        </w:r>
      </w:hyperlink>
    </w:p>
    <w:p w14:paraId="68514D9F" w14:textId="3CE27F12" w:rsidR="00755C79" w:rsidRPr="00755C79" w:rsidRDefault="009C0B67">
      <w:pPr>
        <w:pStyle w:val="TM1"/>
        <w:tabs>
          <w:tab w:val="left" w:pos="660"/>
          <w:tab w:val="right" w:leader="dot" w:pos="9054"/>
        </w:tabs>
        <w:rPr>
          <w:rFonts w:ascii="AvenirNext LT Pro LightCn" w:eastAsiaTheme="minorEastAsia" w:hAnsi="AvenirNext LT Pro LightCn"/>
          <w:noProof/>
          <w:sz w:val="20"/>
          <w:szCs w:val="20"/>
          <w:lang w:eastAsia="fr-FR"/>
        </w:rPr>
      </w:pPr>
      <w:hyperlink w:anchor="_Toc135996192" w:history="1">
        <w:r w:rsidR="00755C79" w:rsidRPr="00755C79">
          <w:rPr>
            <w:rStyle w:val="Lienhypertexte"/>
            <w:rFonts w:ascii="AvenirNext LT Pro LightCn" w:hAnsi="AvenirNext LT Pro LightCn"/>
            <w:b/>
            <w:noProof/>
            <w:sz w:val="20"/>
            <w:szCs w:val="20"/>
          </w:rPr>
          <w:t>11.</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GARANTIE ET SAV</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17</w:t>
        </w:r>
        <w:r w:rsidR="00755C79" w:rsidRPr="00755C79">
          <w:rPr>
            <w:rFonts w:ascii="AvenirNext LT Pro LightCn" w:hAnsi="AvenirNext LT Pro LightCn"/>
            <w:noProof/>
            <w:webHidden/>
            <w:sz w:val="20"/>
            <w:szCs w:val="20"/>
          </w:rPr>
          <w:fldChar w:fldCharType="end"/>
        </w:r>
      </w:hyperlink>
    </w:p>
    <w:p w14:paraId="121BA973" w14:textId="028CCBA9"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93" w:history="1">
        <w:r w:rsidR="00755C79" w:rsidRPr="00755C79">
          <w:rPr>
            <w:rStyle w:val="Lienhypertexte"/>
            <w:rFonts w:ascii="AvenirNext LT Pro LightCn" w:hAnsi="AvenirNext LT Pro LightCn"/>
            <w:b/>
            <w:noProof/>
            <w:sz w:val="20"/>
            <w:szCs w:val="20"/>
          </w:rPr>
          <w:t>11.1.</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 Garantie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_Toc135996193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17</w:t>
        </w:r>
        <w:r w:rsidR="00755C79" w:rsidRPr="00755C79">
          <w:rPr>
            <w:rFonts w:ascii="AvenirNext LT Pro LightCn" w:hAnsi="AvenirNext LT Pro LightCn"/>
            <w:noProof/>
            <w:webHidden/>
            <w:sz w:val="20"/>
            <w:szCs w:val="20"/>
          </w:rPr>
          <w:fldChar w:fldCharType="end"/>
        </w:r>
      </w:hyperlink>
    </w:p>
    <w:p w14:paraId="4A406EB4" w14:textId="028C61DD"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94" w:history="1">
        <w:r w:rsidR="00755C79" w:rsidRPr="00755C79">
          <w:rPr>
            <w:rStyle w:val="Lienhypertexte"/>
            <w:rFonts w:ascii="AvenirNext LT Pro LightCn" w:hAnsi="AvenirNext LT Pro LightCn"/>
            <w:b/>
            <w:noProof/>
            <w:sz w:val="20"/>
            <w:szCs w:val="20"/>
          </w:rPr>
          <w:t>11.2.</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Support technique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_Toc135996194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17</w:t>
        </w:r>
        <w:r w:rsidR="00755C79" w:rsidRPr="00755C79">
          <w:rPr>
            <w:rFonts w:ascii="AvenirNext LT Pro LightCn" w:hAnsi="AvenirNext LT Pro LightCn"/>
            <w:noProof/>
            <w:webHidden/>
            <w:sz w:val="20"/>
            <w:szCs w:val="20"/>
          </w:rPr>
          <w:fldChar w:fldCharType="end"/>
        </w:r>
      </w:hyperlink>
    </w:p>
    <w:p w14:paraId="24E3C5A3" w14:textId="4CA9C97E"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95" w:history="1">
        <w:r w:rsidR="00755C79" w:rsidRPr="00755C79">
          <w:rPr>
            <w:rStyle w:val="Lienhypertexte"/>
            <w:rFonts w:ascii="AvenirNext LT Pro LightCn" w:hAnsi="AvenirNext LT Pro LightCn"/>
            <w:i/>
            <w:iCs/>
            <w:noProof/>
            <w:sz w:val="20"/>
            <w:szCs w:val="20"/>
          </w:rPr>
          <w:t>11.2.1 - Logiciels de pilotage et de traitement des données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_Toc135996195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17</w:t>
        </w:r>
        <w:r w:rsidR="00755C79" w:rsidRPr="00755C79">
          <w:rPr>
            <w:rFonts w:ascii="AvenirNext LT Pro LightCn" w:hAnsi="AvenirNext LT Pro LightCn"/>
            <w:noProof/>
            <w:webHidden/>
            <w:sz w:val="20"/>
            <w:szCs w:val="20"/>
          </w:rPr>
          <w:fldChar w:fldCharType="end"/>
        </w:r>
      </w:hyperlink>
    </w:p>
    <w:p w14:paraId="5121B450" w14:textId="2FD019CD"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96" w:history="1">
        <w:r w:rsidR="00755C79" w:rsidRPr="00755C79">
          <w:rPr>
            <w:rStyle w:val="Lienhypertexte"/>
            <w:rFonts w:ascii="AvenirNext LT Pro LightCn" w:hAnsi="AvenirNext LT Pro LightCn"/>
            <w:i/>
            <w:iCs/>
            <w:noProof/>
            <w:sz w:val="20"/>
            <w:szCs w:val="20"/>
          </w:rPr>
          <w:t>11.2.2 - Délais d’intervention en cas de panne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_Toc135996196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18</w:t>
        </w:r>
        <w:r w:rsidR="00755C79" w:rsidRPr="00755C79">
          <w:rPr>
            <w:rFonts w:ascii="AvenirNext LT Pro LightCn" w:hAnsi="AvenirNext LT Pro LightCn"/>
            <w:noProof/>
            <w:webHidden/>
            <w:sz w:val="20"/>
            <w:szCs w:val="20"/>
          </w:rPr>
          <w:fldChar w:fldCharType="end"/>
        </w:r>
      </w:hyperlink>
    </w:p>
    <w:p w14:paraId="150F4073" w14:textId="41808721"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97" w:history="1">
        <w:r w:rsidR="00755C79" w:rsidRPr="00755C79">
          <w:rPr>
            <w:rStyle w:val="Lienhypertexte"/>
            <w:rFonts w:ascii="AvenirNext LT Pro LightCn" w:hAnsi="AvenirNext LT Pro LightCn"/>
            <w:i/>
            <w:iCs/>
            <w:noProof/>
            <w:sz w:val="20"/>
            <w:szCs w:val="20"/>
          </w:rPr>
          <w:t>11.2.</w:t>
        </w:r>
        <w:r w:rsidR="00AF0018">
          <w:rPr>
            <w:rStyle w:val="Lienhypertexte"/>
            <w:rFonts w:ascii="AvenirNext LT Pro LightCn" w:hAnsi="AvenirNext LT Pro LightCn"/>
            <w:i/>
            <w:iCs/>
            <w:noProof/>
            <w:sz w:val="20"/>
            <w:szCs w:val="20"/>
          </w:rPr>
          <w:t>3</w:t>
        </w:r>
        <w:r w:rsidR="00755C79" w:rsidRPr="00755C79">
          <w:rPr>
            <w:rStyle w:val="Lienhypertexte"/>
            <w:rFonts w:ascii="AvenirNext LT Pro LightCn" w:hAnsi="AvenirNext LT Pro LightCn"/>
            <w:i/>
            <w:iCs/>
            <w:noProof/>
            <w:sz w:val="20"/>
            <w:szCs w:val="20"/>
          </w:rPr>
          <w:t xml:space="preserve"> - Délais de mise au point ou de réparation en cas de panne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_Toc135996197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18</w:t>
        </w:r>
        <w:r w:rsidR="00755C79" w:rsidRPr="00755C79">
          <w:rPr>
            <w:rFonts w:ascii="AvenirNext LT Pro LightCn" w:hAnsi="AvenirNext LT Pro LightCn"/>
            <w:noProof/>
            <w:webHidden/>
            <w:sz w:val="20"/>
            <w:szCs w:val="20"/>
          </w:rPr>
          <w:fldChar w:fldCharType="end"/>
        </w:r>
      </w:hyperlink>
    </w:p>
    <w:p w14:paraId="05283806" w14:textId="1D9708FE" w:rsidR="00755C79" w:rsidRPr="00755C79" w:rsidRDefault="009C0B67">
      <w:pPr>
        <w:pStyle w:val="TM2"/>
        <w:rPr>
          <w:rFonts w:ascii="AvenirNext LT Pro LightCn" w:eastAsiaTheme="minorEastAsia" w:hAnsi="AvenirNext LT Pro LightCn" w:cstheme="minorBidi"/>
          <w:noProof/>
          <w:sz w:val="20"/>
          <w:szCs w:val="20"/>
          <w:lang w:eastAsia="fr-FR"/>
        </w:rPr>
      </w:pPr>
      <w:hyperlink w:anchor="_Toc135996198" w:history="1">
        <w:r w:rsidR="00755C79" w:rsidRPr="00755C79">
          <w:rPr>
            <w:rStyle w:val="Lienhypertexte"/>
            <w:rFonts w:ascii="AvenirNext LT Pro LightCn" w:hAnsi="AvenirNext LT Pro LightCn"/>
            <w:i/>
            <w:iCs/>
            <w:noProof/>
            <w:sz w:val="20"/>
            <w:szCs w:val="20"/>
          </w:rPr>
          <w:t>11.2.</w:t>
        </w:r>
        <w:r w:rsidR="00AF0018">
          <w:rPr>
            <w:rStyle w:val="Lienhypertexte"/>
            <w:rFonts w:ascii="AvenirNext LT Pro LightCn" w:hAnsi="AvenirNext LT Pro LightCn"/>
            <w:i/>
            <w:iCs/>
            <w:noProof/>
            <w:sz w:val="20"/>
            <w:szCs w:val="20"/>
          </w:rPr>
          <w:t>4</w:t>
        </w:r>
        <w:r w:rsidR="00755C79" w:rsidRPr="00755C79">
          <w:rPr>
            <w:rStyle w:val="Lienhypertexte"/>
            <w:rFonts w:ascii="AvenirNext LT Pro LightCn" w:hAnsi="AvenirNext LT Pro LightCn"/>
            <w:i/>
            <w:iCs/>
            <w:noProof/>
            <w:sz w:val="20"/>
            <w:szCs w:val="20"/>
          </w:rPr>
          <w:t xml:space="preserve"> - Obligation relative aux pièces détachées et consommables captifs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_Toc135996198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19</w:t>
        </w:r>
        <w:r w:rsidR="00755C79" w:rsidRPr="00755C79">
          <w:rPr>
            <w:rFonts w:ascii="AvenirNext LT Pro LightCn" w:hAnsi="AvenirNext LT Pro LightCn"/>
            <w:noProof/>
            <w:webHidden/>
            <w:sz w:val="20"/>
            <w:szCs w:val="20"/>
          </w:rPr>
          <w:fldChar w:fldCharType="end"/>
        </w:r>
      </w:hyperlink>
    </w:p>
    <w:p w14:paraId="72F9F327" w14:textId="3EF4BDC7" w:rsidR="00755C79" w:rsidRPr="00755C79" w:rsidRDefault="009C0B67">
      <w:pPr>
        <w:pStyle w:val="TM2"/>
        <w:tabs>
          <w:tab w:val="left" w:pos="880"/>
        </w:tabs>
        <w:rPr>
          <w:rFonts w:ascii="AvenirNext LT Pro LightCn" w:eastAsiaTheme="minorEastAsia" w:hAnsi="AvenirNext LT Pro LightCn" w:cstheme="minorBidi"/>
          <w:noProof/>
          <w:sz w:val="20"/>
          <w:szCs w:val="20"/>
          <w:lang w:eastAsia="fr-FR"/>
        </w:rPr>
      </w:pPr>
      <w:hyperlink w:anchor="_Toc135996199" w:history="1">
        <w:r w:rsidR="00755C79" w:rsidRPr="00755C79">
          <w:rPr>
            <w:rStyle w:val="Lienhypertexte"/>
            <w:rFonts w:ascii="AvenirNext LT Pro LightCn" w:hAnsi="AvenirNext LT Pro LightCn"/>
            <w:b/>
            <w:noProof/>
            <w:sz w:val="20"/>
            <w:szCs w:val="20"/>
          </w:rPr>
          <w:t>11.3.</w:t>
        </w:r>
        <w:r w:rsidR="00755C79" w:rsidRPr="00755C79">
          <w:rPr>
            <w:rFonts w:ascii="AvenirNext LT Pro LightCn" w:eastAsiaTheme="minorEastAsia" w:hAnsi="AvenirNext LT Pro LightCn" w:cstheme="minorBidi"/>
            <w:noProof/>
            <w:sz w:val="20"/>
            <w:szCs w:val="20"/>
            <w:lang w:eastAsia="fr-FR"/>
          </w:rPr>
          <w:tab/>
        </w:r>
        <w:r w:rsidR="00755C79" w:rsidRPr="00755C79">
          <w:rPr>
            <w:rStyle w:val="Lienhypertexte"/>
            <w:rFonts w:ascii="AvenirNext LT Pro LightCn" w:hAnsi="AvenirNext LT Pro LightCn"/>
            <w:noProof/>
            <w:sz w:val="20"/>
            <w:szCs w:val="20"/>
          </w:rPr>
          <w:t>Maintenance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_Toc135996199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19</w:t>
        </w:r>
        <w:r w:rsidR="00755C79" w:rsidRPr="00755C79">
          <w:rPr>
            <w:rFonts w:ascii="AvenirNext LT Pro LightCn" w:hAnsi="AvenirNext LT Pro LightCn"/>
            <w:noProof/>
            <w:webHidden/>
            <w:sz w:val="20"/>
            <w:szCs w:val="20"/>
          </w:rPr>
          <w:fldChar w:fldCharType="end"/>
        </w:r>
      </w:hyperlink>
    </w:p>
    <w:p w14:paraId="79F2091D" w14:textId="6F6FCF29" w:rsidR="00755C79" w:rsidRPr="00755C79" w:rsidRDefault="009C0B67">
      <w:pPr>
        <w:pStyle w:val="TM1"/>
        <w:tabs>
          <w:tab w:val="left" w:pos="660"/>
          <w:tab w:val="right" w:leader="dot" w:pos="9054"/>
        </w:tabs>
        <w:rPr>
          <w:rFonts w:ascii="AvenirNext LT Pro LightCn" w:eastAsiaTheme="minorEastAsia" w:hAnsi="AvenirNext LT Pro LightCn"/>
          <w:noProof/>
          <w:sz w:val="20"/>
          <w:szCs w:val="20"/>
          <w:lang w:eastAsia="fr-FR"/>
        </w:rPr>
      </w:pPr>
      <w:hyperlink w:anchor="_Toc135996200" w:history="1">
        <w:r w:rsidR="00755C79" w:rsidRPr="00755C79">
          <w:rPr>
            <w:rStyle w:val="Lienhypertexte"/>
            <w:rFonts w:ascii="AvenirNext LT Pro LightCn" w:hAnsi="AvenirNext LT Pro LightCn"/>
            <w:b/>
            <w:noProof/>
            <w:sz w:val="20"/>
            <w:szCs w:val="20"/>
          </w:rPr>
          <w:t>12.</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ASSURANCE</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_Toc135996200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19</w:t>
        </w:r>
        <w:r w:rsidR="00755C79" w:rsidRPr="00755C79">
          <w:rPr>
            <w:rFonts w:ascii="AvenirNext LT Pro LightCn" w:hAnsi="AvenirNext LT Pro LightCn"/>
            <w:noProof/>
            <w:webHidden/>
            <w:sz w:val="20"/>
            <w:szCs w:val="20"/>
          </w:rPr>
          <w:fldChar w:fldCharType="end"/>
        </w:r>
      </w:hyperlink>
    </w:p>
    <w:p w14:paraId="555497BE" w14:textId="40D26EDA" w:rsidR="00755C79" w:rsidRPr="00755C79" w:rsidRDefault="009C0B67">
      <w:pPr>
        <w:pStyle w:val="TM1"/>
        <w:tabs>
          <w:tab w:val="left" w:pos="660"/>
          <w:tab w:val="right" w:leader="dot" w:pos="9054"/>
        </w:tabs>
        <w:rPr>
          <w:rFonts w:ascii="AvenirNext LT Pro LightCn" w:eastAsiaTheme="minorEastAsia" w:hAnsi="AvenirNext LT Pro LightCn"/>
          <w:noProof/>
          <w:sz w:val="20"/>
          <w:szCs w:val="20"/>
          <w:lang w:eastAsia="fr-FR"/>
        </w:rPr>
      </w:pPr>
      <w:hyperlink w:anchor="_Toc135996201" w:history="1">
        <w:r w:rsidR="00755C79" w:rsidRPr="00755C79">
          <w:rPr>
            <w:rStyle w:val="Lienhypertexte"/>
            <w:rFonts w:ascii="AvenirNext LT Pro LightCn" w:hAnsi="AvenirNext LT Pro LightCn"/>
            <w:b/>
            <w:i/>
            <w:iCs/>
            <w:noProof/>
            <w:sz w:val="20"/>
            <w:szCs w:val="20"/>
          </w:rPr>
          <w:t>13.</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LITIGES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_Toc135996201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19</w:t>
        </w:r>
        <w:r w:rsidR="00755C79" w:rsidRPr="00755C79">
          <w:rPr>
            <w:rFonts w:ascii="AvenirNext LT Pro LightCn" w:hAnsi="AvenirNext LT Pro LightCn"/>
            <w:noProof/>
            <w:webHidden/>
            <w:sz w:val="20"/>
            <w:szCs w:val="20"/>
          </w:rPr>
          <w:fldChar w:fldCharType="end"/>
        </w:r>
      </w:hyperlink>
    </w:p>
    <w:p w14:paraId="294E37C1" w14:textId="0D56CA5F" w:rsidR="00755C79" w:rsidRPr="00755C79" w:rsidRDefault="009C0B67">
      <w:pPr>
        <w:pStyle w:val="TM1"/>
        <w:tabs>
          <w:tab w:val="left" w:pos="660"/>
          <w:tab w:val="right" w:leader="dot" w:pos="9054"/>
        </w:tabs>
        <w:rPr>
          <w:rFonts w:ascii="AvenirNext LT Pro LightCn" w:eastAsiaTheme="minorEastAsia" w:hAnsi="AvenirNext LT Pro LightCn"/>
          <w:noProof/>
          <w:sz w:val="20"/>
          <w:szCs w:val="20"/>
          <w:lang w:eastAsia="fr-FR"/>
        </w:rPr>
      </w:pPr>
      <w:hyperlink w:anchor="_Toc135996202" w:history="1">
        <w:r w:rsidR="00755C79" w:rsidRPr="00755C79">
          <w:rPr>
            <w:rStyle w:val="Lienhypertexte"/>
            <w:rFonts w:ascii="AvenirNext LT Pro LightCn" w:hAnsi="AvenirNext LT Pro LightCn"/>
            <w:b/>
            <w:i/>
            <w:iCs/>
            <w:noProof/>
            <w:sz w:val="20"/>
            <w:szCs w:val="20"/>
          </w:rPr>
          <w:t>14.</w:t>
        </w:r>
        <w:r w:rsidR="00755C79" w:rsidRPr="00755C79">
          <w:rPr>
            <w:rFonts w:ascii="AvenirNext LT Pro LightCn" w:eastAsiaTheme="minorEastAsia" w:hAnsi="AvenirNext LT Pro LightCn"/>
            <w:noProof/>
            <w:sz w:val="20"/>
            <w:szCs w:val="20"/>
            <w:lang w:eastAsia="fr-FR"/>
          </w:rPr>
          <w:tab/>
        </w:r>
        <w:r w:rsidR="00755C79" w:rsidRPr="00755C79">
          <w:rPr>
            <w:rStyle w:val="Lienhypertexte"/>
            <w:rFonts w:ascii="AvenirNext LT Pro LightCn" w:hAnsi="AvenirNext LT Pro LightCn"/>
            <w:noProof/>
            <w:sz w:val="20"/>
            <w:szCs w:val="20"/>
          </w:rPr>
          <w:t>DEROGATIONS AU CCAG-FCS</w:t>
        </w:r>
        <w:r w:rsidR="00755C79" w:rsidRPr="00755C79">
          <w:rPr>
            <w:rFonts w:ascii="AvenirNext LT Pro LightCn" w:hAnsi="AvenirNext LT Pro LightCn"/>
            <w:noProof/>
            <w:webHidden/>
            <w:sz w:val="20"/>
            <w:szCs w:val="20"/>
          </w:rPr>
          <w:tab/>
        </w:r>
        <w:r w:rsidR="00755C79" w:rsidRPr="00755C79">
          <w:rPr>
            <w:rFonts w:ascii="AvenirNext LT Pro LightCn" w:hAnsi="AvenirNext LT Pro LightCn"/>
            <w:noProof/>
            <w:webHidden/>
            <w:sz w:val="20"/>
            <w:szCs w:val="20"/>
          </w:rPr>
          <w:fldChar w:fldCharType="begin"/>
        </w:r>
        <w:r w:rsidR="00755C79" w:rsidRPr="00755C79">
          <w:rPr>
            <w:rFonts w:ascii="AvenirNext LT Pro LightCn" w:hAnsi="AvenirNext LT Pro LightCn"/>
            <w:noProof/>
            <w:webHidden/>
            <w:sz w:val="20"/>
            <w:szCs w:val="20"/>
          </w:rPr>
          <w:instrText xml:space="preserve"> PAGEREF _Toc135996202 \h </w:instrText>
        </w:r>
        <w:r w:rsidR="00755C79" w:rsidRPr="00755C79">
          <w:rPr>
            <w:rFonts w:ascii="AvenirNext LT Pro LightCn" w:hAnsi="AvenirNext LT Pro LightCn"/>
            <w:noProof/>
            <w:webHidden/>
            <w:sz w:val="20"/>
            <w:szCs w:val="20"/>
          </w:rPr>
        </w:r>
        <w:r w:rsidR="00755C79" w:rsidRPr="00755C79">
          <w:rPr>
            <w:rFonts w:ascii="AvenirNext LT Pro LightCn" w:hAnsi="AvenirNext LT Pro LightCn"/>
            <w:noProof/>
            <w:webHidden/>
            <w:sz w:val="20"/>
            <w:szCs w:val="20"/>
          </w:rPr>
          <w:fldChar w:fldCharType="separate"/>
        </w:r>
        <w:r w:rsidR="00C367B6">
          <w:rPr>
            <w:rFonts w:ascii="AvenirNext LT Pro LightCn" w:hAnsi="AvenirNext LT Pro LightCn"/>
            <w:noProof/>
            <w:webHidden/>
            <w:sz w:val="20"/>
            <w:szCs w:val="20"/>
          </w:rPr>
          <w:t>19</w:t>
        </w:r>
        <w:r w:rsidR="00755C79" w:rsidRPr="00755C79">
          <w:rPr>
            <w:rFonts w:ascii="AvenirNext LT Pro LightCn" w:hAnsi="AvenirNext LT Pro LightCn"/>
            <w:noProof/>
            <w:webHidden/>
            <w:sz w:val="20"/>
            <w:szCs w:val="20"/>
          </w:rPr>
          <w:fldChar w:fldCharType="end"/>
        </w:r>
      </w:hyperlink>
    </w:p>
    <w:p w14:paraId="6F4FF33D" w14:textId="2C5518D4" w:rsidR="00B3398C" w:rsidRPr="00755C79" w:rsidRDefault="00B3398C" w:rsidP="00BE0EAA">
      <w:pPr>
        <w:widowControl w:val="0"/>
        <w:autoSpaceDE w:val="0"/>
        <w:autoSpaceDN w:val="0"/>
        <w:adjustRightInd w:val="0"/>
        <w:spacing w:before="14"/>
        <w:rPr>
          <w:rFonts w:ascii="AvenirNext LT Pro LightCn" w:hAnsi="AvenirNext LT Pro LightCn" w:cs="Arial"/>
          <w:bCs/>
          <w:sz w:val="20"/>
          <w:szCs w:val="20"/>
        </w:rPr>
      </w:pPr>
      <w:r w:rsidRPr="00755C79">
        <w:rPr>
          <w:rFonts w:ascii="AvenirNext LT Pro LightCn" w:hAnsi="AvenirNext LT Pro LightCn" w:cs="Arial"/>
          <w:bCs/>
          <w:sz w:val="20"/>
          <w:szCs w:val="20"/>
        </w:rPr>
        <w:fldChar w:fldCharType="end"/>
      </w:r>
    </w:p>
    <w:p w14:paraId="693369DD" w14:textId="77777777" w:rsidR="00B3398C" w:rsidRPr="00BC2BFF" w:rsidRDefault="000222BE" w:rsidP="000222BE">
      <w:pPr>
        <w:widowControl w:val="0"/>
        <w:tabs>
          <w:tab w:val="left" w:pos="5100"/>
        </w:tabs>
        <w:autoSpaceDE w:val="0"/>
        <w:autoSpaceDN w:val="0"/>
        <w:adjustRightInd w:val="0"/>
        <w:spacing w:before="14" w:line="240" w:lineRule="exact"/>
        <w:rPr>
          <w:rFonts w:cs="Arial"/>
          <w:b/>
          <w:bCs/>
        </w:rPr>
      </w:pPr>
      <w:r w:rsidRPr="00BC2BFF">
        <w:rPr>
          <w:rFonts w:cs="Arial"/>
          <w:b/>
          <w:bCs/>
        </w:rPr>
        <w:tab/>
      </w:r>
    </w:p>
    <w:p w14:paraId="74713A0B" w14:textId="77777777" w:rsidR="00B3398C" w:rsidRPr="00BC2BFF" w:rsidRDefault="000222BE" w:rsidP="00F73FDA">
      <w:pPr>
        <w:widowControl w:val="0"/>
        <w:tabs>
          <w:tab w:val="left" w:pos="5100"/>
          <w:tab w:val="left" w:pos="6675"/>
        </w:tabs>
        <w:autoSpaceDE w:val="0"/>
        <w:autoSpaceDN w:val="0"/>
        <w:adjustRightInd w:val="0"/>
        <w:rPr>
          <w:rFonts w:cs="Arial"/>
          <w:sz w:val="20"/>
          <w:szCs w:val="20"/>
        </w:rPr>
        <w:sectPr w:rsidR="00B3398C" w:rsidRPr="00BC2BFF" w:rsidSect="00042D7D">
          <w:footerReference w:type="even" r:id="rId9"/>
          <w:footerReference w:type="default" r:id="rId10"/>
          <w:pgSz w:w="11900" w:h="16840"/>
          <w:pgMar w:top="568" w:right="1418" w:bottom="1418" w:left="1418" w:header="720" w:footer="720" w:gutter="0"/>
          <w:cols w:space="720"/>
          <w:noEndnote/>
          <w:titlePg/>
        </w:sectPr>
      </w:pPr>
      <w:r w:rsidRPr="00BC2BFF">
        <w:rPr>
          <w:rFonts w:cs="Arial"/>
          <w:sz w:val="20"/>
          <w:szCs w:val="20"/>
        </w:rPr>
        <w:tab/>
      </w:r>
      <w:r w:rsidR="00F73FDA" w:rsidRPr="00BC2BFF">
        <w:rPr>
          <w:rFonts w:cs="Arial"/>
          <w:sz w:val="20"/>
          <w:szCs w:val="20"/>
        </w:rPr>
        <w:tab/>
      </w:r>
    </w:p>
    <w:p w14:paraId="36CCB461" w14:textId="77777777" w:rsidR="00B3398C" w:rsidRPr="00BC2BFF" w:rsidRDefault="00B3398C" w:rsidP="008630D8">
      <w:pPr>
        <w:pStyle w:val="Titre1"/>
        <w:rPr>
          <w:rFonts w:ascii="AvenirNext LT Pro Cn" w:hAnsi="AvenirNext LT Pro Cn"/>
          <w:i/>
          <w:iCs/>
        </w:rPr>
      </w:pPr>
      <w:bookmarkStart w:id="0" w:name="_Toc135996137"/>
      <w:r w:rsidRPr="00BC2BFF">
        <w:rPr>
          <w:rFonts w:ascii="AvenirNext LT Pro Cn" w:hAnsi="AvenirNext LT Pro Cn"/>
        </w:rPr>
        <w:lastRenderedPageBreak/>
        <w:t>OBJET</w:t>
      </w:r>
      <w:r w:rsidR="00042D7D" w:rsidRPr="00BC2BFF">
        <w:rPr>
          <w:rFonts w:ascii="AvenirNext LT Pro Cn" w:hAnsi="AvenirNext LT Pro Cn"/>
        </w:rPr>
        <w:t xml:space="preserve"> ET FORME DU MARCHE</w:t>
      </w:r>
      <w:bookmarkEnd w:id="0"/>
    </w:p>
    <w:p w14:paraId="7594BB7D" w14:textId="77777777" w:rsidR="00042D7D" w:rsidRPr="00BC2BFF" w:rsidRDefault="00042D7D" w:rsidP="009D115A">
      <w:pPr>
        <w:pStyle w:val="Titre2"/>
        <w:numPr>
          <w:ilvl w:val="0"/>
          <w:numId w:val="0"/>
        </w:numPr>
        <w:ind w:left="360"/>
        <w:rPr>
          <w:sz w:val="20"/>
          <w:szCs w:val="20"/>
        </w:rPr>
      </w:pPr>
      <w:bookmarkStart w:id="1" w:name="_Toc41990834"/>
      <w:bookmarkStart w:id="2" w:name="_Toc135996138"/>
      <w:r w:rsidRPr="00BC2BFF">
        <w:t>1.1 - Objet du marché</w:t>
      </w:r>
      <w:bookmarkEnd w:id="1"/>
      <w:bookmarkEnd w:id="2"/>
    </w:p>
    <w:p w14:paraId="6792C7C8" w14:textId="3DB2D4BB" w:rsidR="00085B75" w:rsidRDefault="00042D7D" w:rsidP="00042D7D">
      <w:r w:rsidRPr="00BC2BFF">
        <w:t>Le présent marché a pour objet</w:t>
      </w:r>
      <w:r w:rsidR="0096254D">
        <w:t> </w:t>
      </w:r>
      <w:r w:rsidR="00400529">
        <w:t>l’a</w:t>
      </w:r>
      <w:r w:rsidR="00085B75">
        <w:t xml:space="preserve">chat d’un </w:t>
      </w:r>
      <w:r w:rsidR="00E15A9B">
        <w:t>appareil</w:t>
      </w:r>
      <w:r w:rsidR="00085B75" w:rsidRPr="00085B75">
        <w:t xml:space="preserve"> à tomographie par cohérence optique</w:t>
      </w:r>
      <w:r w:rsidR="00085B75">
        <w:t xml:space="preserve"> (TCO)</w:t>
      </w:r>
      <w:r w:rsidR="00B50E28">
        <w:t xml:space="preserve"> : </w:t>
      </w:r>
    </w:p>
    <w:p w14:paraId="76849228" w14:textId="77777777" w:rsidR="00B50E28" w:rsidRDefault="00B50E28" w:rsidP="00B50E28">
      <w:pPr>
        <w:pStyle w:val="Paragraphedeliste"/>
        <w:numPr>
          <w:ilvl w:val="0"/>
          <w:numId w:val="20"/>
        </w:numPr>
        <w:spacing w:before="40" w:after="0"/>
      </w:pPr>
      <w:r>
        <w:t>L’</w:t>
      </w:r>
      <w:r w:rsidRPr="00BC2BFF">
        <w:t>acquisition</w:t>
      </w:r>
      <w:r>
        <w:t xml:space="preserve"> de l’équipement</w:t>
      </w:r>
    </w:p>
    <w:p w14:paraId="56E808BC" w14:textId="77777777" w:rsidR="00B50E28" w:rsidRDefault="00B50E28" w:rsidP="00B50E28">
      <w:pPr>
        <w:pStyle w:val="Paragraphedeliste"/>
        <w:numPr>
          <w:ilvl w:val="0"/>
          <w:numId w:val="20"/>
        </w:numPr>
        <w:spacing w:before="40" w:after="0"/>
      </w:pPr>
      <w:r>
        <w:t>L</w:t>
      </w:r>
      <w:r w:rsidRPr="00BC2BFF">
        <w:t>a livraison</w:t>
      </w:r>
      <w:r>
        <w:t xml:space="preserve"> assurée par le titulaire dans les conditions de l’article 3.7 du présent marché</w:t>
      </w:r>
    </w:p>
    <w:p w14:paraId="1EA3E60C" w14:textId="77777777" w:rsidR="00B50E28" w:rsidRDefault="00B50E28" w:rsidP="00B50E28">
      <w:pPr>
        <w:pStyle w:val="Paragraphedeliste"/>
        <w:numPr>
          <w:ilvl w:val="0"/>
          <w:numId w:val="20"/>
        </w:numPr>
        <w:spacing w:before="40" w:after="0"/>
      </w:pPr>
      <w:r>
        <w:t>L</w:t>
      </w:r>
      <w:r w:rsidRPr="00BC2BFF">
        <w:t>’installation</w:t>
      </w:r>
      <w:r>
        <w:t xml:space="preserve"> et </w:t>
      </w:r>
      <w:r w:rsidRPr="00BC2BFF">
        <w:t>la mise en service</w:t>
      </w:r>
      <w:r>
        <w:t xml:space="preserve"> assurées par le titulaire</w:t>
      </w:r>
    </w:p>
    <w:p w14:paraId="10BD145B" w14:textId="5E6EEC0F" w:rsidR="00B50E28" w:rsidRDefault="00B50E28" w:rsidP="00B50E28">
      <w:pPr>
        <w:pStyle w:val="Paragraphedeliste"/>
        <w:numPr>
          <w:ilvl w:val="0"/>
          <w:numId w:val="20"/>
        </w:numPr>
        <w:spacing w:before="40" w:after="0"/>
      </w:pPr>
      <w:r>
        <w:t xml:space="preserve">La garantie contractuelle et </w:t>
      </w:r>
      <w:r w:rsidR="00400529">
        <w:t xml:space="preserve">le </w:t>
      </w:r>
      <w:r>
        <w:t>support associé</w:t>
      </w:r>
    </w:p>
    <w:p w14:paraId="40C2B12A" w14:textId="6062DE81" w:rsidR="00B50E28" w:rsidRDefault="00B50E28" w:rsidP="00B50E28">
      <w:pPr>
        <w:pStyle w:val="Paragraphedeliste"/>
        <w:numPr>
          <w:ilvl w:val="0"/>
          <w:numId w:val="20"/>
        </w:numPr>
        <w:spacing w:before="40" w:after="0"/>
      </w:pPr>
      <w:r>
        <w:t>La prestation de formation initiale (au pilotage)</w:t>
      </w:r>
      <w:r w:rsidR="00400529">
        <w:t>.</w:t>
      </w:r>
    </w:p>
    <w:p w14:paraId="75E8FC1B" w14:textId="624834D3" w:rsidR="00731D4D" w:rsidRPr="00B769AA" w:rsidRDefault="00AD1B16" w:rsidP="00042D7D">
      <w:r w:rsidRPr="00B769AA">
        <w:t xml:space="preserve">L’équipement scientifique faisant l'objet du présent marché s'insère dans </w:t>
      </w:r>
      <w:r w:rsidR="00B769AA">
        <w:t xml:space="preserve">le </w:t>
      </w:r>
      <w:r w:rsidRPr="00B769AA">
        <w:t>projet de recherche</w:t>
      </w:r>
      <w:r w:rsidR="00B769AA">
        <w:t xml:space="preserve"> </w:t>
      </w:r>
      <w:proofErr w:type="spellStart"/>
      <w:r w:rsidR="00B769AA">
        <w:t>mCPU</w:t>
      </w:r>
      <w:proofErr w:type="spellEnd"/>
      <w:r w:rsidRPr="00B769AA">
        <w:t xml:space="preserve"> financé </w:t>
      </w:r>
      <w:r w:rsidR="00B769AA">
        <w:t>par le programme E</w:t>
      </w:r>
      <w:r w:rsidR="00B769AA" w:rsidRPr="00B769AA">
        <w:t>XPLOR’AE</w:t>
      </w:r>
      <w:r w:rsidR="000870A9">
        <w:t xml:space="preserve">, un financement complémentaire sera apporté par le CPER OPERA. </w:t>
      </w:r>
    </w:p>
    <w:p w14:paraId="030FB42F" w14:textId="77777777" w:rsidR="00042D7D" w:rsidRPr="00BC2BFF" w:rsidRDefault="00042D7D" w:rsidP="009D115A">
      <w:pPr>
        <w:pStyle w:val="Titre2"/>
        <w:numPr>
          <w:ilvl w:val="0"/>
          <w:numId w:val="0"/>
        </w:numPr>
        <w:ind w:left="142"/>
      </w:pPr>
      <w:bookmarkStart w:id="3" w:name="_Toc34900470"/>
      <w:bookmarkStart w:id="4" w:name="_Toc41990835"/>
      <w:bookmarkStart w:id="5" w:name="_Toc135996139"/>
      <w:r w:rsidRPr="00BC2BFF">
        <w:t>1.2. – Décomposition en lots/Tranches/Options/Prestations Supplémentaires Eventuelles</w:t>
      </w:r>
      <w:bookmarkEnd w:id="3"/>
      <w:r w:rsidRPr="00BC2BFF">
        <w:t>/Variantes</w:t>
      </w:r>
      <w:bookmarkEnd w:id="4"/>
      <w:bookmarkEnd w:id="5"/>
    </w:p>
    <w:p w14:paraId="0C80143E" w14:textId="77777777" w:rsidR="00042D7D" w:rsidRPr="00BC2BFF" w:rsidRDefault="00042D7D" w:rsidP="00042D7D">
      <w:pPr>
        <w:keepNext/>
        <w:spacing w:before="240" w:after="60"/>
        <w:ind w:firstLine="1560"/>
        <w:outlineLvl w:val="1"/>
        <w:rPr>
          <w:rFonts w:cs="Arial"/>
          <w:i/>
          <w:iCs/>
          <w:color w:val="00A6A3"/>
        </w:rPr>
      </w:pPr>
      <w:bookmarkStart w:id="6" w:name="_Toc34900471"/>
      <w:bookmarkStart w:id="7" w:name="_Toc41990836"/>
      <w:bookmarkStart w:id="8" w:name="_Toc135996140"/>
      <w:r w:rsidRPr="00BC2BFF">
        <w:rPr>
          <w:rFonts w:cs="Arial"/>
          <w:i/>
          <w:iCs/>
          <w:color w:val="00A6A3"/>
        </w:rPr>
        <w:t>Article 1.2.1 – Décomposition en lots</w:t>
      </w:r>
      <w:bookmarkEnd w:id="6"/>
      <w:bookmarkEnd w:id="7"/>
      <w:bookmarkEnd w:id="8"/>
    </w:p>
    <w:p w14:paraId="2895459A" w14:textId="77777777" w:rsidR="00042D7D" w:rsidRDefault="00042D7D" w:rsidP="00042D7D">
      <w:pPr>
        <w:keepNext/>
        <w:spacing w:before="240" w:after="60"/>
        <w:outlineLvl w:val="1"/>
        <w:rPr>
          <w:rFonts w:cs="Arial"/>
          <w:iCs/>
        </w:rPr>
      </w:pPr>
      <w:bookmarkStart w:id="9" w:name="_Toc97131969"/>
      <w:bookmarkStart w:id="10" w:name="_Toc97644137"/>
      <w:bookmarkStart w:id="11" w:name="_Toc135996141"/>
      <w:bookmarkStart w:id="12" w:name="_Toc34900472"/>
      <w:bookmarkStart w:id="13" w:name="_Toc38967283"/>
      <w:bookmarkStart w:id="14" w:name="_Toc39657581"/>
      <w:bookmarkStart w:id="15" w:name="_Toc41990837"/>
      <w:bookmarkStart w:id="16" w:name="_Toc87260664"/>
      <w:bookmarkStart w:id="17" w:name="_Toc87279183"/>
      <w:bookmarkStart w:id="18" w:name="_Toc87369900"/>
      <w:bookmarkStart w:id="19" w:name="_Toc87870631"/>
      <w:bookmarkStart w:id="20" w:name="_Toc88213004"/>
      <w:bookmarkStart w:id="21" w:name="_Toc89357106"/>
      <w:bookmarkStart w:id="22" w:name="_Toc89686455"/>
      <w:r w:rsidRPr="00BC2BFF">
        <w:rPr>
          <w:rFonts w:cs="Arial"/>
          <w:iCs/>
        </w:rPr>
        <w:t>Les prestations sont dévolues en lot unique.</w:t>
      </w:r>
      <w:bookmarkEnd w:id="9"/>
      <w:bookmarkEnd w:id="10"/>
      <w:bookmarkEnd w:id="11"/>
      <w:r w:rsidRPr="00BC2BFF">
        <w:rPr>
          <w:rFonts w:cs="Arial"/>
          <w:iCs/>
        </w:rPr>
        <w:t xml:space="preserve"> </w:t>
      </w:r>
      <w:bookmarkEnd w:id="12"/>
      <w:bookmarkEnd w:id="13"/>
      <w:bookmarkEnd w:id="14"/>
      <w:bookmarkEnd w:id="15"/>
      <w:bookmarkEnd w:id="16"/>
      <w:bookmarkEnd w:id="17"/>
      <w:bookmarkEnd w:id="18"/>
      <w:bookmarkEnd w:id="19"/>
      <w:bookmarkEnd w:id="20"/>
      <w:bookmarkEnd w:id="21"/>
      <w:bookmarkEnd w:id="22"/>
    </w:p>
    <w:p w14:paraId="719F1A83" w14:textId="77777777" w:rsidR="00042D7D" w:rsidRPr="00BC2BFF" w:rsidRDefault="00042D7D" w:rsidP="00042D7D">
      <w:pPr>
        <w:keepNext/>
        <w:spacing w:before="240" w:after="60"/>
        <w:ind w:firstLine="1560"/>
        <w:outlineLvl w:val="1"/>
        <w:rPr>
          <w:rFonts w:cs="Arial"/>
          <w:i/>
          <w:iCs/>
          <w:color w:val="00A6A3"/>
        </w:rPr>
      </w:pPr>
      <w:bookmarkStart w:id="23" w:name="_Toc34900473"/>
      <w:bookmarkStart w:id="24" w:name="_Toc41990838"/>
      <w:bookmarkStart w:id="25" w:name="_Toc135996142"/>
      <w:r w:rsidRPr="00BC2BFF">
        <w:rPr>
          <w:rFonts w:cs="Arial"/>
          <w:i/>
          <w:iCs/>
          <w:color w:val="00A6A3"/>
        </w:rPr>
        <w:t>Article 1.2.2 – Décomposition en tranches</w:t>
      </w:r>
      <w:bookmarkEnd w:id="23"/>
      <w:bookmarkEnd w:id="24"/>
      <w:bookmarkEnd w:id="25"/>
    </w:p>
    <w:p w14:paraId="7FC90F5E" w14:textId="77777777" w:rsidR="00042D7D" w:rsidRPr="00BC2BFF" w:rsidRDefault="00042D7D" w:rsidP="00042D7D">
      <w:pPr>
        <w:keepNext/>
        <w:spacing w:before="240" w:after="60"/>
        <w:outlineLvl w:val="1"/>
        <w:rPr>
          <w:rFonts w:cs="Arial"/>
          <w:iCs/>
        </w:rPr>
      </w:pPr>
      <w:bookmarkStart w:id="26" w:name="_Toc34900474"/>
      <w:bookmarkStart w:id="27" w:name="_Toc38967285"/>
      <w:bookmarkStart w:id="28" w:name="_Toc39657583"/>
      <w:bookmarkStart w:id="29" w:name="_Toc41990839"/>
      <w:bookmarkStart w:id="30" w:name="_Toc87260666"/>
      <w:bookmarkStart w:id="31" w:name="_Toc87279185"/>
      <w:bookmarkStart w:id="32" w:name="_Toc87369902"/>
      <w:bookmarkStart w:id="33" w:name="_Toc88213006"/>
      <w:bookmarkStart w:id="34" w:name="_Toc89357108"/>
      <w:bookmarkStart w:id="35" w:name="_Toc89686457"/>
      <w:bookmarkStart w:id="36" w:name="_Toc97131971"/>
      <w:bookmarkStart w:id="37" w:name="_Toc97644139"/>
      <w:bookmarkStart w:id="38" w:name="_Toc135996143"/>
      <w:r w:rsidRPr="00BC2BFF">
        <w:rPr>
          <w:rFonts w:cs="Arial"/>
          <w:iCs/>
        </w:rPr>
        <w:t>Sans objet.</w:t>
      </w:r>
      <w:bookmarkEnd w:id="26"/>
      <w:bookmarkEnd w:id="27"/>
      <w:bookmarkEnd w:id="28"/>
      <w:bookmarkEnd w:id="29"/>
      <w:bookmarkEnd w:id="30"/>
      <w:bookmarkEnd w:id="31"/>
      <w:bookmarkEnd w:id="32"/>
      <w:bookmarkEnd w:id="33"/>
      <w:bookmarkEnd w:id="34"/>
      <w:bookmarkEnd w:id="35"/>
      <w:bookmarkEnd w:id="36"/>
      <w:bookmarkEnd w:id="37"/>
      <w:bookmarkEnd w:id="38"/>
    </w:p>
    <w:p w14:paraId="2888EBB3" w14:textId="77777777" w:rsidR="00042D7D" w:rsidRPr="00BC2BFF" w:rsidRDefault="00042D7D" w:rsidP="00042D7D">
      <w:pPr>
        <w:keepNext/>
        <w:spacing w:before="240" w:after="60"/>
        <w:ind w:firstLine="1560"/>
        <w:outlineLvl w:val="1"/>
        <w:rPr>
          <w:rFonts w:cs="Arial"/>
          <w:i/>
          <w:iCs/>
          <w:color w:val="00A6A3"/>
        </w:rPr>
      </w:pPr>
      <w:bookmarkStart w:id="39" w:name="_Toc34900475"/>
      <w:bookmarkStart w:id="40" w:name="_Toc41990840"/>
      <w:bookmarkStart w:id="41" w:name="_Toc135996144"/>
      <w:r w:rsidRPr="00BC2BFF">
        <w:rPr>
          <w:rFonts w:cs="Arial"/>
          <w:i/>
          <w:iCs/>
          <w:color w:val="00A6A3"/>
        </w:rPr>
        <w:t>Article 1.2.3 – Options</w:t>
      </w:r>
      <w:bookmarkEnd w:id="39"/>
      <w:bookmarkEnd w:id="40"/>
      <w:bookmarkEnd w:id="41"/>
    </w:p>
    <w:p w14:paraId="7ADB70D9" w14:textId="6D371D26" w:rsidR="0070058D" w:rsidRPr="00EE14EC" w:rsidRDefault="003F4F96" w:rsidP="00072C1C">
      <w:pPr>
        <w:pStyle w:val="Default"/>
        <w:spacing w:before="120" w:after="120"/>
        <w:jc w:val="both"/>
        <w:rPr>
          <w:rFonts w:ascii="AvenirNext LT Pro Cn" w:hAnsi="AvenirNext LT Pro Cn" w:cstheme="minorHAnsi"/>
        </w:rPr>
      </w:pPr>
      <w:bookmarkStart w:id="42" w:name="_Toc34900477"/>
      <w:bookmarkStart w:id="43" w:name="_Toc41990842"/>
      <w:r>
        <w:rPr>
          <w:rFonts w:ascii="AvenirNext LT Pro Cn" w:hAnsi="AvenirNext LT Pro Cn" w:cstheme="minorHAnsi"/>
        </w:rPr>
        <w:t>Sans objet</w:t>
      </w:r>
      <w:r w:rsidR="00591076">
        <w:rPr>
          <w:rFonts w:ascii="AvenirNext LT Pro Cn" w:hAnsi="AvenirNext LT Pro Cn" w:cstheme="minorHAnsi"/>
        </w:rPr>
        <w:t>.</w:t>
      </w:r>
      <w:r>
        <w:rPr>
          <w:rFonts w:ascii="AvenirNext LT Pro Cn" w:hAnsi="AvenirNext LT Pro Cn" w:cstheme="minorHAnsi"/>
        </w:rPr>
        <w:t xml:space="preserve"> </w:t>
      </w:r>
    </w:p>
    <w:p w14:paraId="4F853FC0" w14:textId="77777777" w:rsidR="00042D7D" w:rsidRPr="00BC2BFF" w:rsidRDefault="00042D7D" w:rsidP="00042D7D">
      <w:pPr>
        <w:keepNext/>
        <w:spacing w:before="240" w:after="60"/>
        <w:ind w:firstLine="1560"/>
        <w:outlineLvl w:val="1"/>
        <w:rPr>
          <w:rFonts w:cs="Arial"/>
          <w:i/>
          <w:iCs/>
          <w:color w:val="00A6A3"/>
        </w:rPr>
      </w:pPr>
      <w:bookmarkStart w:id="44" w:name="_Toc135996145"/>
      <w:r w:rsidRPr="00BC2BFF">
        <w:rPr>
          <w:rFonts w:cs="Arial"/>
          <w:i/>
          <w:iCs/>
          <w:color w:val="00A6A3"/>
        </w:rPr>
        <w:t>Article 1.2.4 – Prestations Supplémentaires Eventuelles (PSE)</w:t>
      </w:r>
      <w:bookmarkEnd w:id="42"/>
      <w:bookmarkEnd w:id="43"/>
      <w:bookmarkEnd w:id="44"/>
    </w:p>
    <w:p w14:paraId="0070A784" w14:textId="2583B16E" w:rsidR="007341C3" w:rsidRDefault="00042D7D" w:rsidP="001347E7">
      <w:pPr>
        <w:keepNext/>
        <w:spacing w:before="240" w:after="60"/>
        <w:outlineLvl w:val="1"/>
        <w:rPr>
          <w:rFonts w:cs="Arial"/>
          <w:iCs/>
        </w:rPr>
      </w:pPr>
      <w:bookmarkStart w:id="45" w:name="_Toc34900478"/>
      <w:bookmarkStart w:id="46" w:name="_Toc38967289"/>
      <w:bookmarkStart w:id="47" w:name="_Toc39657587"/>
      <w:bookmarkStart w:id="48" w:name="_Toc41990843"/>
      <w:bookmarkStart w:id="49" w:name="_Toc87260669"/>
      <w:bookmarkStart w:id="50" w:name="_Toc87279188"/>
      <w:bookmarkStart w:id="51" w:name="_Toc87369905"/>
      <w:bookmarkStart w:id="52" w:name="_Toc87870636"/>
      <w:bookmarkStart w:id="53" w:name="_Toc88213009"/>
      <w:bookmarkStart w:id="54" w:name="_Toc89357111"/>
      <w:bookmarkStart w:id="55" w:name="_Toc89686460"/>
      <w:bookmarkStart w:id="56" w:name="_Toc97131974"/>
      <w:bookmarkStart w:id="57" w:name="_Toc97644142"/>
      <w:bookmarkStart w:id="58" w:name="_Toc135996146"/>
      <w:r w:rsidRPr="00BC2BFF">
        <w:rPr>
          <w:rFonts w:cs="Arial"/>
          <w:iCs/>
        </w:rPr>
        <w:t>Le dossier ne contient pas de Prestations Supplémentaires Eventuelles en rapport direct avec l’objet du marché, qu’elles soient obligatoires ou facultatives.</w:t>
      </w:r>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BC2BFF">
        <w:rPr>
          <w:rFonts w:cs="Arial"/>
          <w:iCs/>
        </w:rPr>
        <w:t xml:space="preserve"> </w:t>
      </w:r>
    </w:p>
    <w:p w14:paraId="7CD723F4" w14:textId="77777777" w:rsidR="00042D7D" w:rsidRPr="00BC2BFF" w:rsidRDefault="00042D7D" w:rsidP="00042D7D">
      <w:pPr>
        <w:keepNext/>
        <w:spacing w:before="240" w:after="60"/>
        <w:ind w:firstLine="1560"/>
        <w:outlineLvl w:val="1"/>
        <w:rPr>
          <w:rFonts w:cs="Arial"/>
          <w:i/>
          <w:iCs/>
          <w:color w:val="00A6A3"/>
        </w:rPr>
      </w:pPr>
      <w:bookmarkStart w:id="59" w:name="_Toc34900479"/>
      <w:bookmarkStart w:id="60" w:name="_Toc41990844"/>
      <w:bookmarkStart w:id="61" w:name="_Toc135996147"/>
      <w:r w:rsidRPr="00BC2BFF">
        <w:rPr>
          <w:rFonts w:cs="Arial"/>
          <w:i/>
          <w:iCs/>
          <w:color w:val="00A6A3"/>
        </w:rPr>
        <w:t>Article 1.2.5 - Variantes</w:t>
      </w:r>
      <w:bookmarkEnd w:id="59"/>
      <w:bookmarkEnd w:id="60"/>
      <w:bookmarkEnd w:id="61"/>
    </w:p>
    <w:p w14:paraId="648B3FE6" w14:textId="77777777" w:rsidR="00042D7D" w:rsidRPr="00BC2BFF" w:rsidRDefault="00042D7D" w:rsidP="00042D7D">
      <w:pPr>
        <w:keepNext/>
        <w:spacing w:before="240" w:after="60"/>
        <w:outlineLvl w:val="1"/>
        <w:rPr>
          <w:rFonts w:cs="Arial"/>
          <w:iCs/>
        </w:rPr>
      </w:pPr>
      <w:bookmarkStart w:id="62" w:name="_Toc34900480"/>
      <w:bookmarkStart w:id="63" w:name="_Toc38967291"/>
      <w:bookmarkStart w:id="64" w:name="_Toc39657589"/>
      <w:bookmarkStart w:id="65" w:name="_Toc41990845"/>
      <w:bookmarkStart w:id="66" w:name="_Toc87260671"/>
      <w:bookmarkStart w:id="67" w:name="_Toc87279190"/>
      <w:bookmarkStart w:id="68" w:name="_Toc87369907"/>
      <w:bookmarkStart w:id="69" w:name="_Toc87870638"/>
      <w:bookmarkStart w:id="70" w:name="_Toc88213011"/>
      <w:bookmarkStart w:id="71" w:name="_Toc89357113"/>
      <w:bookmarkStart w:id="72" w:name="_Toc89686462"/>
      <w:bookmarkStart w:id="73" w:name="_Toc97131976"/>
      <w:bookmarkStart w:id="74" w:name="_Toc97644144"/>
      <w:bookmarkStart w:id="75" w:name="_Toc135996148"/>
      <w:r w:rsidRPr="00BC2BFF">
        <w:rPr>
          <w:rFonts w:cs="Arial"/>
          <w:iCs/>
        </w:rPr>
        <w:t>Les variantes ne sont pas autorisées. Les soumissionnaires doivent obligatoirement présenter une offre entièrement conforme au dossier de consultation.</w:t>
      </w:r>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0EACA15" w14:textId="77777777" w:rsidR="00042D7D" w:rsidRPr="00BC2BFF" w:rsidRDefault="00042D7D" w:rsidP="009D115A">
      <w:pPr>
        <w:pStyle w:val="Titre2"/>
        <w:numPr>
          <w:ilvl w:val="0"/>
          <w:numId w:val="0"/>
        </w:numPr>
        <w:ind w:left="142"/>
      </w:pPr>
      <w:bookmarkStart w:id="76" w:name="_Toc41990846"/>
      <w:bookmarkStart w:id="77" w:name="_Toc135996149"/>
      <w:bookmarkStart w:id="78" w:name="_Toc34900481"/>
      <w:r w:rsidRPr="00BC2BFF">
        <w:t>1.3. – Forme</w:t>
      </w:r>
      <w:bookmarkEnd w:id="76"/>
      <w:bookmarkEnd w:id="77"/>
      <w:r w:rsidRPr="00BC2BFF">
        <w:t xml:space="preserve"> </w:t>
      </w:r>
      <w:bookmarkEnd w:id="78"/>
    </w:p>
    <w:p w14:paraId="7A577E76" w14:textId="267B17C3" w:rsidR="00072C1C" w:rsidRDefault="00D74584" w:rsidP="00072C1C">
      <w:r>
        <w:t>Le marché est un marché ordinaire.</w:t>
      </w:r>
    </w:p>
    <w:p w14:paraId="099B785F" w14:textId="77777777" w:rsidR="00042D7D" w:rsidRPr="00BC2BFF" w:rsidRDefault="00042D7D" w:rsidP="009D115A">
      <w:pPr>
        <w:pStyle w:val="Titre2"/>
        <w:numPr>
          <w:ilvl w:val="0"/>
          <w:numId w:val="0"/>
        </w:numPr>
        <w:ind w:left="142"/>
      </w:pPr>
      <w:bookmarkStart w:id="79" w:name="_Toc532666543"/>
      <w:bookmarkStart w:id="80" w:name="_Toc34900482"/>
      <w:bookmarkStart w:id="81" w:name="_Toc41990847"/>
      <w:bookmarkStart w:id="82" w:name="_Toc135996150"/>
      <w:r w:rsidRPr="00BC2BFF">
        <w:t xml:space="preserve">1.4. – </w:t>
      </w:r>
      <w:bookmarkEnd w:id="79"/>
      <w:bookmarkEnd w:id="80"/>
      <w:bookmarkEnd w:id="81"/>
      <w:r w:rsidR="00E87CDD">
        <w:t>Modifications du marché</w:t>
      </w:r>
      <w:bookmarkEnd w:id="82"/>
    </w:p>
    <w:p w14:paraId="2C657F99" w14:textId="77777777" w:rsidR="00042D7D" w:rsidRDefault="00042D7D" w:rsidP="00042D7D">
      <w:pPr>
        <w:rPr>
          <w:rFonts w:cs="Arial"/>
        </w:rPr>
      </w:pPr>
      <w:r w:rsidRPr="00BC2BFF">
        <w:rPr>
          <w:rFonts w:cs="Arial"/>
        </w:rPr>
        <w:t xml:space="preserve">Le marché prévoit que le contrat puisse être modifié, conformément aux articles R2194-1 à R2194-9 du </w:t>
      </w:r>
      <w:r w:rsidR="00065251">
        <w:rPr>
          <w:rFonts w:cs="Arial"/>
        </w:rPr>
        <w:t>c</w:t>
      </w:r>
      <w:r w:rsidRPr="00BC2BFF">
        <w:rPr>
          <w:rFonts w:cs="Arial"/>
        </w:rPr>
        <w:t>ode de la commande publique.</w:t>
      </w:r>
    </w:p>
    <w:p w14:paraId="08B0E5ED" w14:textId="77777777" w:rsidR="00B3398C" w:rsidRPr="00BC2BFF" w:rsidRDefault="00B3398C" w:rsidP="003F4F96">
      <w:pPr>
        <w:pStyle w:val="Titre1"/>
        <w:spacing w:before="360" w:after="240"/>
        <w:ind w:left="357" w:hanging="357"/>
        <w:rPr>
          <w:rFonts w:ascii="AvenirNext LT Pro Cn" w:hAnsi="AvenirNext LT Pro Cn"/>
          <w:i/>
          <w:iCs/>
        </w:rPr>
      </w:pPr>
      <w:bookmarkStart w:id="83" w:name="_Toc135996151"/>
      <w:r w:rsidRPr="00BC2BFF">
        <w:rPr>
          <w:rFonts w:ascii="AvenirNext LT Pro Cn" w:hAnsi="AvenirNext LT Pro Cn"/>
        </w:rPr>
        <w:lastRenderedPageBreak/>
        <w:t>PIÈCES CONTRACTUELLES DU MARCHÉ</w:t>
      </w:r>
      <w:bookmarkEnd w:id="83"/>
    </w:p>
    <w:p w14:paraId="057160B6" w14:textId="77777777" w:rsidR="00042D7D" w:rsidRPr="00BC2BFF" w:rsidRDefault="00042D7D" w:rsidP="00042D7D">
      <w:pPr>
        <w:rPr>
          <w:sz w:val="20"/>
          <w:szCs w:val="20"/>
        </w:rPr>
      </w:pPr>
      <w:r w:rsidRPr="00BC2BFF">
        <w:t xml:space="preserve">Par dérogation à l’article </w:t>
      </w:r>
      <w:r w:rsidRPr="00FF727D">
        <w:t>4.1 du CCAG-FCS, les</w:t>
      </w:r>
      <w:r w:rsidRPr="00BC2BFF">
        <w:t xml:space="preserve"> pièces constitutives du présent marché sont les suivantes, par ordre décroissant de priorité :</w:t>
      </w:r>
    </w:p>
    <w:p w14:paraId="6997CEA7" w14:textId="77777777" w:rsidR="00042D7D" w:rsidRPr="00BC2BFF" w:rsidRDefault="00042D7D" w:rsidP="009D115A">
      <w:pPr>
        <w:pStyle w:val="Titre2"/>
        <w:numPr>
          <w:ilvl w:val="0"/>
          <w:numId w:val="0"/>
        </w:numPr>
      </w:pPr>
      <w:bookmarkStart w:id="84" w:name="_Toc41990851"/>
      <w:bookmarkStart w:id="85" w:name="_Toc135996152"/>
      <w:r w:rsidRPr="00BC2BFF">
        <w:t>2.1 – Pièces particulières</w:t>
      </w:r>
      <w:bookmarkEnd w:id="84"/>
      <w:bookmarkEnd w:id="85"/>
    </w:p>
    <w:p w14:paraId="7FDFC0C5" w14:textId="77777777" w:rsidR="00042D7D" w:rsidRPr="00BC2BFF" w:rsidRDefault="00072C1C" w:rsidP="00626EDC">
      <w:pPr>
        <w:pStyle w:val="Paragraphedeliste"/>
        <w:numPr>
          <w:ilvl w:val="0"/>
          <w:numId w:val="3"/>
        </w:numPr>
        <w:autoSpaceDE w:val="0"/>
        <w:autoSpaceDN w:val="0"/>
        <w:adjustRightInd w:val="0"/>
        <w:spacing w:before="0" w:after="0"/>
        <w:rPr>
          <w:rFonts w:eastAsia="Times New Roman" w:cs="Times-Roman"/>
          <w:color w:val="2C2A2A"/>
          <w:lang w:eastAsia="fr-FR"/>
        </w:rPr>
      </w:pPr>
      <w:r w:rsidRPr="00BC2BFF">
        <w:t xml:space="preserve">Le présent </w:t>
      </w:r>
      <w:r w:rsidR="00065251">
        <w:t>a</w:t>
      </w:r>
      <w:r w:rsidRPr="00BC2BFF">
        <w:t>cte d’</w:t>
      </w:r>
      <w:r w:rsidR="00065251">
        <w:t>e</w:t>
      </w:r>
      <w:r w:rsidRPr="00BC2BFF">
        <w:t xml:space="preserve">ngagement valant </w:t>
      </w:r>
      <w:r w:rsidR="00065251">
        <w:t>c</w:t>
      </w:r>
      <w:r w:rsidRPr="00BC2BFF">
        <w:t xml:space="preserve">ahier des </w:t>
      </w:r>
      <w:r w:rsidR="00065251">
        <w:t>c</w:t>
      </w:r>
      <w:r w:rsidRPr="00BC2BFF">
        <w:t xml:space="preserve">lauses </w:t>
      </w:r>
      <w:r w:rsidR="00065251">
        <w:t>p</w:t>
      </w:r>
      <w:r w:rsidRPr="00BC2BFF">
        <w:t>articulières du marché</w:t>
      </w:r>
      <w:r w:rsidR="00FF727D">
        <w:t xml:space="preserve"> (AECCP) </w:t>
      </w:r>
      <w:r w:rsidRPr="00BC2BFF">
        <w:t>et ses éventuelles annexes, dans la version résultant des dernières modifications éventuelles, opérées par avenant. (</w:t>
      </w:r>
      <w:r w:rsidR="00042D7D" w:rsidRPr="00BC2BFF">
        <w:t>Par dérogation à l’article 4.2.1 du CCAG-FCS, il est précisé que seule une copie de l’acte d’engagement est notifiée au titulaire du marché</w:t>
      </w:r>
      <w:r w:rsidRPr="00BC2BFF">
        <w:t>).</w:t>
      </w:r>
      <w:r w:rsidR="00042D7D" w:rsidRPr="00BC2BFF">
        <w:t xml:space="preserve"> </w:t>
      </w:r>
    </w:p>
    <w:p w14:paraId="45F3392E" w14:textId="2C106AFB" w:rsidR="00042D7D" w:rsidRPr="00BC2BFF" w:rsidRDefault="00733B4E" w:rsidP="00626EDC">
      <w:pPr>
        <w:pStyle w:val="Paragraphedeliste"/>
        <w:numPr>
          <w:ilvl w:val="0"/>
          <w:numId w:val="5"/>
        </w:numPr>
        <w:spacing w:after="0"/>
        <w:ind w:left="714" w:hanging="357"/>
        <w:rPr>
          <w:sz w:val="20"/>
          <w:szCs w:val="20"/>
        </w:rPr>
      </w:pPr>
      <w:r>
        <w:t>L</w:t>
      </w:r>
      <w:r w:rsidR="00400529">
        <w:t>’offre technique du titulaire, constitué</w:t>
      </w:r>
      <w:r>
        <w:t>e</w:t>
      </w:r>
      <w:r w:rsidR="00400529">
        <w:t xml:space="preserve"> du</w:t>
      </w:r>
      <w:r>
        <w:t xml:space="preserve"> cadre de réponse technique et environnementa</w:t>
      </w:r>
      <w:r w:rsidR="00400529">
        <w:t>l (CRTE)</w:t>
      </w:r>
      <w:r w:rsidR="00094D42" w:rsidRPr="00BC2BFF">
        <w:t xml:space="preserve">, complétée </w:t>
      </w:r>
      <w:r w:rsidR="00400529">
        <w:t xml:space="preserve">par le soumissionnaire lors de la remise des offres, des éventuels documents annexés et </w:t>
      </w:r>
      <w:r w:rsidR="00094D42" w:rsidRPr="00BC2BFF">
        <w:t xml:space="preserve">par les documents transmis au cours des </w:t>
      </w:r>
      <w:r w:rsidR="00FF727D">
        <w:t>négociations</w:t>
      </w:r>
      <w:r w:rsidR="00400529">
        <w:t xml:space="preserve"> le cas échéant.</w:t>
      </w:r>
    </w:p>
    <w:p w14:paraId="1EE57E0B" w14:textId="76662BCB" w:rsidR="00094D42" w:rsidRPr="00BC2BFF" w:rsidRDefault="00094D42" w:rsidP="00094D42">
      <w:pPr>
        <w:pStyle w:val="Paragraphedeliste"/>
        <w:numPr>
          <w:ilvl w:val="0"/>
          <w:numId w:val="5"/>
        </w:numPr>
        <w:spacing w:after="0"/>
        <w:rPr>
          <w:sz w:val="20"/>
          <w:szCs w:val="20"/>
        </w:rPr>
      </w:pPr>
      <w:r w:rsidRPr="00BC2BFF">
        <w:t>Les actes spéciaux de sous-traitance et leurs modifications, postérieures à la notification du marché</w:t>
      </w:r>
      <w:r w:rsidR="00591076">
        <w:t>.</w:t>
      </w:r>
    </w:p>
    <w:p w14:paraId="652127C9" w14:textId="77777777" w:rsidR="00042D7D" w:rsidRPr="00BC2BFF" w:rsidRDefault="00042D7D" w:rsidP="009D115A">
      <w:pPr>
        <w:pStyle w:val="Titre2"/>
        <w:numPr>
          <w:ilvl w:val="0"/>
          <w:numId w:val="0"/>
        </w:numPr>
        <w:rPr>
          <w:sz w:val="20"/>
          <w:szCs w:val="20"/>
        </w:rPr>
      </w:pPr>
      <w:bookmarkStart w:id="86" w:name="_Toc41990852"/>
      <w:bookmarkStart w:id="87" w:name="_Toc135996153"/>
      <w:r w:rsidRPr="00BC2BFF">
        <w:t>2.2 – Pièces générales</w:t>
      </w:r>
      <w:bookmarkEnd w:id="86"/>
      <w:bookmarkEnd w:id="87"/>
      <w:r w:rsidRPr="00BC2BFF">
        <w:t xml:space="preserve"> </w:t>
      </w:r>
    </w:p>
    <w:p w14:paraId="44004846" w14:textId="77777777" w:rsidR="00042D7D" w:rsidRPr="00BC2BFF" w:rsidRDefault="00042D7D" w:rsidP="00626EDC">
      <w:pPr>
        <w:pStyle w:val="Paragraphedeliste"/>
        <w:numPr>
          <w:ilvl w:val="0"/>
          <w:numId w:val="4"/>
        </w:numPr>
        <w:spacing w:before="240" w:after="0"/>
        <w:ind w:left="714" w:hanging="357"/>
      </w:pPr>
      <w:r w:rsidRPr="00BC2BFF">
        <w:t xml:space="preserve">Le </w:t>
      </w:r>
      <w:r w:rsidR="00065251">
        <w:t>c</w:t>
      </w:r>
      <w:r w:rsidRPr="00BC2BFF">
        <w:t xml:space="preserve">ahier des </w:t>
      </w:r>
      <w:r w:rsidR="00065251">
        <w:t>c</w:t>
      </w:r>
      <w:r w:rsidRPr="00BC2BFF">
        <w:t xml:space="preserve">lauses </w:t>
      </w:r>
      <w:r w:rsidR="00065251">
        <w:t>a</w:t>
      </w:r>
      <w:r w:rsidRPr="00BC2BFF">
        <w:t xml:space="preserve">dministratives </w:t>
      </w:r>
      <w:r w:rsidR="00065251">
        <w:t>g</w:t>
      </w:r>
      <w:r w:rsidRPr="00BC2BFF">
        <w:t xml:space="preserve">énérales applicables aux marchés publics de </w:t>
      </w:r>
      <w:r w:rsidR="00065251">
        <w:t>f</w:t>
      </w:r>
      <w:r w:rsidRPr="00BC2BFF">
        <w:t xml:space="preserve">ournitures </w:t>
      </w:r>
      <w:r w:rsidR="00065251">
        <w:t>c</w:t>
      </w:r>
      <w:r w:rsidRPr="00BC2BFF">
        <w:t xml:space="preserve">ourantes et de </w:t>
      </w:r>
      <w:r w:rsidR="00065251">
        <w:t>s</w:t>
      </w:r>
      <w:r w:rsidRPr="00BC2BFF">
        <w:t>ervices (CCAG—FCS) approuvé par l’arrêté du</w:t>
      </w:r>
      <w:r w:rsidR="00AB563A" w:rsidRPr="00BC2BFF">
        <w:t> </w:t>
      </w:r>
      <w:r w:rsidR="00B07A17" w:rsidRPr="00BC2BFF">
        <w:t>30 mars 2021</w:t>
      </w:r>
      <w:r w:rsidR="001A72C8">
        <w:t xml:space="preserve"> </w:t>
      </w:r>
      <w:r w:rsidR="00B07A17" w:rsidRPr="00BC2BFF">
        <w:t>portant approbation du cahier des clauses administratives générales des marchés publics de fournitures courantes et de services</w:t>
      </w:r>
      <w:r w:rsidR="00587408">
        <w:t xml:space="preserve"> et modifié par l’arrêté du 30 septembre 2021</w:t>
      </w:r>
      <w:r w:rsidR="001051F5">
        <w:t>.</w:t>
      </w:r>
    </w:p>
    <w:p w14:paraId="59E181BD" w14:textId="0CE4D8BB" w:rsidR="00042D7D" w:rsidRDefault="00042D7D" w:rsidP="00626EDC">
      <w:pPr>
        <w:pStyle w:val="Paragraphedeliste"/>
        <w:numPr>
          <w:ilvl w:val="0"/>
          <w:numId w:val="4"/>
        </w:numPr>
        <w:spacing w:after="0"/>
      </w:pPr>
      <w:r w:rsidRPr="00BC2BFF">
        <w:t>Les normes et règlements nationaux, européens en vigueur, relatifs au domaine objet du marché.</w:t>
      </w:r>
    </w:p>
    <w:p w14:paraId="3A027D08" w14:textId="77777777" w:rsidR="00A26305" w:rsidRPr="00DB5EBE" w:rsidRDefault="00A26305" w:rsidP="00A26305">
      <w:pPr>
        <w:spacing w:after="0"/>
        <w:rPr>
          <w:rFonts w:ascii="AvenirNext LT Pro LightCn" w:hAnsi="AvenirNext LT Pro LightCn"/>
          <w:u w:val="single"/>
        </w:rPr>
      </w:pPr>
      <w:r w:rsidRPr="00DB5EBE">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sidRPr="00DB5EBE">
        <w:rPr>
          <w:rFonts w:ascii="AvenirNext LT Pro LightCn" w:hAnsi="AvenirNext LT Pro LightCn"/>
          <w:u w:val="single"/>
        </w:rPr>
        <w:t>Les conditions générales de vente du titulaire sont concernées par cette disposition.</w:t>
      </w:r>
    </w:p>
    <w:p w14:paraId="3B3B2779" w14:textId="77777777" w:rsidR="00B3398C" w:rsidRPr="00BC2BFF" w:rsidRDefault="00B3398C" w:rsidP="008630D8">
      <w:pPr>
        <w:pStyle w:val="Titre1"/>
        <w:rPr>
          <w:rFonts w:ascii="AvenirNext LT Pro Cn" w:hAnsi="AvenirNext LT Pro Cn"/>
          <w:i/>
          <w:iCs/>
          <w:color w:val="C00000"/>
        </w:rPr>
      </w:pPr>
      <w:bookmarkStart w:id="88" w:name="_Toc135996154"/>
      <w:r w:rsidRPr="00BC2BFF">
        <w:rPr>
          <w:rFonts w:ascii="AvenirNext LT Pro Cn" w:hAnsi="AvenirNext LT Pro Cn"/>
        </w:rPr>
        <w:t>CONTENU DES PRESTATIONS</w:t>
      </w:r>
      <w:bookmarkEnd w:id="88"/>
      <w:r w:rsidRPr="00BC2BFF">
        <w:rPr>
          <w:rFonts w:ascii="AvenirNext LT Pro Cn" w:hAnsi="AvenirNext LT Pro Cn"/>
        </w:rPr>
        <w:t xml:space="preserve"> </w:t>
      </w:r>
    </w:p>
    <w:p w14:paraId="4AA3A9FE" w14:textId="65F42FBF" w:rsidR="009D115A" w:rsidRDefault="009D115A" w:rsidP="009D115A">
      <w:pPr>
        <w:pStyle w:val="Titre2"/>
      </w:pPr>
      <w:bookmarkStart w:id="89" w:name="_Toc135996155"/>
      <w:r w:rsidRPr="00BC2BFF">
        <w:t xml:space="preserve">– </w:t>
      </w:r>
      <w:r>
        <w:t>Performances</w:t>
      </w:r>
      <w:r w:rsidRPr="00BC2BFF">
        <w:t xml:space="preserve"> techniques</w:t>
      </w:r>
      <w:r>
        <w:t xml:space="preserve"> - Normes</w:t>
      </w:r>
      <w:bookmarkEnd w:id="89"/>
    </w:p>
    <w:p w14:paraId="605182F9" w14:textId="18D8BC0B" w:rsidR="009D115A" w:rsidRPr="009D115A" w:rsidRDefault="009D115A" w:rsidP="008630D8">
      <w:pPr>
        <w:rPr>
          <w:color w:val="E36C0A" w:themeColor="accent6" w:themeShade="BF"/>
        </w:rPr>
      </w:pPr>
      <w:r>
        <w:t xml:space="preserve">L’équipement proposé doit être conforme aux normes européennes en vigueur. </w:t>
      </w:r>
    </w:p>
    <w:p w14:paraId="42BCA662" w14:textId="097297C8" w:rsidR="009D115A" w:rsidRDefault="009D115A" w:rsidP="008630D8">
      <w:r>
        <w:t>La combinaison des principales caractéristiques de l’équipement doit satisfaire aux contraintes expérimentales du programme scientifique et assurer sa compatibilité avec l’environnement instrumental existant.</w:t>
      </w:r>
    </w:p>
    <w:p w14:paraId="0C358FD4" w14:textId="711CECFD" w:rsidR="009D115A" w:rsidRDefault="009D115A" w:rsidP="008630D8">
      <w: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197DBC36" w14:textId="77777777" w:rsidR="00AB563A" w:rsidRDefault="00AB563A" w:rsidP="009D115A">
      <w:pPr>
        <w:pStyle w:val="Titre2"/>
      </w:pPr>
      <w:bookmarkStart w:id="90" w:name="_Toc41990858"/>
      <w:bookmarkStart w:id="91" w:name="_Toc135996156"/>
      <w:r w:rsidRPr="00BC2BFF">
        <w:t>– Spécifications techniques</w:t>
      </w:r>
      <w:bookmarkEnd w:id="90"/>
      <w:bookmarkEnd w:id="91"/>
    </w:p>
    <w:p w14:paraId="46D88BA6" w14:textId="0B884F44" w:rsidR="00D7753D" w:rsidRPr="00D7753D" w:rsidRDefault="00D7753D" w:rsidP="00D7753D">
      <w:r w:rsidRPr="00D7753D">
        <w:t>L'unité de recherche souhaite acquérir un système de tomographie par cohérence optique (</w:t>
      </w:r>
      <w:r w:rsidR="000803CA">
        <w:t>TCO</w:t>
      </w:r>
      <w:r w:rsidRPr="00D7753D">
        <w:t>) pour caractériser les propriétés des biofilms microbiens développés sur différentes matrices telles que les eaux usées réelles ou synthétiques et les hydrolysats de déchets ménagers.</w:t>
      </w:r>
      <w:r w:rsidR="001723C6">
        <w:t xml:space="preserve"> </w:t>
      </w:r>
      <w:r w:rsidRPr="00D7753D">
        <w:t xml:space="preserve">Un système adapté aux images transversales en 2D et volumétriques en 3D des biofilms est recherché. Le dispositif doit permettre </w:t>
      </w:r>
      <w:r>
        <w:t xml:space="preserve">l’imagerie non destructive en </w:t>
      </w:r>
      <w:r w:rsidRPr="00D7753D">
        <w:t>temps réel, dans une pièce ouverte avec de la lumière naturelle et</w:t>
      </w:r>
      <w:r>
        <w:t>/ou</w:t>
      </w:r>
      <w:r w:rsidRPr="00D7753D">
        <w:t xml:space="preserve"> artificielle. </w:t>
      </w:r>
    </w:p>
    <w:p w14:paraId="577C717F" w14:textId="77777777" w:rsidR="00D7753D" w:rsidRDefault="00D7753D" w:rsidP="00D7753D">
      <w:r>
        <w:lastRenderedPageBreak/>
        <w:t>Les biofilms seront cultivés dans deux configurations de réacteurs nécessitant :</w:t>
      </w:r>
    </w:p>
    <w:p w14:paraId="5C1AF93D" w14:textId="4F08F35C" w:rsidR="00D7753D" w:rsidRPr="000803CA" w:rsidRDefault="00D7753D" w:rsidP="00D7753D">
      <w:pPr>
        <w:pStyle w:val="Paragraphedeliste"/>
        <w:numPr>
          <w:ilvl w:val="0"/>
          <w:numId w:val="29"/>
        </w:numPr>
      </w:pPr>
      <w:r>
        <w:t>La prise d’image du biofilm par le bas à travers une électrode</w:t>
      </w:r>
      <w:r w:rsidR="00905944">
        <w:t xml:space="preserve"> en verre</w:t>
      </w:r>
      <w:r w:rsidR="000803CA">
        <w:t xml:space="preserve"> </w:t>
      </w:r>
      <w:r>
        <w:t xml:space="preserve">: Le système doit permettre une visualisation claire de biofilms cultivés sur des électrodes transparentes d'une épaisseur de 2 mm et d'une surface de 10 à 20 cm². </w:t>
      </w:r>
      <w:r w:rsidR="00C65CA6">
        <w:t>Il doit permettre de visualiser</w:t>
      </w:r>
      <w:r>
        <w:t xml:space="preserve"> </w:t>
      </w:r>
      <w:r w:rsidR="00C65CA6">
        <w:t>des</w:t>
      </w:r>
      <w:r>
        <w:t xml:space="preserve"> biofilms</w:t>
      </w:r>
      <w:r w:rsidR="00C65CA6">
        <w:t xml:space="preserve"> </w:t>
      </w:r>
      <w:r>
        <w:t xml:space="preserve">d'une épaisseur comprise entre </w:t>
      </w:r>
      <w:r w:rsidRPr="000803CA">
        <w:t xml:space="preserve">5 µm et 1 mm, en garantissant une imagerie à haute résolution sur toute cette plage. </w:t>
      </w:r>
      <w:r w:rsidR="004525CA">
        <w:t>Dans cette configuration, l’électrode est placée sur un axe vertical, l’observation des biofilms se faisant à travers l’électrode disposée sur un des côtés du réacteur.</w:t>
      </w:r>
    </w:p>
    <w:p w14:paraId="3B9D6C2F" w14:textId="0D7DD078" w:rsidR="00D7753D" w:rsidRDefault="00C65CA6" w:rsidP="00D7753D">
      <w:pPr>
        <w:pStyle w:val="Paragraphedeliste"/>
        <w:numPr>
          <w:ilvl w:val="0"/>
          <w:numId w:val="29"/>
        </w:numPr>
      </w:pPr>
      <w:r w:rsidRPr="000803CA">
        <w:t xml:space="preserve">La prise d’image </w:t>
      </w:r>
      <w:r w:rsidR="00D7753D" w:rsidRPr="000803CA">
        <w:t xml:space="preserve">du biofilm par le haut : Le système doit également permettre une imagerie claire de biofilms développés sur des électrodes </w:t>
      </w:r>
      <w:r w:rsidRPr="000803CA">
        <w:t>opaques en</w:t>
      </w:r>
      <w:r w:rsidR="00D7753D" w:rsidRPr="000803CA">
        <w:t xml:space="preserve"> graphite d'une épaisseur de 5 mm et d'une surface de 10 à 20 cm</w:t>
      </w:r>
      <w:r w:rsidR="00D7753D" w:rsidRPr="000803CA">
        <w:rPr>
          <w:vertAlign w:val="superscript"/>
        </w:rPr>
        <w:t>2</w:t>
      </w:r>
      <w:r w:rsidR="00D7753D" w:rsidRPr="000803CA">
        <w:t xml:space="preserve">. </w:t>
      </w:r>
      <w:r w:rsidRPr="000803CA">
        <w:t>Il doit permettre de visualiser des</w:t>
      </w:r>
      <w:r w:rsidR="00D7753D" w:rsidRPr="000803CA">
        <w:t xml:space="preserve"> biofilms d'une épaisseur comprise entre 5 µm</w:t>
      </w:r>
      <w:r w:rsidR="00D7753D">
        <w:t xml:space="preserve"> et </w:t>
      </w:r>
      <w:r>
        <w:t>1 mm</w:t>
      </w:r>
      <w:r w:rsidR="00D7753D">
        <w:t>, en garantissant une imagerie à haute résolution sur toute cette plage.</w:t>
      </w:r>
      <w:r w:rsidR="004525CA">
        <w:t xml:space="preserve"> Dans cette configuration, l’électrode est placée sur l’axe horizontal, l’observation des biofilms se faisant par le haut, dans l’air et/ou dans l’eau, selon les applications.</w:t>
      </w:r>
    </w:p>
    <w:p w14:paraId="5C7C3BB4" w14:textId="77777777" w:rsidR="00B12B2C" w:rsidRDefault="00B12B2C" w:rsidP="00C65CA6"/>
    <w:p w14:paraId="1B80FCCC" w14:textId="04D78E56" w:rsidR="00C65CA6" w:rsidRPr="00C65CA6" w:rsidRDefault="001723C6" w:rsidP="00C65CA6">
      <w:r>
        <w:t>En outre, l</w:t>
      </w:r>
      <w:r w:rsidR="00C65CA6" w:rsidRPr="00C65CA6">
        <w:t xml:space="preserve">e système </w:t>
      </w:r>
      <w:r w:rsidR="00EE7A2D">
        <w:t xml:space="preserve">TCO </w:t>
      </w:r>
      <w:r w:rsidR="0023009D" w:rsidRPr="00C65CA6">
        <w:t>doit</w:t>
      </w:r>
      <w:r w:rsidR="0023009D">
        <w:t> :</w:t>
      </w:r>
    </w:p>
    <w:p w14:paraId="72D7B39B" w14:textId="4A0AE6CD" w:rsidR="008063E1" w:rsidRPr="00C65CA6" w:rsidRDefault="00EE7A2D" w:rsidP="008063E1">
      <w:pPr>
        <w:pStyle w:val="Paragraphedeliste"/>
        <w:numPr>
          <w:ilvl w:val="0"/>
          <w:numId w:val="30"/>
        </w:numPr>
      </w:pPr>
      <w:r>
        <w:t>F</w:t>
      </w:r>
      <w:r w:rsidR="008063E1" w:rsidRPr="00C65CA6">
        <w:t xml:space="preserve">onctionner avec une longueur d'onde centrale dans le proche infrarouge, présenter une résolution axiale d'au moins 4,5 µm dans l'eau ; et une résolution latérale d'au moins 8 µm ; </w:t>
      </w:r>
    </w:p>
    <w:p w14:paraId="4E7166A2" w14:textId="38B09D59" w:rsidR="008063E1" w:rsidRPr="00C65CA6" w:rsidRDefault="00EE7A2D" w:rsidP="008063E1">
      <w:pPr>
        <w:pStyle w:val="Paragraphedeliste"/>
        <w:numPr>
          <w:ilvl w:val="0"/>
          <w:numId w:val="30"/>
        </w:numPr>
      </w:pPr>
      <w:r>
        <w:t>A</w:t>
      </w:r>
      <w:r w:rsidR="008063E1">
        <w:t>voir</w:t>
      </w:r>
      <w:r w:rsidR="008063E1" w:rsidRPr="00C65CA6">
        <w:t xml:space="preserve"> </w:t>
      </w:r>
      <w:r w:rsidR="008063E1">
        <w:t>une vitesse de balayage « A-SCAN »</w:t>
      </w:r>
      <w:r w:rsidR="008063E1" w:rsidRPr="00C65CA6">
        <w:t xml:space="preserve"> </w:t>
      </w:r>
      <w:r w:rsidR="008063E1">
        <w:t xml:space="preserve">variable </w:t>
      </w:r>
      <w:r w:rsidR="008063E1" w:rsidRPr="00C65CA6">
        <w:t xml:space="preserve">couvrant une gamme entre 5 et 240 kHz pour </w:t>
      </w:r>
      <w:r w:rsidR="008063E1">
        <w:t xml:space="preserve">permettre </w:t>
      </w:r>
      <w:r w:rsidR="008063E1" w:rsidRPr="00C65CA6">
        <w:t>une acquisition à grande vitesse</w:t>
      </w:r>
      <w:r w:rsidR="00C2403F">
        <w:t xml:space="preserve"> et une résolution élevée </w:t>
      </w:r>
      <w:r w:rsidR="008063E1" w:rsidRPr="00C65CA6">
        <w:t xml:space="preserve">; </w:t>
      </w:r>
    </w:p>
    <w:p w14:paraId="36E97D49" w14:textId="6105F640" w:rsidR="00C65CA6" w:rsidRDefault="00EE7A2D" w:rsidP="00453B41">
      <w:pPr>
        <w:pStyle w:val="Paragraphedeliste"/>
        <w:numPr>
          <w:ilvl w:val="0"/>
          <w:numId w:val="30"/>
        </w:numPr>
      </w:pPr>
      <w:r>
        <w:t>I</w:t>
      </w:r>
      <w:r w:rsidR="00C65CA6">
        <w:t xml:space="preserve">ntégrer </w:t>
      </w:r>
      <w:r w:rsidR="001723C6">
        <w:t>ou</w:t>
      </w:r>
      <w:r w:rsidR="00C65CA6">
        <w:t xml:space="preserve"> </w:t>
      </w:r>
      <w:r w:rsidR="000803CA">
        <w:t xml:space="preserve">permettre de </w:t>
      </w:r>
      <w:r w:rsidR="00C65CA6">
        <w:t>changer facilement d’objectifs pour adapter la prise d’image à la configuration de réacteur choisie (dans l’air, eau ou à travers une électrode). De même, d</w:t>
      </w:r>
      <w:r w:rsidR="00C65CA6" w:rsidRPr="00C65CA6">
        <w:t xml:space="preserve">es objectifs ayant des plages de balayage, des résolutions et des distances de travail différentes doivent être facilement </w:t>
      </w:r>
      <w:r w:rsidR="00453B41" w:rsidRPr="00C65CA6">
        <w:t>interchangeables</w:t>
      </w:r>
      <w:r w:rsidR="001723C6">
        <w:t xml:space="preserve"> pour permettre le suivi des biofilms au cours de leur croissance</w:t>
      </w:r>
      <w:r w:rsidR="00453B41" w:rsidRPr="00C65CA6">
        <w:t xml:space="preserve"> ;</w:t>
      </w:r>
    </w:p>
    <w:p w14:paraId="7C06DF74" w14:textId="293022AD" w:rsidR="00C2403F" w:rsidRDefault="00EE7A2D" w:rsidP="00C2403F">
      <w:pPr>
        <w:pStyle w:val="Paragraphedeliste"/>
        <w:numPr>
          <w:ilvl w:val="0"/>
          <w:numId w:val="30"/>
        </w:numPr>
      </w:pPr>
      <w:r>
        <w:t>P</w:t>
      </w:r>
      <w:r w:rsidR="000803CA">
        <w:t>ermettre la prise d’image sous différents points de vue de l’objet</w:t>
      </w:r>
      <w:r w:rsidR="004525CA">
        <w:t xml:space="preserve"> (différents axes</w:t>
      </w:r>
      <w:proofErr w:type="gramStart"/>
      <w:r w:rsidR="004525CA">
        <w:t>)</w:t>
      </w:r>
      <w:r w:rsidR="00C65CA6" w:rsidRPr="00C65CA6">
        <w:t>;</w:t>
      </w:r>
      <w:proofErr w:type="gramEnd"/>
      <w:r w:rsidR="00C2403F" w:rsidRPr="00C2403F">
        <w:t xml:space="preserve"> </w:t>
      </w:r>
    </w:p>
    <w:p w14:paraId="4F2411AE" w14:textId="71E77609" w:rsidR="00C65CA6" w:rsidRPr="00C65CA6" w:rsidRDefault="000803CA" w:rsidP="007E1427">
      <w:pPr>
        <w:pStyle w:val="Paragraphedeliste"/>
        <w:numPr>
          <w:ilvl w:val="0"/>
          <w:numId w:val="30"/>
        </w:numPr>
      </w:pPr>
      <w:r>
        <w:t>Offrir</w:t>
      </w:r>
      <w:r w:rsidR="00C2403F" w:rsidRPr="00C65CA6">
        <w:t xml:space="preserve"> un champ de vision étendu ; </w:t>
      </w:r>
    </w:p>
    <w:p w14:paraId="11845758" w14:textId="3696511C" w:rsidR="00D7753D" w:rsidRPr="00C65CA6" w:rsidRDefault="007E1427" w:rsidP="00453B41">
      <w:pPr>
        <w:pStyle w:val="Paragraphedeliste"/>
        <w:numPr>
          <w:ilvl w:val="0"/>
          <w:numId w:val="30"/>
        </w:numPr>
      </w:pPr>
      <w:r>
        <w:t>O</w:t>
      </w:r>
      <w:r w:rsidR="00C65CA6" w:rsidRPr="00C65CA6">
        <w:t xml:space="preserve">ffrir au moins deux canaux analogiques pour l'enregistrement et l'affichage du signal en même temps que le signal </w:t>
      </w:r>
      <w:r>
        <w:t>T</w:t>
      </w:r>
      <w:r w:rsidR="001347E7">
        <w:t>CO</w:t>
      </w:r>
      <w:r w:rsidR="00C65CA6" w:rsidRPr="00C65CA6">
        <w:t xml:space="preserve"> ; et offrir une détection de mouvement</w:t>
      </w:r>
      <w:r>
        <w:t>.</w:t>
      </w:r>
    </w:p>
    <w:p w14:paraId="0FA2CC4C" w14:textId="77777777" w:rsidR="003B0BDB" w:rsidRDefault="003B0BDB" w:rsidP="00EB697A"/>
    <w:p w14:paraId="285DB878" w14:textId="14A58E23" w:rsidR="00D7753D" w:rsidRPr="007E1427" w:rsidRDefault="007E1427" w:rsidP="00EB697A">
      <w:r w:rsidRPr="007E1427">
        <w:t xml:space="preserve">Le système de mesure est </w:t>
      </w:r>
      <w:r w:rsidR="0095051E">
        <w:t>associé à un</w:t>
      </w:r>
      <w:r w:rsidRPr="007E1427">
        <w:t xml:space="preserve"> logiciel qui doit :</w:t>
      </w:r>
    </w:p>
    <w:p w14:paraId="0169F083" w14:textId="486E8B8C" w:rsidR="00955D3E" w:rsidRDefault="00EE7A2D" w:rsidP="007E1427">
      <w:pPr>
        <w:pStyle w:val="Paragraphedeliste"/>
        <w:numPr>
          <w:ilvl w:val="0"/>
          <w:numId w:val="30"/>
        </w:numPr>
      </w:pPr>
      <w:r>
        <w:t>P</w:t>
      </w:r>
      <w:r w:rsidR="00797F98">
        <w:t xml:space="preserve">ermettre de </w:t>
      </w:r>
      <w:r w:rsidR="00955D3E">
        <w:t>c</w:t>
      </w:r>
      <w:r w:rsidR="00955D3E" w:rsidRPr="00955D3E">
        <w:t>ontrôle</w:t>
      </w:r>
      <w:r w:rsidR="00955D3E">
        <w:t>r</w:t>
      </w:r>
      <w:r w:rsidR="00955D3E" w:rsidRPr="00955D3E">
        <w:t xml:space="preserve"> </w:t>
      </w:r>
      <w:r w:rsidR="00955D3E">
        <w:t>le</w:t>
      </w:r>
      <w:r w:rsidR="00955D3E" w:rsidRPr="00955D3E">
        <w:t xml:space="preserve"> mouvement de l'objectif </w:t>
      </w:r>
      <w:r>
        <w:t>pour notamment</w:t>
      </w:r>
      <w:r w:rsidR="006D0CC8">
        <w:t xml:space="preserve"> réaliser un</w:t>
      </w:r>
      <w:r w:rsidR="00955D3E" w:rsidRPr="00955D3E">
        <w:t xml:space="preserve"> zoom</w:t>
      </w:r>
      <w:r w:rsidR="006D0CC8">
        <w:t> ;</w:t>
      </w:r>
    </w:p>
    <w:p w14:paraId="61448342" w14:textId="76311B49" w:rsidR="007E1427" w:rsidRPr="007E1427" w:rsidRDefault="00EE7A2D" w:rsidP="007E1427">
      <w:pPr>
        <w:pStyle w:val="Paragraphedeliste"/>
        <w:numPr>
          <w:ilvl w:val="0"/>
          <w:numId w:val="30"/>
        </w:numPr>
      </w:pPr>
      <w:r>
        <w:t>I</w:t>
      </w:r>
      <w:r w:rsidR="007E1427" w:rsidRPr="007E1427">
        <w:t>nclure les principales fonctions de gestion de l'imagerie (stockage, exportation, importation, etc.) et les calculs de base (tels que la détermination de la taille des objets) ;</w:t>
      </w:r>
    </w:p>
    <w:p w14:paraId="1C6C59FD" w14:textId="497CA095" w:rsidR="007E1427" w:rsidRPr="007E1427" w:rsidRDefault="00EE7A2D" w:rsidP="007E1427">
      <w:pPr>
        <w:pStyle w:val="Paragraphedeliste"/>
        <w:numPr>
          <w:ilvl w:val="0"/>
          <w:numId w:val="30"/>
        </w:numPr>
      </w:pPr>
      <w:r>
        <w:t>F</w:t>
      </w:r>
      <w:r w:rsidR="007E1427" w:rsidRPr="007E1427">
        <w:t>ournir un accès complet aux données brutes d'intensité et de phase, ainsi qu'aux données d'image traitées</w:t>
      </w:r>
      <w:r w:rsidR="007E1427">
        <w:t>. Celles-ci doivent être</w:t>
      </w:r>
      <w:r w:rsidR="007E1427" w:rsidRPr="007E1427">
        <w:t xml:space="preserve"> facilement exportables et convertibles dans différents formats de fichiers</w:t>
      </w:r>
      <w:r w:rsidR="0095051E">
        <w:t xml:space="preserve"> et </w:t>
      </w:r>
      <w:r w:rsidR="007E1427" w:rsidRPr="007E1427">
        <w:t xml:space="preserve">de préférence en temps réel ; </w:t>
      </w:r>
    </w:p>
    <w:p w14:paraId="03C4FEAE" w14:textId="07084F30" w:rsidR="007E1427" w:rsidRPr="007E1427" w:rsidRDefault="00EE7A2D" w:rsidP="007E1427">
      <w:pPr>
        <w:pStyle w:val="Paragraphedeliste"/>
        <w:numPr>
          <w:ilvl w:val="0"/>
          <w:numId w:val="30"/>
        </w:numPr>
      </w:pPr>
      <w:r>
        <w:t>I</w:t>
      </w:r>
      <w:r w:rsidR="007E1427" w:rsidRPr="007E1427">
        <w:t xml:space="preserve">nclure des fonctions avancées pour améliorer la clarté de l'image, telles qu'un filtre de réduction du bruit de </w:t>
      </w:r>
      <w:proofErr w:type="spellStart"/>
      <w:r w:rsidR="007E1427">
        <w:t>speckle</w:t>
      </w:r>
      <w:proofErr w:type="spellEnd"/>
      <w:r w:rsidR="007E1427" w:rsidRPr="007E1427">
        <w:t xml:space="preserve"> et une compensation de la dispersion, garantissant une imagerie de haute qualité des structures de biofilm ; </w:t>
      </w:r>
    </w:p>
    <w:p w14:paraId="35E1A3F4" w14:textId="4E07B962" w:rsidR="007E1427" w:rsidRDefault="00EE7A2D" w:rsidP="007E1427">
      <w:pPr>
        <w:pStyle w:val="Paragraphedeliste"/>
        <w:numPr>
          <w:ilvl w:val="0"/>
          <w:numId w:val="30"/>
        </w:numPr>
      </w:pPr>
      <w:r>
        <w:t>F</w:t>
      </w:r>
      <w:r w:rsidR="007E1427" w:rsidRPr="007E1427">
        <w:t>aciliter également le développement d'applications personnalisées en incorporant une interface logiciel</w:t>
      </w:r>
      <w:r w:rsidR="00ED3F60">
        <w:t>le</w:t>
      </w:r>
      <w:r w:rsidR="007E1427" w:rsidRPr="007E1427">
        <w:t xml:space="preserve"> pour permettre la programmation et la personnalisation des opérations du système.</w:t>
      </w:r>
    </w:p>
    <w:p w14:paraId="773D23BF" w14:textId="3C9E2349" w:rsidR="00A26305" w:rsidRPr="009D115A" w:rsidRDefault="00A26305" w:rsidP="009D115A">
      <w:pPr>
        <w:pStyle w:val="Titre2"/>
      </w:pPr>
      <w:bookmarkStart w:id="92" w:name="_Toc135996157"/>
      <w:r w:rsidRPr="009D115A">
        <w:lastRenderedPageBreak/>
        <w:t>Indicateurs de suivi et taux de disponibilité</w:t>
      </w:r>
      <w:bookmarkEnd w:id="92"/>
    </w:p>
    <w:p w14:paraId="7F915649" w14:textId="77777777" w:rsidR="00A26305" w:rsidRPr="00A26305" w:rsidRDefault="00A26305" w:rsidP="00A26305">
      <w:pPr>
        <w:rPr>
          <w:rFonts w:ascii="AvenirNext LT Pro LightCn" w:hAnsi="AvenirNext LT Pro LightCn"/>
        </w:rPr>
      </w:pPr>
      <w:r w:rsidRPr="00A26305">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05A83120" w14:textId="77777777" w:rsidR="00A26305" w:rsidRPr="009D115A" w:rsidRDefault="00A26305" w:rsidP="009D115A">
      <w:pPr>
        <w:pStyle w:val="Titre2"/>
      </w:pPr>
      <w:bookmarkStart w:id="93" w:name="_Toc135996158"/>
      <w:r w:rsidRPr="009D115A">
        <w:t>Définition de l’indisponibilité</w:t>
      </w:r>
      <w:bookmarkEnd w:id="93"/>
    </w:p>
    <w:p w14:paraId="20713CD1"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Ne sont pas considérés comme temps d'arrêt décomptés, les temps d'arrêt observés pendant les heures extérieures à l'horaire normal d'interventions du titulaire.</w:t>
      </w:r>
    </w:p>
    <w:p w14:paraId="5D421D97" w14:textId="77777777" w:rsidR="00A26305" w:rsidRPr="004E4449" w:rsidRDefault="00A26305" w:rsidP="003946F1">
      <w:pPr>
        <w:keepNext/>
        <w:keepLines/>
        <w:numPr>
          <w:ilvl w:val="2"/>
          <w:numId w:val="11"/>
        </w:numPr>
        <w:spacing w:before="360" w:after="240"/>
        <w:outlineLvl w:val="2"/>
        <w:rPr>
          <w:rFonts w:eastAsiaTheme="majorEastAsia" w:cstheme="majorBidi"/>
          <w:color w:val="00A6A3"/>
          <w:sz w:val="24"/>
          <w:szCs w:val="24"/>
        </w:rPr>
      </w:pPr>
      <w:bookmarkStart w:id="94" w:name="_Toc135996159"/>
      <w:r w:rsidRPr="004E4449">
        <w:rPr>
          <w:rFonts w:eastAsiaTheme="majorEastAsia" w:cstheme="majorBidi"/>
          <w:color w:val="00A6A3"/>
          <w:sz w:val="24"/>
          <w:szCs w:val="24"/>
        </w:rPr>
        <w:t>Mesure de la durée d’arrêt</w:t>
      </w:r>
      <w:bookmarkEnd w:id="94"/>
    </w:p>
    <w:p w14:paraId="4C761EBE"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La période d'arrêt cesse lorsque le personnel du titulaire remet l’instrument concerné, en état de marche, à la disposition d’INRAE. </w:t>
      </w:r>
    </w:p>
    <w:p w14:paraId="3C513029"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Les heures de début et de fin de la période d'arrêt sont relevées sur un carnet de bord.</w:t>
      </w:r>
    </w:p>
    <w:p w14:paraId="6039A539" w14:textId="77777777" w:rsidR="00A26305" w:rsidRPr="009D115A" w:rsidRDefault="00A26305" w:rsidP="009D115A">
      <w:pPr>
        <w:pStyle w:val="Titre2"/>
      </w:pPr>
      <w:bookmarkStart w:id="95" w:name="_Toc135996160"/>
      <w:r w:rsidRPr="009D115A">
        <w:t>Taux de disponibilité</w:t>
      </w:r>
      <w:bookmarkEnd w:id="95"/>
    </w:p>
    <w:p w14:paraId="1E847205"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INRAE et le titulaire conviennent de mesurer le taux de disponibilité annuel dudit équipement. </w:t>
      </w:r>
    </w:p>
    <w:p w14:paraId="5A16FC63"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Ce taux est défini par la formule suivante : </w:t>
      </w:r>
    </w:p>
    <w:p w14:paraId="3EDD4240"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T = 100(1-T1/T2) exprimé en % </w:t>
      </w:r>
    </w:p>
    <w:p w14:paraId="49435463"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Dans laquelle :</w:t>
      </w:r>
    </w:p>
    <w:p w14:paraId="37092A37" w14:textId="77777777" w:rsidR="00A26305" w:rsidRPr="00A26305" w:rsidRDefault="00A26305" w:rsidP="003946F1">
      <w:pPr>
        <w:numPr>
          <w:ilvl w:val="0"/>
          <w:numId w:val="12"/>
        </w:numPr>
        <w:rPr>
          <w:rFonts w:ascii="AvenirNext LT Pro LightCn" w:hAnsi="AvenirNext LT Pro LightCn"/>
        </w:rPr>
      </w:pPr>
      <w:r w:rsidRPr="00A26305">
        <w:rPr>
          <w:rFonts w:ascii="AvenirNext LT Pro LightCn" w:hAnsi="AvenirNext LT Pro LightCn"/>
        </w:rPr>
        <w:t>T1 représente la somme des durées d’arrêt définies au paragraphe « Mesure de la durée d’arrêt » sur la période de mesure considérée (annuellement)</w:t>
      </w:r>
    </w:p>
    <w:p w14:paraId="75A5480F" w14:textId="77777777" w:rsidR="00A26305" w:rsidRPr="00A26305" w:rsidRDefault="00A26305" w:rsidP="003946F1">
      <w:pPr>
        <w:numPr>
          <w:ilvl w:val="0"/>
          <w:numId w:val="12"/>
        </w:numPr>
        <w:rPr>
          <w:rFonts w:ascii="AvenirNext LT Pro LightCn" w:hAnsi="AvenirNext LT Pro LightCn"/>
        </w:rPr>
      </w:pPr>
      <w:r w:rsidRPr="00A26305">
        <w:rPr>
          <w:rFonts w:ascii="AvenirNext LT Pro LightCn" w:hAnsi="AvenirNext LT Pro LightCn"/>
        </w:rPr>
        <w:t>T2 représente la durée d’utilisation annuelle effective de l’équipement.</w:t>
      </w:r>
    </w:p>
    <w:p w14:paraId="60CA5D9C" w14:textId="77777777" w:rsidR="00A26305" w:rsidRPr="004E4449" w:rsidRDefault="00A26305" w:rsidP="003946F1">
      <w:pPr>
        <w:keepNext/>
        <w:keepLines/>
        <w:numPr>
          <w:ilvl w:val="2"/>
          <w:numId w:val="13"/>
        </w:numPr>
        <w:spacing w:before="360" w:after="240"/>
        <w:outlineLvl w:val="2"/>
        <w:rPr>
          <w:rFonts w:eastAsiaTheme="majorEastAsia" w:cstheme="majorBidi"/>
          <w:color w:val="00A6A3"/>
          <w:sz w:val="24"/>
          <w:szCs w:val="24"/>
        </w:rPr>
      </w:pPr>
      <w:bookmarkStart w:id="96" w:name="_Toc135996161"/>
      <w:r w:rsidRPr="004E4449">
        <w:rPr>
          <w:rFonts w:eastAsiaTheme="majorEastAsia" w:cstheme="majorBidi"/>
          <w:color w:val="00A6A3"/>
          <w:sz w:val="24"/>
          <w:szCs w:val="24"/>
        </w:rPr>
        <w:t>Délai maximal autorisé</w:t>
      </w:r>
      <w:bookmarkEnd w:id="96"/>
    </w:p>
    <w:p w14:paraId="4E7614BE"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 délai maximal autorisé est décompté à partir du jour et de l’heure du signalement par INRAE aux services du titulaire, tel que décrit au paragraphe « Mesure de la durée d’arrêt ».</w:t>
      </w:r>
    </w:p>
    <w:p w14:paraId="2306AC85"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 titulaire devra minimiser son délai d’intervention afin de ne pas dégrader le taux de disponibilité de l’équipement.</w:t>
      </w:r>
    </w:p>
    <w:p w14:paraId="2C3B3388" w14:textId="77777777" w:rsidR="000E3328" w:rsidRPr="009D115A" w:rsidRDefault="000E3328" w:rsidP="009D115A">
      <w:pPr>
        <w:pStyle w:val="Titre2"/>
      </w:pPr>
      <w:bookmarkStart w:id="97" w:name="_Toc135996162"/>
      <w:r w:rsidRPr="009D115A">
        <w:t>– Emballage et transport</w:t>
      </w:r>
      <w:bookmarkEnd w:id="97"/>
    </w:p>
    <w:p w14:paraId="4CEEF5C0" w14:textId="77777777" w:rsidR="00A26305" w:rsidRPr="00DB5EBE" w:rsidRDefault="00A26305" w:rsidP="00A26305">
      <w:pPr>
        <w:rPr>
          <w:rFonts w:ascii="AvenirNext LT Pro LightCn" w:hAnsi="AvenirNext LT Pro LightCn"/>
        </w:rPr>
      </w:pPr>
      <w:r w:rsidRPr="00DB5EBE">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06569235" w14:textId="77777777" w:rsidR="00A26305" w:rsidRPr="00DB5EBE" w:rsidRDefault="00A26305" w:rsidP="00A26305">
      <w:pPr>
        <w:rPr>
          <w:rFonts w:ascii="AvenirNext LT Pro LightCn" w:hAnsi="AvenirNext LT Pro LightCn"/>
        </w:rPr>
      </w:pPr>
      <w:r w:rsidRPr="00DB5EBE">
        <w:rPr>
          <w:rFonts w:ascii="AvenirNext LT Pro LightCn" w:hAnsi="AvenirNext LT Pro LightCn"/>
        </w:rPr>
        <w:t>Les risques afférents au transport et à la livraison de l’équipement sont à la charge du titulaire.</w:t>
      </w:r>
    </w:p>
    <w:p w14:paraId="4233AB5C" w14:textId="77777777" w:rsidR="00A26305" w:rsidRDefault="00A26305" w:rsidP="00A26305">
      <w:pPr>
        <w:rPr>
          <w:rFonts w:ascii="AvenirNext LT Pro LightCn" w:hAnsi="AvenirNext LT Pro LightCn"/>
        </w:rPr>
      </w:pPr>
      <w:r w:rsidRPr="00DB5EBE">
        <w:rPr>
          <w:rFonts w:ascii="AvenirNext LT Pro LightCn" w:hAnsi="AvenirNext LT Pro LightCn"/>
        </w:rPr>
        <w:lastRenderedPageBreak/>
        <w:t>La récupération des emballages relatifs aux matériels livrés est à la charge du titulaire.</w:t>
      </w:r>
    </w:p>
    <w:p w14:paraId="5341B36D" w14:textId="77777777" w:rsidR="00A26305" w:rsidRPr="00004A13" w:rsidRDefault="00A26305" w:rsidP="00A26305">
      <w:pPr>
        <w:rPr>
          <w:rFonts w:ascii="AvenirNext LT Pro LightCn" w:hAnsi="AvenirNext LT Pro LightCn"/>
          <w:b/>
        </w:rPr>
      </w:pPr>
      <w:r w:rsidRPr="00004A13">
        <w:rPr>
          <w:rFonts w:ascii="AvenirNext LT Pro LightCn" w:hAnsi="AvenirNext LT Pro LightCn"/>
          <w:b/>
        </w:rPr>
        <w:t>Le titulaire est incité à utiliser un emballage respectueux de l’environnement, notamment :</w:t>
      </w:r>
    </w:p>
    <w:p w14:paraId="1A8D2F9F"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pour lesquels les déchets produits lors de leur fabrication sont traités pour en réduire les impacts écologiques négatifs ;</w:t>
      </w:r>
    </w:p>
    <w:p w14:paraId="3568A421"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comprenant des matériaux recyclés ;</w:t>
      </w:r>
    </w:p>
    <w:p w14:paraId="0A6D56C4"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réutilisables ;</w:t>
      </w:r>
    </w:p>
    <w:p w14:paraId="1FA64957"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diminuant le volume d’emballage utilisé ;</w:t>
      </w:r>
    </w:p>
    <w:p w14:paraId="4958418E"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assurant le recyclage des emballages utilisés.</w:t>
      </w:r>
    </w:p>
    <w:p w14:paraId="59D7D234" w14:textId="77777777" w:rsidR="00A26305" w:rsidRDefault="00A26305" w:rsidP="00A26305">
      <w:pPr>
        <w:spacing w:before="40" w:after="40"/>
        <w:rPr>
          <w:rFonts w:ascii="AvenirNext LT Pro LightCn" w:hAnsi="AvenirNext LT Pro LightCn"/>
        </w:rPr>
      </w:pPr>
    </w:p>
    <w:p w14:paraId="47A80B21" w14:textId="77777777" w:rsidR="00A26305" w:rsidRDefault="00A26305" w:rsidP="00A26305">
      <w:pPr>
        <w:spacing w:before="40" w:after="40"/>
        <w:rPr>
          <w:rFonts w:ascii="AvenirNext LT Pro LightCn" w:hAnsi="AvenirNext LT Pro LightCn"/>
        </w:rPr>
      </w:pPr>
      <w:r>
        <w:rPr>
          <w:rFonts w:ascii="AvenirNext LT Pro LightCn" w:hAnsi="AvenirNext LT Pro LightCn"/>
        </w:rPr>
        <w:t>L</w:t>
      </w:r>
      <w:r w:rsidRPr="00004A13">
        <w:rPr>
          <w:rFonts w:ascii="AvenirNext LT Pro LightCn" w:hAnsi="AvenirNext LT Pro LightCn"/>
          <w:b/>
        </w:rPr>
        <w:t>a prestation de transport peut également faire l’objet d’efforts écologiques de la part du titulaire, notamment :</w:t>
      </w:r>
    </w:p>
    <w:p w14:paraId="14BFBC98"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Si le délai de livraison le permet, en évitant le recours à l’avion ;</w:t>
      </w:r>
    </w:p>
    <w:p w14:paraId="1AB2D143"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économes en carburant traditionnel ;</w:t>
      </w:r>
    </w:p>
    <w:p w14:paraId="5912BA1A"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totalement ou partiellement électriques ou compatibles GPL ou GNV ;</w:t>
      </w:r>
    </w:p>
    <w:p w14:paraId="3E7A4B37" w14:textId="556F4696"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recourant à des véhicules réduisant les nuisances sonores.</w:t>
      </w:r>
    </w:p>
    <w:p w14:paraId="63992BA6" w14:textId="77777777" w:rsidR="00AB563A" w:rsidRPr="00BC2BFF" w:rsidRDefault="00AB563A" w:rsidP="009D115A">
      <w:pPr>
        <w:pStyle w:val="Titre2"/>
      </w:pPr>
      <w:bookmarkStart w:id="98" w:name="_Toc41990868"/>
      <w:bookmarkStart w:id="99" w:name="_Toc135996163"/>
      <w:r w:rsidRPr="00BC2BFF">
        <w:t>– Livraison</w:t>
      </w:r>
      <w:bookmarkEnd w:id="98"/>
      <w:bookmarkEnd w:id="99"/>
    </w:p>
    <w:p w14:paraId="20ACA3E1" w14:textId="730C2459" w:rsidR="0095051E" w:rsidRPr="0095051E" w:rsidRDefault="004B5016" w:rsidP="0095051E">
      <w:pPr>
        <w:spacing w:before="0" w:after="0"/>
        <w:jc w:val="left"/>
        <w:rPr>
          <w:rFonts w:ascii="Times New Roman" w:eastAsia="Times New Roman" w:hAnsi="Times New Roman" w:cs="Times New Roman"/>
          <w:sz w:val="24"/>
          <w:szCs w:val="24"/>
          <w:lang w:eastAsia="fr-FR"/>
        </w:rPr>
      </w:pPr>
      <w:r w:rsidRPr="00BC2BFF">
        <w:t xml:space="preserve">Les livraisons doivent être effectuées aux heures </w:t>
      </w:r>
      <w:r w:rsidR="007341C3">
        <w:t>suivantes :</w:t>
      </w:r>
      <w:r w:rsidR="001347E7">
        <w:t xml:space="preserve"> </w:t>
      </w:r>
      <w:r w:rsidR="0095051E">
        <w:t>09h30</w:t>
      </w:r>
      <w:r w:rsidR="001347E7">
        <w:t xml:space="preserve"> à 17h</w:t>
      </w:r>
      <w:r w:rsidR="0095051E">
        <w:t xml:space="preserve">30 </w:t>
      </w:r>
      <w:r w:rsidR="007341C3" w:rsidRPr="00BC2BFF">
        <w:t>et au lieu suivant</w:t>
      </w:r>
      <w:r w:rsidR="0095051E">
        <w:t xml:space="preserve"> : Unité PROSE – INRAE, </w:t>
      </w:r>
      <w:r w:rsidR="0095051E">
        <w:rPr>
          <w:rStyle w:val="w8qarf"/>
          <w:rFonts w:ascii="Arial" w:hAnsi="Arial" w:cs="Arial"/>
          <w:b/>
          <w:bCs/>
          <w:color w:val="1F1F1F"/>
          <w:sz w:val="21"/>
          <w:szCs w:val="21"/>
          <w:shd w:val="clear" w:color="auto" w:fill="FFFFFF"/>
        </w:rPr>
        <w:t> </w:t>
      </w:r>
      <w:hyperlink r:id="rId11" w:history="1">
        <w:r w:rsidR="0095051E" w:rsidRPr="0095051E">
          <w:t>1 Rue Pierre Gilles de Gennes, 92160 Antony</w:t>
        </w:r>
      </w:hyperlink>
      <w:r w:rsidR="0095051E">
        <w:t>.</w:t>
      </w:r>
    </w:p>
    <w:p w14:paraId="0C487BD4" w14:textId="77777777" w:rsidR="004B5016" w:rsidRDefault="004B5016" w:rsidP="005C5233">
      <w:pPr>
        <w:spacing w:before="240"/>
      </w:pPr>
      <w:r w:rsidRPr="00BC2BFF">
        <w:t xml:space="preserve">Par dérogation aux stipulations de l’article </w:t>
      </w:r>
      <w:r w:rsidR="003824D0" w:rsidRPr="003824D0">
        <w:t xml:space="preserve">19 </w:t>
      </w:r>
      <w:r w:rsidRPr="003824D0">
        <w:t>du</w:t>
      </w:r>
      <w:r w:rsidRPr="00BC2BFF">
        <w:t xml:space="preserve"> CCAG-FCS, INRAE n’informe pas systématiquement le titulaire de la disponibilité des locaux destinés à l’installation du matériel, </w:t>
      </w:r>
      <w:r w:rsidR="003A6A99">
        <w:t xml:space="preserve">dans le délai de </w:t>
      </w:r>
      <w:r w:rsidRPr="00BC2BFF">
        <w:t>quinze jours au moins, avant la livraison de celui-ci.</w:t>
      </w:r>
    </w:p>
    <w:p w14:paraId="53C31BF4" w14:textId="77777777" w:rsidR="004B5016" w:rsidRPr="00BC2BFF" w:rsidRDefault="004B5016" w:rsidP="004B5016">
      <w:r w:rsidRPr="00BC2BFF">
        <w:t xml:space="preserve">Par dérogation aux dispositions de l’article </w:t>
      </w:r>
      <w:r w:rsidR="003824D0">
        <w:t>21.2</w:t>
      </w:r>
      <w:r w:rsidRPr="00BC2BFF">
        <w:t xml:space="preserve"> du CCAG-FCS, le bon de livraison doit faire apparaitre :</w:t>
      </w:r>
    </w:p>
    <w:p w14:paraId="7F14325C" w14:textId="77777777" w:rsidR="004B5016" w:rsidRPr="00BC2BFF" w:rsidRDefault="004B5016" w:rsidP="001A72C8">
      <w:pPr>
        <w:pStyle w:val="Paragraphedeliste"/>
        <w:numPr>
          <w:ilvl w:val="0"/>
          <w:numId w:val="4"/>
        </w:numPr>
        <w:spacing w:before="40" w:after="0"/>
        <w:ind w:left="714" w:hanging="357"/>
      </w:pPr>
      <w:r w:rsidRPr="00BC2BFF">
        <w:t>La date d’expédition</w:t>
      </w:r>
    </w:p>
    <w:p w14:paraId="44DCE1A4" w14:textId="77777777" w:rsidR="004B5016" w:rsidRPr="00BC2BFF" w:rsidRDefault="004B5016" w:rsidP="001A72C8">
      <w:pPr>
        <w:pStyle w:val="Paragraphedeliste"/>
        <w:numPr>
          <w:ilvl w:val="0"/>
          <w:numId w:val="4"/>
        </w:numPr>
        <w:spacing w:before="40" w:after="0"/>
        <w:ind w:left="714" w:hanging="357"/>
      </w:pPr>
      <w:r w:rsidRPr="00BC2BFF">
        <w:t>Le destinataire</w:t>
      </w:r>
    </w:p>
    <w:p w14:paraId="68C931E8" w14:textId="77777777" w:rsidR="004B5016" w:rsidRPr="00BC2BFF" w:rsidRDefault="004B5016" w:rsidP="001A72C8">
      <w:pPr>
        <w:pStyle w:val="Paragraphedeliste"/>
        <w:numPr>
          <w:ilvl w:val="0"/>
          <w:numId w:val="4"/>
        </w:numPr>
        <w:spacing w:before="40" w:after="0"/>
        <w:ind w:left="714" w:hanging="357"/>
      </w:pPr>
      <w:r w:rsidRPr="00BC2BFF">
        <w:t>L’adresse de livraison</w:t>
      </w:r>
    </w:p>
    <w:p w14:paraId="098C8F9D" w14:textId="77777777" w:rsidR="004B5016" w:rsidRPr="00BC2BFF" w:rsidRDefault="004B5016" w:rsidP="001A72C8">
      <w:pPr>
        <w:pStyle w:val="Paragraphedeliste"/>
        <w:numPr>
          <w:ilvl w:val="0"/>
          <w:numId w:val="4"/>
        </w:numPr>
        <w:spacing w:before="40" w:after="0"/>
        <w:ind w:left="714" w:hanging="357"/>
      </w:pPr>
      <w:r w:rsidRPr="00BC2BFF">
        <w:t>La référence du marché</w:t>
      </w:r>
    </w:p>
    <w:p w14:paraId="706E36F3" w14:textId="77777777" w:rsidR="004B5016" w:rsidRPr="00BC2BFF" w:rsidRDefault="004B5016" w:rsidP="001A72C8">
      <w:pPr>
        <w:pStyle w:val="Paragraphedeliste"/>
        <w:numPr>
          <w:ilvl w:val="0"/>
          <w:numId w:val="4"/>
        </w:numPr>
        <w:spacing w:before="40" w:after="0"/>
        <w:ind w:left="714" w:hanging="357"/>
      </w:pPr>
      <w:r w:rsidRPr="00BC2BFF">
        <w:t>L’identification du titulaire</w:t>
      </w:r>
    </w:p>
    <w:p w14:paraId="4F3EFBF7" w14:textId="77777777" w:rsidR="004B5016" w:rsidRPr="00BC2BFF" w:rsidRDefault="004B5016" w:rsidP="001A72C8">
      <w:pPr>
        <w:pStyle w:val="Paragraphedeliste"/>
        <w:numPr>
          <w:ilvl w:val="0"/>
          <w:numId w:val="4"/>
        </w:numPr>
        <w:spacing w:before="40" w:after="0"/>
        <w:ind w:left="714" w:hanging="357"/>
      </w:pPr>
      <w:r w:rsidRPr="00BC2BFF">
        <w:t>L’identification des fournitures livrées et, quand il y a lieu, leur répartition par colis</w:t>
      </w:r>
    </w:p>
    <w:p w14:paraId="3E551DF4" w14:textId="77777777" w:rsidR="004B5016" w:rsidRPr="00BC2BFF" w:rsidRDefault="004B5016" w:rsidP="001A72C8">
      <w:pPr>
        <w:pStyle w:val="Paragraphedeliste"/>
        <w:numPr>
          <w:ilvl w:val="0"/>
          <w:numId w:val="4"/>
        </w:numPr>
        <w:spacing w:before="40" w:after="0"/>
        <w:ind w:left="714" w:hanging="357"/>
      </w:pPr>
      <w:r w:rsidRPr="00BC2BFF">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626AF0B5" w14:textId="77777777" w:rsidR="00AB563A" w:rsidRPr="00BC2BFF" w:rsidRDefault="00AB563A" w:rsidP="009D115A">
      <w:pPr>
        <w:pStyle w:val="Titre2"/>
      </w:pPr>
      <w:bookmarkStart w:id="100" w:name="_Toc41990869"/>
      <w:bookmarkStart w:id="101" w:name="_Toc135996164"/>
      <w:r w:rsidRPr="00BC2BFF">
        <w:t>– Documentation à fournir</w:t>
      </w:r>
      <w:bookmarkEnd w:id="100"/>
      <w:bookmarkEnd w:id="101"/>
    </w:p>
    <w:p w14:paraId="3BA12C24" w14:textId="3A3178DD" w:rsidR="00306FE6" w:rsidRDefault="00306FE6" w:rsidP="00306FE6">
      <w:r w:rsidRPr="00306FE6">
        <w:t>Le titulaire s’engage à fournir la documentation suivante</w:t>
      </w:r>
      <w:r w:rsidR="001347E7">
        <w:t xml:space="preserve"> en langue</w:t>
      </w:r>
      <w:r w:rsidR="001C1C16">
        <w:t>s</w:t>
      </w:r>
      <w:r w:rsidR="001347E7">
        <w:t xml:space="preserve"> </w:t>
      </w:r>
      <w:r w:rsidR="00E15466">
        <w:t xml:space="preserve">française et </w:t>
      </w:r>
      <w:r w:rsidR="001347E7">
        <w:t>anglaise</w:t>
      </w:r>
      <w:r w:rsidRPr="00306FE6">
        <w:t> :</w:t>
      </w:r>
    </w:p>
    <w:p w14:paraId="54C9948A" w14:textId="7CC973CF" w:rsidR="00066A89" w:rsidRDefault="001347E7" w:rsidP="00066A89">
      <w:pPr>
        <w:pStyle w:val="Paragraphedeliste"/>
        <w:numPr>
          <w:ilvl w:val="0"/>
          <w:numId w:val="32"/>
        </w:numPr>
      </w:pPr>
      <w:r>
        <w:t>Un document décrivant le fonctionnement de l'appareil, de la mise en place du dispositif de mesure à l'acquisition et au traitement des données</w:t>
      </w:r>
      <w:r w:rsidR="0095051E">
        <w:t xml:space="preserve">, </w:t>
      </w:r>
      <w:r w:rsidR="00066A89">
        <w:t>les prérequis pour l’installation du système de mesure devront être précisés (emplacement, alimentation électrique, précautions en termes d’hygiène et sécurité, etc.) ;</w:t>
      </w:r>
    </w:p>
    <w:p w14:paraId="00A6EFBC" w14:textId="49C1BEB1" w:rsidR="001347E7" w:rsidRDefault="001347E7" w:rsidP="00066A89">
      <w:pPr>
        <w:pStyle w:val="Paragraphedeliste"/>
        <w:numPr>
          <w:ilvl w:val="0"/>
          <w:numId w:val="32"/>
        </w:numPr>
      </w:pPr>
      <w:r>
        <w:t xml:space="preserve">Les principales </w:t>
      </w:r>
      <w:r w:rsidR="00066A89">
        <w:t xml:space="preserve">difficultés </w:t>
      </w:r>
      <w:r>
        <w:t>susceptibles d'être rencontré</w:t>
      </w:r>
      <w:r w:rsidR="00066A89">
        <w:t>e</w:t>
      </w:r>
      <w:r>
        <w:t>s</w:t>
      </w:r>
      <w:r w:rsidR="00066A89">
        <w:t xml:space="preserve"> avec le système de mesure proposé ainsi qu’une aide au dépannage</w:t>
      </w:r>
      <w:r w:rsidR="00822B9D">
        <w:t> ;</w:t>
      </w:r>
      <w:r w:rsidR="00066A89">
        <w:t xml:space="preserve"> </w:t>
      </w:r>
    </w:p>
    <w:p w14:paraId="2C97D999" w14:textId="0D2C5CCE" w:rsidR="001347E7" w:rsidRDefault="001347E7" w:rsidP="001347E7">
      <w:pPr>
        <w:pStyle w:val="Paragraphedeliste"/>
        <w:numPr>
          <w:ilvl w:val="0"/>
          <w:numId w:val="32"/>
        </w:numPr>
      </w:pPr>
      <w:r>
        <w:t xml:space="preserve">Le programme de garantie, ainsi que les recommandations et les coûts d'entretien et de maintenance </w:t>
      </w:r>
      <w:r w:rsidR="00822B9D">
        <w:t>du système de mesure</w:t>
      </w:r>
      <w:r>
        <w:t>, seront expliqués. Les parties du système qui peuvent être remplacées pour l'entretien ou la mise à niveau du système doivent être spécifiées.</w:t>
      </w:r>
    </w:p>
    <w:p w14:paraId="66FFF98A" w14:textId="77777777" w:rsidR="00E1299C" w:rsidRPr="00BC2BFF" w:rsidRDefault="00E1299C" w:rsidP="009D115A">
      <w:pPr>
        <w:pStyle w:val="Titre2"/>
        <w:rPr>
          <w:sz w:val="20"/>
          <w:szCs w:val="20"/>
        </w:rPr>
      </w:pPr>
      <w:bookmarkStart w:id="102" w:name="_Toc135996165"/>
      <w:r w:rsidRPr="00BC2BFF">
        <w:lastRenderedPageBreak/>
        <w:t>– Licence logiciel</w:t>
      </w:r>
      <w:bookmarkEnd w:id="102"/>
    </w:p>
    <w:p w14:paraId="05151D58" w14:textId="77777777" w:rsidR="00E1299C" w:rsidRDefault="00E1299C" w:rsidP="00E1299C">
      <w:r w:rsidRPr="00BC2BFF">
        <w:t xml:space="preserve">Le titulaire s’engage à fournir pour les logiciels de traitement des données une licence de site multi-utilisateurs permanente dans sa dernière version. Les conditions de mise à jour et de changement de version sont décrites à l’article </w:t>
      </w:r>
      <w:r w:rsidRPr="00C83ED2">
        <w:t>11.</w:t>
      </w:r>
      <w:r w:rsidR="00065251">
        <w:t>2.</w:t>
      </w:r>
      <w:r w:rsidR="00200A87">
        <w:t>1</w:t>
      </w:r>
      <w:r w:rsidRPr="00C83ED2">
        <w:t xml:space="preserve"> du présent </w:t>
      </w:r>
      <w:r w:rsidR="004C6847">
        <w:t>AE</w:t>
      </w:r>
      <w:r w:rsidRPr="00C83ED2">
        <w:t>CCP.</w:t>
      </w:r>
    </w:p>
    <w:p w14:paraId="16137643" w14:textId="77777777" w:rsidR="004B5016" w:rsidRPr="00BC2BFF" w:rsidRDefault="004B5016" w:rsidP="009D115A">
      <w:pPr>
        <w:pStyle w:val="Titre2"/>
        <w:rPr>
          <w:sz w:val="20"/>
          <w:szCs w:val="20"/>
        </w:rPr>
      </w:pPr>
      <w:bookmarkStart w:id="103" w:name="_Toc135996166"/>
      <w:r w:rsidRPr="00BC2BFF">
        <w:t>– Formation à l’utilisation et à la maintenance de l’équipement</w:t>
      </w:r>
      <w:bookmarkEnd w:id="103"/>
    </w:p>
    <w:p w14:paraId="1A18BED7" w14:textId="7E8E9D23" w:rsidR="005C5233" w:rsidRPr="005C5233" w:rsidRDefault="004B5016" w:rsidP="001C1C16">
      <w:pPr>
        <w:rPr>
          <w:rFonts w:ascii="AvenirNext LT Pro LightCn" w:eastAsia="Times New Roman" w:hAnsi="AvenirNext LT Pro LightCn" w:cs="Arial"/>
          <w:color w:val="000000"/>
          <w:lang w:eastAsia="fr-FR"/>
        </w:rPr>
      </w:pPr>
      <w:r w:rsidRPr="00BC2BFF">
        <w:t>Le marché inclut, à la charge du titulaire</w:t>
      </w:r>
      <w:r w:rsidR="001C1C16">
        <w:t xml:space="preserve"> </w:t>
      </w:r>
      <w:r w:rsidR="001C1C16">
        <w:rPr>
          <w:rFonts w:ascii="AvenirNext LT Pro LightCn" w:eastAsia="Times New Roman" w:hAnsi="AvenirNext LT Pro LightCn" w:cs="Arial"/>
          <w:color w:val="000000"/>
          <w:lang w:eastAsia="fr-FR"/>
        </w:rPr>
        <w:t>u</w:t>
      </w:r>
      <w:r w:rsidR="005C5233" w:rsidRPr="005C5233">
        <w:rPr>
          <w:rFonts w:ascii="AvenirNext LT Pro LightCn" w:eastAsia="Times New Roman" w:hAnsi="AvenirNext LT Pro LightCn" w:cs="Arial"/>
          <w:color w:val="000000"/>
          <w:lang w:eastAsia="fr-FR"/>
        </w:rPr>
        <w:t>ne formation à l’utilisation de l’instrument et ou de son/ses logiciel(s)</w:t>
      </w:r>
      <w:r w:rsidR="001C1C16">
        <w:rPr>
          <w:rFonts w:ascii="AvenirNext LT Pro LightCn" w:eastAsia="Times New Roman" w:hAnsi="AvenirNext LT Pro LightCn" w:cs="Arial"/>
          <w:color w:val="000000"/>
          <w:lang w:eastAsia="fr-FR"/>
        </w:rPr>
        <w:t>.</w:t>
      </w:r>
      <w:r w:rsidR="005C5233" w:rsidRPr="005C5233">
        <w:rPr>
          <w:rFonts w:ascii="AvenirNext LT Pro LightCn" w:eastAsia="Times New Roman" w:hAnsi="AvenirNext LT Pro LightCn" w:cs="Arial"/>
          <w:color w:val="000000"/>
          <w:lang w:eastAsia="fr-FR"/>
        </w:rPr>
        <w:t xml:space="preserve"> </w:t>
      </w:r>
    </w:p>
    <w:p w14:paraId="10374351" w14:textId="35E1C78B" w:rsidR="005C5233" w:rsidRDefault="001C1C16" w:rsidP="00E1299C">
      <w:r>
        <w:t>La formation sera effectuée</w:t>
      </w:r>
      <w:r w:rsidR="005C5233">
        <w:t xml:space="preserve"> à l’issue de la mise en service de l’équipement. </w:t>
      </w:r>
    </w:p>
    <w:p w14:paraId="525FEB1B" w14:textId="25AB726F" w:rsidR="00065251" w:rsidRDefault="00E1299C" w:rsidP="00E1299C">
      <w:r w:rsidRPr="004C6847">
        <w:t xml:space="preserve">Les lieux et dates de réalisation des formations sont précisés par INRAE après la notification du marché. </w:t>
      </w:r>
    </w:p>
    <w:p w14:paraId="44CB4F4A" w14:textId="77777777" w:rsidR="008C32FD" w:rsidRPr="00BC2BFF" w:rsidRDefault="008C32FD" w:rsidP="009D115A">
      <w:pPr>
        <w:pStyle w:val="Titre2"/>
        <w:rPr>
          <w:sz w:val="20"/>
          <w:szCs w:val="20"/>
        </w:rPr>
      </w:pPr>
      <w:bookmarkStart w:id="104" w:name="_Toc135996167"/>
      <w:r w:rsidRPr="00BC2BFF">
        <w:t>– Brevets et licences</w:t>
      </w:r>
      <w:bookmarkEnd w:id="104"/>
    </w:p>
    <w:p w14:paraId="46AD939D" w14:textId="77777777" w:rsidR="008C32FD" w:rsidRDefault="008C32FD" w:rsidP="00E1299C">
      <w:r w:rsidRPr="00BC2BFF">
        <w:t>Le titulaire s’engage à être à jour du règlement des redevances dues au titre des brevets et licences d’exploitation des matériels distribués.</w:t>
      </w:r>
    </w:p>
    <w:p w14:paraId="0C04BDB0" w14:textId="77777777" w:rsidR="008C32FD" w:rsidRPr="00123D4B" w:rsidRDefault="008C32FD" w:rsidP="009D115A">
      <w:pPr>
        <w:pStyle w:val="Titre2"/>
        <w:rPr>
          <w:sz w:val="20"/>
          <w:szCs w:val="20"/>
        </w:rPr>
      </w:pPr>
      <w:bookmarkStart w:id="105" w:name="_Toc135996168"/>
      <w:r w:rsidRPr="00123D4B">
        <w:t xml:space="preserve">– Dispositions en cas de </w:t>
      </w:r>
      <w:proofErr w:type="spellStart"/>
      <w:r w:rsidRPr="00123D4B">
        <w:t>quench</w:t>
      </w:r>
      <w:proofErr w:type="spellEnd"/>
      <w:r w:rsidRPr="00123D4B">
        <w:t xml:space="preserve"> (spectromètres</w:t>
      </w:r>
      <w:r w:rsidR="00890070" w:rsidRPr="00123D4B">
        <w:t>)</w:t>
      </w:r>
      <w:bookmarkEnd w:id="105"/>
    </w:p>
    <w:p w14:paraId="2CEDBFA3" w14:textId="77777777" w:rsidR="00123D4B" w:rsidRPr="00063BE9" w:rsidRDefault="00123D4B" w:rsidP="00E1299C">
      <w:r w:rsidRPr="00063BE9">
        <w:t>Sans objet.</w:t>
      </w:r>
    </w:p>
    <w:p w14:paraId="17E3DC70" w14:textId="5E2EC2CF" w:rsidR="00DF11EF" w:rsidRPr="00DF11EF" w:rsidRDefault="00DF11EF" w:rsidP="001C1C16">
      <w:pPr>
        <w:pStyle w:val="Titre2"/>
        <w:spacing w:before="240" w:after="120"/>
        <w:ind w:left="1849" w:hanging="431"/>
        <w:rPr>
          <w:sz w:val="20"/>
          <w:szCs w:val="20"/>
        </w:rPr>
      </w:pPr>
      <w:bookmarkStart w:id="106" w:name="_Toc135996169"/>
      <w:r w:rsidRPr="00123D4B">
        <w:t xml:space="preserve">– </w:t>
      </w:r>
      <w:r>
        <w:t>Sous-traitance</w:t>
      </w:r>
      <w:bookmarkEnd w:id="106"/>
    </w:p>
    <w:p w14:paraId="1F66F9A7" w14:textId="3917AE06" w:rsidR="00DF11EF" w:rsidRDefault="00DF11EF" w:rsidP="00E1299C">
      <w:r w:rsidRPr="00DF11EF">
        <w:t>Les prestations de services et les travaux de pose ou d’installation pourront être sous-traitées</w:t>
      </w:r>
      <w:r>
        <w:t>,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DF11EF" w:rsidRDefault="00DF11EF" w:rsidP="00DF11EF">
      <w:pPr>
        <w:autoSpaceDE w:val="0"/>
        <w:autoSpaceDN w:val="0"/>
        <w:adjustRightInd w:val="0"/>
        <w:spacing w:before="0" w:after="0"/>
      </w:pPr>
      <w:r w:rsidRPr="00DF11EF">
        <w:t xml:space="preserve">Le DC4 </w:t>
      </w:r>
      <w:r w:rsidR="00DE67AF">
        <w:t>(</w:t>
      </w:r>
      <w:hyperlink r:id="rId12" w:history="1">
        <w:r w:rsidRPr="00DF11EF">
          <w:rPr>
            <w:color w:val="0000FF"/>
            <w:u w:val="single"/>
          </w:rPr>
          <w:t>Les formulaires de déclaration du candidat | economie.gouv.fr</w:t>
        </w:r>
      </w:hyperlink>
      <w:r w:rsidR="00DE67AF">
        <w:t xml:space="preserve">) </w:t>
      </w:r>
      <w:r w:rsidRPr="00DF11EF">
        <w:t xml:space="preserve">doit être envoyé par le titulaire </w:t>
      </w:r>
      <w:r w:rsidR="00DE67AF">
        <w:t>à INRAE</w:t>
      </w:r>
      <w:r w:rsidRPr="00DF11EF">
        <w:t xml:space="preserve">, en main propre contre récépissé ou par lettre recommandée avec avis de réception ou par tout autre moyen permettant d’en attester la date et heure de réception. </w:t>
      </w:r>
    </w:p>
    <w:p w14:paraId="20F70BCE" w14:textId="5465D2DD" w:rsidR="00DF11EF" w:rsidRPr="00DF11EF" w:rsidRDefault="00DF11EF" w:rsidP="00DE67AF">
      <w:pPr>
        <w:autoSpaceDE w:val="0"/>
        <w:autoSpaceDN w:val="0"/>
        <w:adjustRightInd w:val="0"/>
        <w:spacing w:after="0"/>
      </w:pPr>
      <w:r w:rsidRPr="00DF11EF">
        <w:t xml:space="preserve">Le </w:t>
      </w:r>
      <w:r w:rsidR="00DE67AF">
        <w:t>t</w:t>
      </w:r>
      <w:r w:rsidRPr="00DF11EF">
        <w:t xml:space="preserve">itulaire avise ses sous-traitants de ce que les obligations énoncées notamment aux articles L.2193-2 à L.2193-14 du même code leur sont applicables et reste responsable du respect de celles-ci envers </w:t>
      </w:r>
      <w:r w:rsidR="00DE67AF">
        <w:t>INRAE</w:t>
      </w:r>
      <w:r w:rsidRPr="00DF11EF">
        <w:t xml:space="preserve">. </w:t>
      </w:r>
    </w:p>
    <w:p w14:paraId="6E11AC11" w14:textId="7991F1A4" w:rsidR="00DF11EF" w:rsidRDefault="00DF11EF" w:rsidP="00DF11EF">
      <w:r w:rsidRPr="00DF11EF">
        <w:t xml:space="preserve">En tout état de cause, le </w:t>
      </w:r>
      <w:r w:rsidR="00DE67AF">
        <w:t>t</w:t>
      </w:r>
      <w:r w:rsidRPr="00DF11EF">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t>t</w:t>
      </w:r>
      <w:r w:rsidRPr="00DF11EF">
        <w:t xml:space="preserve">itulaire est lui-même soumis aux termes du présent </w:t>
      </w:r>
      <w:r w:rsidR="00DE67AF">
        <w:t>marché</w:t>
      </w:r>
      <w:r w:rsidRPr="00DF11EF">
        <w:t>.</w:t>
      </w:r>
    </w:p>
    <w:p w14:paraId="3C5E8239" w14:textId="77777777" w:rsidR="009B2D4B" w:rsidRDefault="009B2D4B" w:rsidP="009B2D4B">
      <w:pPr>
        <w:pStyle w:val="Default"/>
        <w:rPr>
          <w:rFonts w:ascii="AvenirNext LT Pro LightCn" w:eastAsiaTheme="minorEastAsia" w:hAnsi="AvenirNext LT Pro LightCn" w:cs="Arial"/>
          <w:color w:val="00A6A3"/>
          <w:lang w:eastAsia="en-US"/>
        </w:rPr>
      </w:pPr>
      <w:r>
        <w:rPr>
          <w:rFonts w:ascii="AvenirNext LT Pro LightCn" w:hAnsi="AvenirNext LT Pro LightCn"/>
          <w:b/>
          <w:bCs/>
          <w:color w:val="00A6A3"/>
        </w:rPr>
        <w:t xml:space="preserve">Paiement direct du sous-traitant </w:t>
      </w:r>
      <w:r>
        <w:rPr>
          <w:rFonts w:ascii="AvenirNext LT Pro LightCn" w:hAnsi="AvenirNext LT Pro LightCn"/>
          <w:color w:val="00A6A3"/>
        </w:rPr>
        <w:t xml:space="preserve">: </w:t>
      </w:r>
    </w:p>
    <w:p w14:paraId="1B8414A8" w14:textId="77777777" w:rsidR="009B2D4B" w:rsidRDefault="009B2D4B" w:rsidP="009B2D4B">
      <w:pPr>
        <w:pStyle w:val="Default"/>
        <w:spacing w:before="120"/>
        <w:jc w:val="both"/>
        <w:rPr>
          <w:rFonts w:ascii="AvenirNext LT Pro Cn" w:eastAsiaTheme="minorHAnsi" w:hAnsi="AvenirNext LT Pro Cn" w:cstheme="minorBidi"/>
          <w:color w:val="auto"/>
          <w:sz w:val="22"/>
          <w:szCs w:val="22"/>
          <w:lang w:eastAsia="en-US"/>
        </w:rPr>
      </w:pPr>
      <w:r w:rsidRPr="009B2D4B">
        <w:rPr>
          <w:rFonts w:ascii="AvenirNext LT Pro Cn" w:eastAsiaTheme="minorHAnsi" w:hAnsi="AvenirNext LT Pro Cn" w:cstheme="minorBidi"/>
          <w:color w:val="auto"/>
          <w:sz w:val="22"/>
          <w:szCs w:val="22"/>
          <w:lang w:eastAsia="en-US"/>
        </w:rPr>
        <w:t xml:space="preserve">Le sous-traitant a droit à un </w:t>
      </w:r>
      <w:r w:rsidRPr="009B2D4B">
        <w:rPr>
          <w:rFonts w:ascii="AvenirNext LT Pro Cn" w:eastAsiaTheme="minorHAnsi" w:hAnsi="AvenirNext LT Pro Cn" w:cstheme="minorBidi"/>
          <w:b/>
          <w:color w:val="auto"/>
          <w:sz w:val="22"/>
          <w:szCs w:val="22"/>
          <w:lang w:eastAsia="en-US"/>
        </w:rPr>
        <w:t>paiement direct</w:t>
      </w:r>
      <w:r w:rsidRPr="009B2D4B">
        <w:rPr>
          <w:rFonts w:ascii="AvenirNext LT Pro Cn" w:eastAsiaTheme="minorHAnsi" w:hAnsi="AvenirNext LT Pro Cn" w:cstheme="minorBidi"/>
          <w:color w:val="auto"/>
          <w:sz w:val="22"/>
          <w:szCs w:val="22"/>
          <w:lang w:eastAsia="en-US"/>
        </w:rPr>
        <w:t xml:space="preserve"> pour des prestations supérieures à 600 €TTC. </w:t>
      </w:r>
    </w:p>
    <w:p w14:paraId="10B687C5" w14:textId="65D79BE2" w:rsidR="009B2D4B" w:rsidRDefault="009B2D4B" w:rsidP="009B2D4B">
      <w:pPr>
        <w:pStyle w:val="Default"/>
        <w:spacing w:before="120"/>
        <w:jc w:val="both"/>
        <w:rPr>
          <w:rFonts w:ascii="AvenirNext LT Pro LightCn" w:hAnsi="AvenirNext LT Pro LightCn"/>
          <w:color w:val="auto"/>
        </w:rPr>
      </w:pPr>
      <w:r w:rsidRPr="009B2D4B">
        <w:rPr>
          <w:rFonts w:ascii="AvenirNext LT Pro Cn" w:eastAsiaTheme="minorHAnsi" w:hAnsi="AvenirNext LT Pro Cn" w:cstheme="minorBidi"/>
          <w:color w:val="auto"/>
          <w:sz w:val="22"/>
          <w:szCs w:val="22"/>
          <w:lang w:eastAsia="en-US"/>
        </w:rPr>
        <w:t xml:space="preserve">Selon les dispositions de l’article R2193-16 du CCP, le sous-traitant dépose sa demande de paiement sans autre formalité, au format </w:t>
      </w:r>
      <w:proofErr w:type="spellStart"/>
      <w:r w:rsidRPr="009B2D4B">
        <w:rPr>
          <w:rFonts w:ascii="AvenirNext LT Pro Cn" w:eastAsiaTheme="minorHAnsi" w:hAnsi="AvenirNext LT Pro Cn" w:cstheme="minorBidi"/>
          <w:color w:val="auto"/>
          <w:sz w:val="22"/>
          <w:szCs w:val="22"/>
          <w:lang w:eastAsia="en-US"/>
        </w:rPr>
        <w:t>pdf</w:t>
      </w:r>
      <w:proofErr w:type="spellEnd"/>
      <w:r w:rsidRPr="009B2D4B">
        <w:rPr>
          <w:rFonts w:ascii="AvenirNext LT Pro Cn" w:eastAsiaTheme="minorHAnsi" w:hAnsi="AvenirNext LT Pro Cn" w:cstheme="minorBidi"/>
          <w:color w:val="auto"/>
          <w:sz w:val="22"/>
          <w:szCs w:val="22"/>
          <w:lang w:eastAsia="en-US"/>
        </w:rPr>
        <w:t xml:space="preserve">. </w:t>
      </w:r>
      <w:proofErr w:type="gramStart"/>
      <w:r w:rsidRPr="009B2D4B">
        <w:rPr>
          <w:rFonts w:ascii="AvenirNext LT Pro Cn" w:eastAsiaTheme="minorHAnsi" w:hAnsi="AvenirNext LT Pro Cn" w:cstheme="minorBidi"/>
          <w:color w:val="auto"/>
          <w:sz w:val="22"/>
          <w:szCs w:val="22"/>
          <w:lang w:eastAsia="en-US"/>
        </w:rPr>
        <w:t>sur</w:t>
      </w:r>
      <w:proofErr w:type="gramEnd"/>
      <w:r w:rsidRPr="009B2D4B">
        <w:rPr>
          <w:rFonts w:ascii="AvenirNext LT Pro Cn" w:eastAsiaTheme="minorHAnsi" w:hAnsi="AvenirNext LT Pro Cn" w:cstheme="minorBidi"/>
          <w:color w:val="auto"/>
          <w:sz w:val="22"/>
          <w:szCs w:val="22"/>
          <w:lang w:eastAsia="en-US"/>
        </w:rPr>
        <w:t xml:space="preserve"> le site</w:t>
      </w:r>
      <w:r>
        <w:rPr>
          <w:rFonts w:ascii="AvenirNext LT Pro LightCn" w:hAnsi="AvenirNext LT Pro LightCn"/>
          <w:color w:val="auto"/>
        </w:rPr>
        <w:t xml:space="preserve"> : </w:t>
      </w:r>
      <w:hyperlink r:id="rId13" w:history="1">
        <w:r>
          <w:rPr>
            <w:rStyle w:val="Lienhypertexte"/>
            <w:rFonts w:ascii="AvenirNext LT Pro LightCn" w:hAnsi="AvenirNext LT Pro LightCn"/>
          </w:rPr>
          <w:t>https://chorus-pro.gouv.fr</w:t>
        </w:r>
      </w:hyperlink>
      <w:r>
        <w:rPr>
          <w:rFonts w:ascii="AvenirNext LT Pro LightCn" w:hAnsi="AvenirNext LT Pro LightCn"/>
          <w:color w:val="auto"/>
        </w:rPr>
        <w:t>.</w:t>
      </w:r>
    </w:p>
    <w:p w14:paraId="458359D9" w14:textId="77777777" w:rsidR="009B2D4B" w:rsidRPr="009B2D4B" w:rsidRDefault="009B2D4B" w:rsidP="009B2D4B">
      <w:pPr>
        <w:autoSpaceDE w:val="0"/>
        <w:autoSpaceDN w:val="0"/>
        <w:adjustRightInd w:val="0"/>
        <w:spacing w:after="0"/>
      </w:pPr>
      <w:r w:rsidRPr="009B2D4B">
        <w:t>Le titulaire dispose de quinze jours à compter de ce dépôt pour accepter ou refuser la demande de paiement sur ce portail.</w:t>
      </w:r>
    </w:p>
    <w:p w14:paraId="5B1AA608" w14:textId="77777777" w:rsidR="009B2D4B" w:rsidRPr="009B2D4B" w:rsidRDefault="009B2D4B" w:rsidP="009B2D4B">
      <w:pPr>
        <w:autoSpaceDE w:val="0"/>
        <w:autoSpaceDN w:val="0"/>
        <w:adjustRightInd w:val="0"/>
        <w:spacing w:after="0"/>
      </w:pPr>
      <w:r w:rsidRPr="009B2D4B">
        <w:t xml:space="preserve">INRAE procède au paiement du sous-traitant dans le délai maximum de 30 jours. Ce délai court à compter de la réception par INRAE de l'accord, total ou partiel, du titulaire sur le paiement, ou de l'expiration du délai de 15 jours </w:t>
      </w:r>
      <w:r w:rsidRPr="009B2D4B">
        <w:lastRenderedPageBreak/>
        <w:t xml:space="preserve">susmentionné si, pendant ce délai, le titulaire n'a notifié aucun accord ni aucun refus. INRAE informe le titulaire des paiements qu'il verse au sous-traitant. </w:t>
      </w:r>
    </w:p>
    <w:p w14:paraId="43343264" w14:textId="77777777" w:rsidR="00B3398C" w:rsidRPr="00BC2BFF" w:rsidRDefault="00B3398C" w:rsidP="00585A54">
      <w:pPr>
        <w:pStyle w:val="Titre1"/>
        <w:spacing w:before="360" w:after="240"/>
        <w:ind w:left="357" w:hanging="357"/>
        <w:rPr>
          <w:rFonts w:ascii="AvenirNext LT Pro Cn" w:hAnsi="AvenirNext LT Pro Cn"/>
          <w:i/>
          <w:iCs/>
        </w:rPr>
      </w:pPr>
      <w:bookmarkStart w:id="107" w:name="_Toc135996170"/>
      <w:r w:rsidRPr="00BC2BFF">
        <w:rPr>
          <w:rFonts w:ascii="AvenirNext LT Pro Cn" w:hAnsi="AvenirNext LT Pro Cn"/>
        </w:rPr>
        <w:t xml:space="preserve">DURÉE </w:t>
      </w:r>
      <w:r w:rsidR="00585A54">
        <w:rPr>
          <w:rFonts w:ascii="AvenirNext LT Pro Cn" w:hAnsi="AvenirNext LT Pro Cn"/>
        </w:rPr>
        <w:t xml:space="preserve">ET DELAIS D’EXECUTION </w:t>
      </w:r>
      <w:r w:rsidRPr="00BC2BFF">
        <w:rPr>
          <w:rFonts w:ascii="AvenirNext LT Pro Cn" w:hAnsi="AvenirNext LT Pro Cn"/>
        </w:rPr>
        <w:t>DU MARCHÉ</w:t>
      </w:r>
      <w:bookmarkEnd w:id="107"/>
      <w:r w:rsidRPr="00BC2BFF">
        <w:rPr>
          <w:rFonts w:ascii="AvenirNext LT Pro Cn" w:hAnsi="AvenirNext LT Pro Cn"/>
        </w:rPr>
        <w:t xml:space="preserve"> </w:t>
      </w:r>
    </w:p>
    <w:p w14:paraId="447DF41B" w14:textId="77777777" w:rsidR="00AB563A" w:rsidRPr="00BC2BFF" w:rsidRDefault="00AB563A" w:rsidP="009D115A">
      <w:pPr>
        <w:pStyle w:val="Titre2"/>
        <w:rPr>
          <w:sz w:val="20"/>
          <w:szCs w:val="20"/>
        </w:rPr>
      </w:pPr>
      <w:bookmarkStart w:id="108" w:name="_Toc41990854"/>
      <w:bookmarkStart w:id="109" w:name="_Toc135996171"/>
      <w:r w:rsidRPr="00BC2BFF">
        <w:t>– Durée du marché</w:t>
      </w:r>
      <w:bookmarkEnd w:id="108"/>
      <w:bookmarkEnd w:id="109"/>
    </w:p>
    <w:p w14:paraId="2F0A781E" w14:textId="77777777" w:rsidR="00AB563A" w:rsidRPr="00BC2BFF" w:rsidRDefault="00AB563A" w:rsidP="00AB563A">
      <w:r w:rsidRPr="00BC2BFF">
        <w:t xml:space="preserve">La durée du marché débute </w:t>
      </w:r>
      <w:r w:rsidRPr="00890070">
        <w:t>à sa date de notification et se termine à l’extinction du délai de garantie.</w:t>
      </w:r>
    </w:p>
    <w:p w14:paraId="313763CC" w14:textId="77777777" w:rsidR="00AB563A" w:rsidRPr="00BC2BFF" w:rsidRDefault="00AB563A" w:rsidP="009D115A">
      <w:pPr>
        <w:pStyle w:val="Titre2"/>
      </w:pPr>
      <w:bookmarkStart w:id="110" w:name="page4"/>
      <w:bookmarkStart w:id="111" w:name="_Toc41990855"/>
      <w:bookmarkStart w:id="112" w:name="_Toc135996172"/>
      <w:bookmarkEnd w:id="110"/>
      <w:r w:rsidRPr="00BC2BFF">
        <w:t>– Délai de livraison</w:t>
      </w:r>
      <w:bookmarkEnd w:id="111"/>
      <w:bookmarkEnd w:id="112"/>
    </w:p>
    <w:p w14:paraId="34FC4C65" w14:textId="77777777" w:rsidR="00601DE1" w:rsidRPr="0095051E" w:rsidRDefault="00601DE1" w:rsidP="00601DE1">
      <w:pPr>
        <w:rPr>
          <w:b/>
          <w:u w:val="single"/>
        </w:rPr>
      </w:pPr>
      <w:r w:rsidRPr="0095051E">
        <w:rPr>
          <w:b/>
          <w:u w:val="single"/>
        </w:rPr>
        <w:t>Délai de livraison de l’équipement :</w:t>
      </w:r>
    </w:p>
    <w:p w14:paraId="4E0B9CE0" w14:textId="47444615" w:rsidR="00601DE1" w:rsidRPr="0095051E" w:rsidRDefault="00601DE1" w:rsidP="00601DE1">
      <w:r w:rsidRPr="0095051E">
        <w:t xml:space="preserve">Le délai de livraison de l’équipement est </w:t>
      </w:r>
      <w:r w:rsidRPr="0095051E">
        <w:rPr>
          <w:b/>
        </w:rPr>
        <w:t xml:space="preserve">de </w:t>
      </w:r>
      <w:r w:rsidR="0095051E" w:rsidRPr="0095051E">
        <w:rPr>
          <w:b/>
        </w:rPr>
        <w:t>8</w:t>
      </w:r>
      <w:r w:rsidR="007F5545" w:rsidRPr="0095051E">
        <w:rPr>
          <w:b/>
        </w:rPr>
        <w:t xml:space="preserve"> </w:t>
      </w:r>
      <w:r w:rsidRPr="0095051E">
        <w:rPr>
          <w:b/>
        </w:rPr>
        <w:t>semaine</w:t>
      </w:r>
      <w:r w:rsidR="0095051E" w:rsidRPr="0095051E">
        <w:rPr>
          <w:b/>
        </w:rPr>
        <w:t>s</w:t>
      </w:r>
      <w:r w:rsidR="00063BE9" w:rsidRPr="0095051E">
        <w:t xml:space="preserve"> maximum</w:t>
      </w:r>
      <w:r w:rsidRPr="0095051E">
        <w:t xml:space="preserve"> à compter de la réception par le titulaire du bon de commande.</w:t>
      </w:r>
    </w:p>
    <w:p w14:paraId="2E8E2394" w14:textId="77777777" w:rsidR="00601DE1" w:rsidRPr="0095051E" w:rsidRDefault="00601DE1" w:rsidP="00601DE1">
      <w:r w:rsidRPr="0095051E">
        <w:rPr>
          <w:b/>
          <w:u w:val="single"/>
        </w:rPr>
        <w:t>Délai de livraison d</w:t>
      </w:r>
      <w:r w:rsidR="00585A54" w:rsidRPr="0095051E">
        <w:rPr>
          <w:b/>
          <w:u w:val="single"/>
        </w:rPr>
        <w:t>es</w:t>
      </w:r>
      <w:r w:rsidRPr="0095051E">
        <w:rPr>
          <w:b/>
          <w:u w:val="single"/>
        </w:rPr>
        <w:t xml:space="preserve"> consommable</w:t>
      </w:r>
      <w:r w:rsidR="00585A54" w:rsidRPr="0095051E">
        <w:rPr>
          <w:b/>
          <w:u w:val="single"/>
        </w:rPr>
        <w:t>s</w:t>
      </w:r>
      <w:r w:rsidRPr="0095051E">
        <w:t> :</w:t>
      </w:r>
    </w:p>
    <w:p w14:paraId="1DF7B551" w14:textId="66A6DF8A" w:rsidR="00601DE1" w:rsidRPr="0095051E" w:rsidRDefault="00601DE1" w:rsidP="00601DE1">
      <w:r w:rsidRPr="0095051E">
        <w:t>Le délai de livraison d</w:t>
      </w:r>
      <w:r w:rsidR="00D805D0" w:rsidRPr="0095051E">
        <w:t>es</w:t>
      </w:r>
      <w:r w:rsidRPr="0095051E">
        <w:t xml:space="preserve"> consommable</w:t>
      </w:r>
      <w:r w:rsidR="00D805D0" w:rsidRPr="0095051E">
        <w:t>s</w:t>
      </w:r>
      <w:r w:rsidRPr="0095051E">
        <w:t xml:space="preserve"> est </w:t>
      </w:r>
      <w:r w:rsidRPr="0095051E">
        <w:rPr>
          <w:b/>
        </w:rPr>
        <w:t xml:space="preserve">de </w:t>
      </w:r>
      <w:r w:rsidR="0095051E" w:rsidRPr="0095051E">
        <w:rPr>
          <w:b/>
        </w:rPr>
        <w:t>8</w:t>
      </w:r>
      <w:r w:rsidR="007F5545" w:rsidRPr="0095051E">
        <w:rPr>
          <w:b/>
        </w:rPr>
        <w:t xml:space="preserve"> </w:t>
      </w:r>
      <w:r w:rsidRPr="0095051E">
        <w:rPr>
          <w:b/>
        </w:rPr>
        <w:t>semaines</w:t>
      </w:r>
      <w:r w:rsidRPr="0095051E">
        <w:t xml:space="preserve"> </w:t>
      </w:r>
      <w:r w:rsidR="00063BE9" w:rsidRPr="0095051E">
        <w:t xml:space="preserve">maximum </w:t>
      </w:r>
      <w:r w:rsidRPr="0095051E">
        <w:t>à compter de la réception par le titulaire du bon de commande.</w:t>
      </w:r>
    </w:p>
    <w:p w14:paraId="3DB7337C" w14:textId="77777777" w:rsidR="00AB563A" w:rsidRPr="00BC2BFF" w:rsidRDefault="00AB563A" w:rsidP="009D115A">
      <w:pPr>
        <w:pStyle w:val="Titre2"/>
        <w:rPr>
          <w:sz w:val="20"/>
          <w:szCs w:val="20"/>
        </w:rPr>
      </w:pPr>
      <w:bookmarkStart w:id="113" w:name="_Toc41990856"/>
      <w:bookmarkStart w:id="114" w:name="_Toc135996173"/>
      <w:r w:rsidRPr="00BC2BFF">
        <w:t>- Prolongation du délai</w:t>
      </w:r>
      <w:bookmarkEnd w:id="113"/>
      <w:bookmarkEnd w:id="114"/>
    </w:p>
    <w:p w14:paraId="383EF67C" w14:textId="77777777" w:rsidR="00AB563A" w:rsidRPr="00BC2BFF" w:rsidRDefault="00AB563A" w:rsidP="00AB563A">
      <w:r w:rsidRPr="00BC2BFF">
        <w:t xml:space="preserve">Une prolongation du délai de livraison peut être accordée par le pouvoir adjudicateur dans les conditions de l’article </w:t>
      </w:r>
      <w:r w:rsidRPr="00CB3DAB">
        <w:t xml:space="preserve">13.3 </w:t>
      </w:r>
      <w:r w:rsidRPr="00890070">
        <w:t>du CCAG-FCS.</w:t>
      </w:r>
    </w:p>
    <w:p w14:paraId="6282D61A" w14:textId="77777777" w:rsidR="00B3398C" w:rsidRDefault="003C23D4" w:rsidP="008630D8">
      <w:pPr>
        <w:pStyle w:val="Titre1"/>
        <w:rPr>
          <w:rFonts w:ascii="AvenirNext LT Pro Cn" w:hAnsi="AvenirNext LT Pro Cn"/>
        </w:rPr>
      </w:pPr>
      <w:bookmarkStart w:id="115" w:name="_Toc135996174"/>
      <w:r>
        <w:rPr>
          <w:rFonts w:ascii="AvenirNext LT Pro Cn" w:hAnsi="AvenirNext LT Pro Cn"/>
        </w:rPr>
        <w:t xml:space="preserve">INSTALLATIONS, MISE EN </w:t>
      </w:r>
      <w:r w:rsidR="00F6358A">
        <w:rPr>
          <w:rFonts w:ascii="AvenirNext LT Pro Cn" w:hAnsi="AvenirNext LT Pro Cn"/>
        </w:rPr>
        <w:t>ORDRE DE MARCHE</w:t>
      </w:r>
      <w:r>
        <w:rPr>
          <w:rFonts w:ascii="AvenirNext LT Pro Cn" w:hAnsi="AvenirNext LT Pro Cn"/>
        </w:rPr>
        <w:t xml:space="preserve">, </w:t>
      </w:r>
      <w:r w:rsidR="00B3398C" w:rsidRPr="00BC2BFF">
        <w:rPr>
          <w:rFonts w:ascii="AvenirNext LT Pro Cn" w:hAnsi="AvenirNext LT Pro Cn"/>
        </w:rPr>
        <w:t>VÉRIFICATION ET ADMISSION DES FOURNITURES</w:t>
      </w:r>
      <w:bookmarkEnd w:id="115"/>
      <w:r w:rsidR="00B3398C" w:rsidRPr="00BC2BFF">
        <w:rPr>
          <w:rFonts w:ascii="AvenirNext LT Pro Cn" w:hAnsi="AvenirNext LT Pro Cn"/>
        </w:rPr>
        <w:t xml:space="preserve"> </w:t>
      </w:r>
    </w:p>
    <w:p w14:paraId="505C823B" w14:textId="77777777" w:rsidR="003C23D4" w:rsidRPr="00BC2BFF" w:rsidRDefault="003C23D4" w:rsidP="009D115A">
      <w:pPr>
        <w:pStyle w:val="Titre2"/>
        <w:rPr>
          <w:sz w:val="20"/>
          <w:szCs w:val="20"/>
        </w:rPr>
      </w:pPr>
      <w:bookmarkStart w:id="116" w:name="_Toc135996175"/>
      <w:r>
        <w:t>–</w:t>
      </w:r>
      <w:r w:rsidRPr="00BC2BFF">
        <w:t xml:space="preserve"> </w:t>
      </w:r>
      <w:r>
        <w:t xml:space="preserve">Installation et mise en </w:t>
      </w:r>
      <w:r w:rsidR="00F6358A">
        <w:t>ordre de marche</w:t>
      </w:r>
      <w:bookmarkEnd w:id="116"/>
    </w:p>
    <w:p w14:paraId="07FCE2A9" w14:textId="77777777" w:rsidR="003C23D4" w:rsidRDefault="003C23D4" w:rsidP="003C23D4">
      <w:r>
        <w:t xml:space="preserve">Le présent marché inclut à la charge du titulaire l’ensemble des prestations et fournitures nécessaires à l’installation et </w:t>
      </w:r>
      <w:r w:rsidR="00E41162">
        <w:t xml:space="preserve">à </w:t>
      </w:r>
      <w:r>
        <w:t xml:space="preserve">la mise en </w:t>
      </w:r>
      <w:r w:rsidR="00F6358A">
        <w:t xml:space="preserve">ordre de marche (mise en </w:t>
      </w:r>
      <w:r>
        <w:t>service opérationnelle</w:t>
      </w:r>
      <w:r w:rsidR="00F6358A">
        <w:t>)</w:t>
      </w:r>
      <w:r>
        <w:t xml:space="preserve"> de l’équipement.</w:t>
      </w:r>
      <w:r w:rsidR="00F6358A">
        <w:t xml:space="preserve"> </w:t>
      </w:r>
    </w:p>
    <w:p w14:paraId="0B901CFA" w14:textId="77777777" w:rsidR="00F6358A" w:rsidRDefault="00F6358A" w:rsidP="003C23D4">
      <w:r>
        <w:t xml:space="preserve">Le titulaire du présent marché notifiera à INRAE la mise en ordre de marche (MOM) de l’équipement, selon le modèle joint en annexe, par courrier ou mail. Cette notification lancera l’étape relative aux opérations de vérification. </w:t>
      </w:r>
    </w:p>
    <w:p w14:paraId="32B46369" w14:textId="77777777" w:rsidR="003C23D4" w:rsidRPr="0042556F" w:rsidRDefault="003C23D4" w:rsidP="009D115A">
      <w:pPr>
        <w:pStyle w:val="Titre2"/>
        <w:rPr>
          <w:sz w:val="20"/>
          <w:szCs w:val="20"/>
        </w:rPr>
      </w:pPr>
      <w:bookmarkStart w:id="117" w:name="_Toc135996176"/>
      <w:r>
        <w:t>–</w:t>
      </w:r>
      <w:r w:rsidRPr="00BC2BFF">
        <w:t xml:space="preserve"> </w:t>
      </w:r>
      <w:r>
        <w:t>Opérations de vérification – Admission des prestations</w:t>
      </w:r>
      <w:bookmarkEnd w:id="117"/>
    </w:p>
    <w:p w14:paraId="4D567CA6" w14:textId="77777777" w:rsidR="00E701E9" w:rsidRPr="00E701E9" w:rsidRDefault="00E701E9" w:rsidP="00E701E9">
      <w:r w:rsidRPr="00E701E9">
        <w:t xml:space="preserve">Les opérations de vérification quantitative et qualitative sont effectuées par le représentant </w:t>
      </w:r>
      <w:r w:rsidR="00890070">
        <w:t>d’INRAE</w:t>
      </w:r>
      <w:r w:rsidRPr="00E701E9">
        <w:t xml:space="preserve"> conformément aux dispositions prévues par les articles 27 à 33 du CCAG-FCS, excepté pour les points qui suivent.</w:t>
      </w:r>
    </w:p>
    <w:p w14:paraId="09F8CD6A" w14:textId="77777777" w:rsidR="00E701E9" w:rsidRDefault="00E701E9" w:rsidP="00E701E9">
      <w:r w:rsidRPr="00E701E9">
        <w:t xml:space="preserve">Les opérations de vérification, ainsi que les décisions d'admission, d'ajournement, de réfaction ou de rejet sont effectuées par </w:t>
      </w:r>
      <w:r w:rsidR="00795056">
        <w:t>INRAE</w:t>
      </w:r>
      <w:r w:rsidRPr="00E701E9">
        <w:t>.</w:t>
      </w:r>
    </w:p>
    <w:p w14:paraId="28ED1E92" w14:textId="77777777" w:rsidR="0042556F" w:rsidRDefault="00E41162" w:rsidP="00E701E9">
      <w:r>
        <w:t>Par dérogation à l’article 28 du CCAG-FCS, les opérations de vérification démarrent à compter de la date de</w:t>
      </w:r>
      <w:r w:rsidR="00632DB7">
        <w:t xml:space="preserve"> notification de</w:t>
      </w:r>
      <w:r>
        <w:t xml:space="preserve"> mise en </w:t>
      </w:r>
      <w:r w:rsidR="00632DB7">
        <w:t>ordre</w:t>
      </w:r>
      <w:r>
        <w:t xml:space="preserve"> de l’équipement par le titulaire, </w:t>
      </w:r>
      <w:r w:rsidR="009441CC">
        <w:t xml:space="preserve">sous sa responsabilité et sans supplément de prix, </w:t>
      </w:r>
      <w:r>
        <w:t>en conformité avec les performances techniques et fonctionnelles spécifiées dans le présent marché</w:t>
      </w:r>
      <w:r w:rsidR="009441CC">
        <w:t>, dans les locaux désignés par INRAE.</w:t>
      </w:r>
    </w:p>
    <w:p w14:paraId="2FC35746" w14:textId="77777777" w:rsidR="00A26305" w:rsidRPr="008771C6" w:rsidRDefault="00A26305" w:rsidP="00A26305">
      <w:pPr>
        <w:rPr>
          <w:rFonts w:ascii="AvenirNext LT Pro LightCn" w:hAnsi="AvenirNext LT Pro LightCn"/>
        </w:rPr>
      </w:pPr>
      <w:r w:rsidRPr="008771C6">
        <w:rPr>
          <w:rFonts w:ascii="AvenirNext LT Pro LightCn" w:hAnsi="AvenirNext LT Pro LightCn"/>
        </w:rPr>
        <w:t xml:space="preserve">Les opérations de vérifications sont réalisées conformément aux stipulations du CCAG FCS et notamment de ses articles 27 et suivants. </w:t>
      </w:r>
    </w:p>
    <w:p w14:paraId="73F7D651" w14:textId="62E2328C" w:rsidR="00A26305" w:rsidRPr="008771C6" w:rsidRDefault="00A26305" w:rsidP="00A26305">
      <w:pPr>
        <w:rPr>
          <w:rFonts w:ascii="AvenirNext LT Pro LightCn" w:hAnsi="AvenirNext LT Pro LightCn"/>
        </w:rPr>
      </w:pPr>
      <w:r w:rsidRPr="008771C6">
        <w:rPr>
          <w:rFonts w:ascii="AvenirNext LT Pro LightCn" w:hAnsi="AvenirNext LT Pro LightCn"/>
        </w:rPr>
        <w:lastRenderedPageBreak/>
        <w:t xml:space="preserve">Cependant, par dérogation aux stipulations de l’article 28.2 du CCAG FCS, le délai dont dispose </w:t>
      </w:r>
      <w:r w:rsidR="00F53C59" w:rsidRPr="008771C6">
        <w:rPr>
          <w:rFonts w:ascii="AvenirNext LT Pro LightCn" w:hAnsi="AvenirNext LT Pro LightCn"/>
        </w:rPr>
        <w:t>INRAE</w:t>
      </w:r>
      <w:r w:rsidRPr="008771C6">
        <w:rPr>
          <w:rFonts w:ascii="AvenirNext LT Pro LightCn" w:hAnsi="AvenirNext LT Pro LightCn"/>
        </w:rPr>
        <w:t xml:space="preserve"> pour formaliser un </w:t>
      </w:r>
      <w:r w:rsidR="008771C6" w:rsidRPr="008771C6">
        <w:rPr>
          <w:rFonts w:ascii="AvenirNext LT Pro LightCn" w:hAnsi="AvenirNext LT Pro LightCn"/>
        </w:rPr>
        <w:t>procès-verbal</w:t>
      </w:r>
      <w:r w:rsidRPr="008771C6">
        <w:rPr>
          <w:rFonts w:ascii="AvenirNext LT Pro LightCn" w:hAnsi="AvenirNext LT Pro LightCn"/>
        </w:rPr>
        <w:t xml:space="preserve"> (PV) et notifier sa décision est de soixante jours à compter de la mise en service ou le cas échéant à la fin de la formation initiale des utilisateurs de l’instrument si celle-ci est postérieure à la mise en service.</w:t>
      </w:r>
    </w:p>
    <w:p w14:paraId="34D5CD2C" w14:textId="77777777" w:rsidR="001E21C7" w:rsidRPr="00BC2BFF" w:rsidRDefault="001E21C7" w:rsidP="003B5365">
      <w:pPr>
        <w:pStyle w:val="Titre1"/>
        <w:spacing w:before="360" w:after="240"/>
        <w:ind w:left="357" w:hanging="357"/>
        <w:rPr>
          <w:rFonts w:ascii="AvenirNext LT Pro Cn" w:hAnsi="AvenirNext LT Pro Cn"/>
        </w:rPr>
      </w:pPr>
      <w:bookmarkStart w:id="118" w:name="_Toc135996177"/>
      <w:r w:rsidRPr="00BC2BFF">
        <w:rPr>
          <w:rFonts w:ascii="AvenirNext LT Pro Cn" w:hAnsi="AvenirNext LT Pro Cn"/>
        </w:rPr>
        <w:t>ZONES A REGIME RESTRICTIF (ZRR)</w:t>
      </w:r>
      <w:r w:rsidR="00A260E4">
        <w:rPr>
          <w:rFonts w:ascii="AvenirNext LT Pro Cn" w:hAnsi="AvenirNext LT Pro Cn"/>
        </w:rPr>
        <w:t xml:space="preserve"> ET SECURITE DE L’INFORMATION</w:t>
      </w:r>
      <w:bookmarkEnd w:id="118"/>
    </w:p>
    <w:p w14:paraId="092CE356" w14:textId="77777777" w:rsidR="001E21C7" w:rsidRPr="00BC2BFF" w:rsidRDefault="001E21C7" w:rsidP="008630D8">
      <w:pPr>
        <w:rPr>
          <w:b/>
          <w:i/>
        </w:rPr>
      </w:pPr>
      <w:bookmarkStart w:id="119" w:name="_Toc473299930"/>
      <w:r w:rsidRPr="00BC2BFF">
        <w:t xml:space="preserve">Lorsque les prestations </w:t>
      </w:r>
      <w:r w:rsidR="0026288D" w:rsidRPr="00BC2BFF">
        <w:t xml:space="preserve">de services </w:t>
      </w:r>
      <w:r w:rsidRPr="00BC2BFF">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19"/>
    </w:p>
    <w:p w14:paraId="1A19FF42" w14:textId="77777777" w:rsidR="001E21C7" w:rsidRDefault="001E21C7" w:rsidP="008630D8">
      <w:bookmarkStart w:id="120" w:name="_Toc473299931"/>
      <w:r w:rsidRPr="00BC2BFF">
        <w:t xml:space="preserve">Cette réglementation prévoit des dispositions de contrôle de l'accès à des Zones à Régime Restrictif (ZRR). À ce titre le </w:t>
      </w:r>
      <w:r w:rsidR="00E0436E">
        <w:t>t</w:t>
      </w:r>
      <w:r w:rsidRPr="00BC2BFF">
        <w:t>itulaire peut être soumis aux procédures correspondantes d'autorisations préalables d'accès lorsque les prestations sont susceptibles de concerner de telles zones.</w:t>
      </w:r>
      <w:bookmarkEnd w:id="120"/>
    </w:p>
    <w:p w14:paraId="72625679" w14:textId="77777777" w:rsidR="00532847" w:rsidRPr="00881C9D" w:rsidRDefault="00532847" w:rsidP="008630D8">
      <w:pPr>
        <w:rPr>
          <w:b/>
        </w:rPr>
      </w:pPr>
      <w:r w:rsidRPr="00881C9D">
        <w:rPr>
          <w:b/>
        </w:rPr>
        <w:t>Sécurité de l’information</w:t>
      </w:r>
    </w:p>
    <w:p w14:paraId="419C5572" w14:textId="77777777" w:rsidR="00532847" w:rsidRPr="00881C9D" w:rsidRDefault="00A204B9" w:rsidP="00532847">
      <w:pPr>
        <w:rPr>
          <w:rFonts w:ascii="Calibri" w:hAnsi="Calibri" w:cs="Calibri"/>
        </w:rPr>
      </w:pPr>
      <w:r w:rsidRPr="00881C9D">
        <w:t>INRAE formera</w:t>
      </w:r>
      <w:r w:rsidR="00532847" w:rsidRPr="00881C9D">
        <w:t xml:space="preserve">, au moins une fois par an, tous les employés des </w:t>
      </w:r>
      <w:r w:rsidR="00A260E4" w:rsidRPr="00881C9D">
        <w:t>titulaires</w:t>
      </w:r>
      <w:r w:rsidR="00532847" w:rsidRPr="00881C9D">
        <w:t xml:space="preserve"> présents dans </w:t>
      </w:r>
      <w:r w:rsidRPr="00881C9D">
        <w:t>les</w:t>
      </w:r>
      <w:r w:rsidR="00532847" w:rsidRPr="00881C9D">
        <w:t xml:space="preserve"> locaux </w:t>
      </w:r>
      <w:r w:rsidRPr="00881C9D">
        <w:t xml:space="preserve">concernés aux </w:t>
      </w:r>
      <w:r w:rsidR="00532847" w:rsidRPr="00881C9D">
        <w:t>r</w:t>
      </w:r>
      <w:r w:rsidR="00A260E4" w:rsidRPr="00881C9D">
        <w:t>è</w:t>
      </w:r>
      <w:r w:rsidR="00532847" w:rsidRPr="00881C9D">
        <w:t xml:space="preserve">gles </w:t>
      </w:r>
      <w:r w:rsidRPr="00881C9D">
        <w:t xml:space="preserve">des unités </w:t>
      </w:r>
      <w:r w:rsidR="00532847" w:rsidRPr="00881C9D">
        <w:t xml:space="preserve">dans le domaine de la sécurité de l’information. Les employés des </w:t>
      </w:r>
      <w:r w:rsidR="00A260E4" w:rsidRPr="00881C9D">
        <w:t>titulaires</w:t>
      </w:r>
      <w:r w:rsidR="00532847" w:rsidRPr="00881C9D">
        <w:t xml:space="preserve"> seront tenus de s’y conformer, et devront signer, en fin de formation, </w:t>
      </w:r>
      <w:r w:rsidR="00A260E4" w:rsidRPr="00881C9D">
        <w:t xml:space="preserve">un document indiquant </w:t>
      </w:r>
      <w:r w:rsidR="00532847" w:rsidRPr="00881C9D">
        <w:t xml:space="preserve">qu’ils ont compris les règles. A </w:t>
      </w:r>
      <w:r w:rsidR="001051F5" w:rsidRPr="00881C9D">
        <w:t>titre indicatif</w:t>
      </w:r>
      <w:r w:rsidR="00532847" w:rsidRPr="00881C9D">
        <w:t>, la formation sera faite en même temps que la formation aux risques (plan de prévention) et sui</w:t>
      </w:r>
      <w:r w:rsidR="00A260E4" w:rsidRPr="00881C9D">
        <w:t>t</w:t>
      </w:r>
      <w:r w:rsidR="00532847" w:rsidRPr="00881C9D">
        <w:t xml:space="preserve"> le même régime (obligatoire). </w:t>
      </w:r>
    </w:p>
    <w:p w14:paraId="2586C910" w14:textId="77777777" w:rsidR="00B3398C" w:rsidRPr="00BC2BFF" w:rsidRDefault="00B3398C" w:rsidP="00890070">
      <w:pPr>
        <w:pStyle w:val="Titre1"/>
        <w:spacing w:before="360" w:after="240"/>
        <w:ind w:left="357" w:hanging="357"/>
        <w:rPr>
          <w:rFonts w:ascii="AvenirNext LT Pro Cn" w:hAnsi="AvenirNext LT Pro Cn"/>
        </w:rPr>
      </w:pPr>
      <w:bookmarkStart w:id="121" w:name="_Toc135996178"/>
      <w:r w:rsidRPr="00BC2BFF">
        <w:rPr>
          <w:rFonts w:ascii="AvenirNext LT Pro Cn" w:hAnsi="AvenirNext LT Pro Cn"/>
        </w:rPr>
        <w:t>PRIX ET MODALITÉS DE PAIEMENTS</w:t>
      </w:r>
      <w:bookmarkEnd w:id="121"/>
    </w:p>
    <w:p w14:paraId="3EDC2BB3" w14:textId="77777777" w:rsidR="00B3398C" w:rsidRPr="00BC2BFF" w:rsidRDefault="00B3398C" w:rsidP="009D115A">
      <w:pPr>
        <w:pStyle w:val="Titre2"/>
      </w:pPr>
      <w:bookmarkStart w:id="122" w:name="_Toc135996179"/>
      <w:r w:rsidRPr="00BC2BFF">
        <w:t>Prix du marché</w:t>
      </w:r>
      <w:bookmarkEnd w:id="122"/>
    </w:p>
    <w:p w14:paraId="1F855768" w14:textId="77777777" w:rsidR="00E1324A" w:rsidRPr="00BC2BFF" w:rsidRDefault="00E1324A" w:rsidP="00E1324A">
      <w:r w:rsidRPr="00BC2BFF">
        <w:t xml:space="preserve">Le présent marché est </w:t>
      </w:r>
      <w:r w:rsidR="00E34666" w:rsidRPr="00BC2BFF">
        <w:t>traité au prix global et forfaitaire précisé et décomposé par le titulaire dans son offre.</w:t>
      </w:r>
      <w:r w:rsidRPr="00BC2BFF">
        <w:t xml:space="preserve"> </w:t>
      </w:r>
    </w:p>
    <w:p w14:paraId="59770167" w14:textId="31B101E1" w:rsidR="00E1324A" w:rsidRPr="00B7002F" w:rsidRDefault="00E34666" w:rsidP="00E1324A">
      <w:pPr>
        <w:rPr>
          <w:color w:val="FF0000"/>
        </w:rPr>
      </w:pPr>
      <w:r w:rsidRPr="00BC2BFF">
        <w:t>Conformément à l’article 10 du CCAG-FCS, l</w:t>
      </w:r>
      <w:r w:rsidR="00E1324A" w:rsidRPr="00BC2BFF">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sidR="00A006E3">
        <w:t xml:space="preserve"> telles que la formation, la garantie, le support technique et </w:t>
      </w:r>
      <w:r w:rsidR="00E1324A" w:rsidRPr="00BC2BFF">
        <w:t>les marges pour risque et les marges bénéficiaires</w:t>
      </w:r>
      <w:r w:rsidR="00E1324A" w:rsidRPr="000A7225">
        <w:t xml:space="preserve">. </w:t>
      </w:r>
    </w:p>
    <w:p w14:paraId="457DB757" w14:textId="77777777" w:rsidR="00E1324A" w:rsidRPr="00BC2BFF" w:rsidRDefault="00E1324A" w:rsidP="00E1324A">
      <w:r w:rsidRPr="00BC2BFF">
        <w:t>Les frais de manutention et de transport, qui naîtraient de l’ajournement ou du rejet des prestations, sont à la charge du titulaire.</w:t>
      </w:r>
    </w:p>
    <w:p w14:paraId="352F1FC4" w14:textId="77777777" w:rsidR="00E34666" w:rsidRPr="00BC2BFF" w:rsidRDefault="00E34666" w:rsidP="00334A01">
      <w:pPr>
        <w:keepLines/>
        <w:widowControl w:val="0"/>
        <w:autoSpaceDE w:val="0"/>
        <w:autoSpaceDN w:val="0"/>
        <w:adjustRightInd w:val="0"/>
        <w:spacing w:before="240"/>
        <w:ind w:left="119" w:right="113"/>
        <w:rPr>
          <w:rFonts w:eastAsiaTheme="minorEastAsia" w:cstheme="minorHAnsi"/>
          <w:b/>
          <w:i/>
          <w:iCs/>
          <w:color w:val="FF0000"/>
          <w:lang w:eastAsia="fr-FR"/>
        </w:rPr>
      </w:pPr>
      <w:r w:rsidRPr="00BC2BFF">
        <w:rPr>
          <w:rFonts w:eastAsiaTheme="minorEastAsia" w:cstheme="minorHAnsi"/>
          <w:b/>
          <w:i/>
          <w:iCs/>
          <w:color w:val="FF0000"/>
          <w:lang w:eastAsia="fr-FR"/>
        </w:rPr>
        <w:t>Zones à compléter par le candidat :</w:t>
      </w:r>
    </w:p>
    <w:p w14:paraId="6BE2791F" w14:textId="68A027B2" w:rsidR="00E34666" w:rsidRDefault="00E34666" w:rsidP="009F4AD5">
      <w:pPr>
        <w:keepLines/>
        <w:widowControl w:val="0"/>
        <w:autoSpaceDE w:val="0"/>
        <w:autoSpaceDN w:val="0"/>
        <w:adjustRightInd w:val="0"/>
        <w:ind w:left="119" w:right="113"/>
        <w:rPr>
          <w:rFonts w:cs="Calibri"/>
        </w:rPr>
      </w:pPr>
      <w:r w:rsidRPr="00BC2BFF">
        <w:rPr>
          <w:rFonts w:eastAsiaTheme="minorEastAsia" w:cs="Calibri"/>
          <w:bCs/>
          <w:color w:val="000000"/>
          <w:lang w:eastAsia="fr-FR"/>
        </w:rPr>
        <w:t>Montant du prix</w:t>
      </w:r>
      <w:r w:rsidR="00B7002F">
        <w:rPr>
          <w:rFonts w:eastAsiaTheme="minorEastAsia" w:cs="Calibri"/>
          <w:bCs/>
          <w:color w:val="000000"/>
          <w:lang w:eastAsia="fr-FR"/>
        </w:rPr>
        <w:t xml:space="preserve"> global et </w:t>
      </w:r>
      <w:r w:rsidRPr="00BC2BFF">
        <w:rPr>
          <w:rFonts w:eastAsiaTheme="minorEastAsia" w:cs="Calibri"/>
          <w:bCs/>
          <w:color w:val="000000"/>
          <w:lang w:eastAsia="fr-FR"/>
        </w:rPr>
        <w:t>forfaitaire</w:t>
      </w:r>
      <w:r w:rsidR="00AC5FB7">
        <w:rPr>
          <w:rFonts w:eastAsiaTheme="minorEastAsia" w:cs="Calibri"/>
          <w:bCs/>
          <w:color w:val="000000"/>
          <w:lang w:eastAsia="fr-FR"/>
        </w:rPr>
        <w:t xml:space="preserve"> </w:t>
      </w:r>
      <w:r w:rsidR="00B7002F">
        <w:rPr>
          <w:rFonts w:cs="Calibri"/>
        </w:rPr>
        <w:t>:</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E34666" w:rsidRPr="00BC2BFF" w14:paraId="6169C415"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A4D7FB6" w14:textId="77777777" w:rsidR="00E34666" w:rsidRPr="00BC2BFF" w:rsidRDefault="00E34666" w:rsidP="00AD1B16">
            <w:pPr>
              <w:keepLines/>
              <w:widowControl w:val="0"/>
              <w:autoSpaceDE w:val="0"/>
              <w:autoSpaceDN w:val="0"/>
              <w:adjustRightInd w:val="0"/>
              <w:spacing w:before="60" w:after="60"/>
              <w:ind w:left="108" w:right="90"/>
              <w:rPr>
                <w:rFonts w:eastAsiaTheme="minorEastAsia" w:cstheme="minorHAnsi"/>
                <w:color w:val="FF0000"/>
                <w:lang w:eastAsia="fr-FR"/>
              </w:rPr>
            </w:pPr>
            <w:r w:rsidRPr="00BC2BFF">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A296739" w14:textId="77777777" w:rsidR="00E34666" w:rsidRPr="00BC2BFF" w:rsidRDefault="00E34666" w:rsidP="00AD1B16">
            <w:pPr>
              <w:keepLines/>
              <w:widowControl w:val="0"/>
              <w:autoSpaceDE w:val="0"/>
              <w:autoSpaceDN w:val="0"/>
              <w:adjustRightInd w:val="0"/>
              <w:spacing w:before="60" w:after="60"/>
              <w:ind w:left="126" w:right="80"/>
              <w:jc w:val="right"/>
              <w:rPr>
                <w:rFonts w:eastAsiaTheme="minorEastAsia" w:cstheme="minorHAnsi"/>
                <w:lang w:eastAsia="fr-FR"/>
              </w:rPr>
            </w:pPr>
            <w:r w:rsidRPr="00BC2BFF">
              <w:rPr>
                <w:rFonts w:eastAsiaTheme="minorEastAsia" w:cstheme="minorHAnsi"/>
                <w:color w:val="000000"/>
                <w:lang w:eastAsia="fr-FR"/>
              </w:rPr>
              <w:t>€</w:t>
            </w:r>
          </w:p>
        </w:tc>
      </w:tr>
      <w:tr w:rsidR="00E34666" w:rsidRPr="00BC2BFF" w14:paraId="0F2BBA51"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1943352" w14:textId="77777777" w:rsidR="00E34666" w:rsidRPr="00BC2BFF" w:rsidRDefault="00E34666" w:rsidP="00AD1B16">
            <w:pPr>
              <w:keepLines/>
              <w:widowControl w:val="0"/>
              <w:autoSpaceDE w:val="0"/>
              <w:autoSpaceDN w:val="0"/>
              <w:adjustRightInd w:val="0"/>
              <w:spacing w:before="60" w:after="60"/>
              <w:ind w:left="108" w:right="90"/>
              <w:rPr>
                <w:rFonts w:eastAsiaTheme="minorEastAsia" w:cstheme="minorHAnsi"/>
                <w:lang w:eastAsia="fr-FR"/>
              </w:rPr>
            </w:pPr>
            <w:r w:rsidRPr="00BC2BFF">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D819487" w14:textId="77777777" w:rsidR="00E34666" w:rsidRPr="00BC2BFF" w:rsidRDefault="00E34666" w:rsidP="00AD1B16">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BC2BFF">
              <w:rPr>
                <w:rFonts w:eastAsiaTheme="minorEastAsia" w:cstheme="minorHAnsi"/>
                <w:color w:val="000000"/>
                <w:lang w:eastAsia="fr-FR"/>
              </w:rPr>
              <w:t>%</w:t>
            </w:r>
          </w:p>
        </w:tc>
      </w:tr>
      <w:tr w:rsidR="00F0378C" w:rsidRPr="00BC2BFF" w14:paraId="7C1F3548"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B975C8A" w14:textId="77777777" w:rsidR="00F0378C" w:rsidRPr="00BC2BFF" w:rsidRDefault="00F0378C" w:rsidP="00AD1B16">
            <w:pPr>
              <w:keepLines/>
              <w:widowControl w:val="0"/>
              <w:autoSpaceDE w:val="0"/>
              <w:autoSpaceDN w:val="0"/>
              <w:adjustRightInd w:val="0"/>
              <w:spacing w:before="60" w:after="60"/>
              <w:ind w:left="108" w:right="90"/>
              <w:rPr>
                <w:rFonts w:eastAsiaTheme="minorEastAsia" w:cstheme="minorHAnsi"/>
                <w:color w:val="000000"/>
                <w:lang w:eastAsia="fr-FR"/>
              </w:rPr>
            </w:pPr>
            <w:r>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8C5ECEE" w14:textId="77777777" w:rsidR="00F0378C" w:rsidRPr="00BC2BFF" w:rsidRDefault="00F0378C" w:rsidP="00AD1B16">
            <w:pPr>
              <w:widowControl w:val="0"/>
              <w:autoSpaceDE w:val="0"/>
              <w:autoSpaceDN w:val="0"/>
              <w:adjustRightInd w:val="0"/>
              <w:spacing w:before="60" w:after="60"/>
              <w:ind w:left="126" w:right="80"/>
              <w:jc w:val="right"/>
              <w:rPr>
                <w:rFonts w:eastAsiaTheme="minorEastAsia" w:cstheme="minorHAnsi"/>
                <w:color w:val="000000"/>
                <w:lang w:eastAsia="fr-FR"/>
              </w:rPr>
            </w:pPr>
            <w:r>
              <w:rPr>
                <w:rFonts w:eastAsiaTheme="minorEastAsia" w:cstheme="minorHAnsi"/>
                <w:color w:val="000000"/>
                <w:lang w:eastAsia="fr-FR"/>
              </w:rPr>
              <w:t>€</w:t>
            </w:r>
          </w:p>
        </w:tc>
      </w:tr>
      <w:tr w:rsidR="00E34666" w:rsidRPr="00BC2BFF" w14:paraId="63AD772B"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44C0EA8" w14:textId="77777777" w:rsidR="00E34666" w:rsidRPr="00BC2BFF" w:rsidRDefault="00E34666" w:rsidP="00AD1B16">
            <w:pPr>
              <w:keepLines/>
              <w:widowControl w:val="0"/>
              <w:autoSpaceDE w:val="0"/>
              <w:autoSpaceDN w:val="0"/>
              <w:adjustRightInd w:val="0"/>
              <w:spacing w:before="60" w:after="60"/>
              <w:ind w:left="108" w:right="90"/>
              <w:rPr>
                <w:rFonts w:eastAsiaTheme="minorEastAsia" w:cstheme="minorHAnsi"/>
                <w:lang w:eastAsia="fr-FR"/>
              </w:rPr>
            </w:pPr>
            <w:r w:rsidRPr="00BC2BFF">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4DB147B" w14:textId="77777777" w:rsidR="00E34666" w:rsidRPr="00BC2BFF" w:rsidRDefault="00E34666" w:rsidP="00AD1B16">
            <w:pPr>
              <w:widowControl w:val="0"/>
              <w:autoSpaceDE w:val="0"/>
              <w:autoSpaceDN w:val="0"/>
              <w:adjustRightInd w:val="0"/>
              <w:spacing w:before="60" w:after="60"/>
              <w:ind w:left="126" w:right="80"/>
              <w:jc w:val="right"/>
              <w:rPr>
                <w:rFonts w:eastAsiaTheme="minorEastAsia" w:cstheme="minorHAnsi"/>
                <w:lang w:eastAsia="fr-FR"/>
              </w:rPr>
            </w:pPr>
            <w:r w:rsidRPr="00BC2BFF">
              <w:rPr>
                <w:rFonts w:eastAsiaTheme="minorEastAsia" w:cstheme="minorHAnsi"/>
                <w:color w:val="000000"/>
                <w:lang w:eastAsia="fr-FR"/>
              </w:rPr>
              <w:t>€</w:t>
            </w:r>
          </w:p>
        </w:tc>
      </w:tr>
    </w:tbl>
    <w:p w14:paraId="10C18736" w14:textId="77777777" w:rsidR="00E34666" w:rsidRPr="00BC2BFF" w:rsidRDefault="00E34666" w:rsidP="00E34666">
      <w:pPr>
        <w:keepLines/>
        <w:widowControl w:val="0"/>
        <w:autoSpaceDE w:val="0"/>
        <w:autoSpaceDN w:val="0"/>
        <w:adjustRightInd w:val="0"/>
        <w:spacing w:before="240" w:after="0"/>
        <w:ind w:left="119" w:right="113"/>
        <w:rPr>
          <w:rFonts w:eastAsiaTheme="minorEastAsia" w:cstheme="minorHAnsi"/>
          <w:lang w:eastAsia="fr-FR"/>
        </w:rPr>
      </w:pPr>
      <w:r w:rsidRPr="00BC2BFF">
        <w:rPr>
          <w:rFonts w:eastAsiaTheme="minorEastAsia" w:cstheme="minorHAnsi"/>
          <w:i/>
          <w:iCs/>
          <w:color w:val="000000"/>
          <w:lang w:eastAsia="fr-FR"/>
        </w:rPr>
        <w:t>Montant global TTC (en lettres) : ………………………………………………………………………</w:t>
      </w:r>
      <w:proofErr w:type="gramStart"/>
      <w:r w:rsidRPr="00BC2BFF">
        <w:rPr>
          <w:rFonts w:eastAsiaTheme="minorEastAsia" w:cstheme="minorHAnsi"/>
          <w:i/>
          <w:iCs/>
          <w:color w:val="000000"/>
          <w:lang w:eastAsia="fr-FR"/>
        </w:rPr>
        <w:t>…….</w:t>
      </w:r>
      <w:proofErr w:type="gramEnd"/>
      <w:r w:rsidRPr="00BC2BFF">
        <w:rPr>
          <w:rFonts w:eastAsiaTheme="minorEastAsia" w:cstheme="minorHAnsi"/>
          <w:i/>
          <w:iCs/>
          <w:color w:val="000000"/>
          <w:lang w:eastAsia="fr-FR"/>
        </w:rPr>
        <w:t>.euros</w:t>
      </w:r>
    </w:p>
    <w:p w14:paraId="6B6CED3E" w14:textId="0B140226" w:rsidR="00E1324A" w:rsidRDefault="00392D42" w:rsidP="00392D42">
      <w:pPr>
        <w:spacing w:before="240"/>
      </w:pPr>
      <w:r>
        <w:t>L</w:t>
      </w:r>
      <w:r w:rsidR="00E1324A" w:rsidRPr="00BC2BFF">
        <w:t>e marché est conclu à prix ferme et définitif.</w:t>
      </w:r>
    </w:p>
    <w:p w14:paraId="55EBEB75" w14:textId="77777777" w:rsidR="00B3398C" w:rsidRPr="00BC2BFF" w:rsidRDefault="00911DB8" w:rsidP="009D115A">
      <w:pPr>
        <w:pStyle w:val="Titre2"/>
      </w:pPr>
      <w:bookmarkStart w:id="123" w:name="_Toc135996180"/>
      <w:r w:rsidRPr="00BC2BFF">
        <w:lastRenderedPageBreak/>
        <w:t>Echéancier</w:t>
      </w:r>
      <w:r w:rsidR="00B3398C" w:rsidRPr="00BC2BFF">
        <w:t xml:space="preserve"> de paiement</w:t>
      </w:r>
      <w:bookmarkEnd w:id="123"/>
    </w:p>
    <w:p w14:paraId="56B4BCFF" w14:textId="77777777" w:rsidR="00B3398C" w:rsidRDefault="00B3398C" w:rsidP="008630D8">
      <w:r w:rsidRPr="00BC2BFF">
        <w:t>Le paiement des prestations se fait par virement administratif.</w:t>
      </w:r>
    </w:p>
    <w:p w14:paraId="5932554F" w14:textId="77777777" w:rsidR="00581885" w:rsidRPr="008771C6" w:rsidRDefault="00581885" w:rsidP="003B629B">
      <w:pPr>
        <w:spacing w:before="0" w:after="0"/>
      </w:pPr>
      <w:r w:rsidRPr="008771C6">
        <w:t>Les prestations qui ont donné lieu à un commencement d’exécution du marché ouvrent droit à des acomptes.</w:t>
      </w:r>
    </w:p>
    <w:p w14:paraId="7AFF96A1" w14:textId="77777777" w:rsidR="00581885" w:rsidRPr="008771C6" w:rsidRDefault="00581885" w:rsidP="003B629B">
      <w:pPr>
        <w:spacing w:before="0" w:after="0"/>
      </w:pPr>
      <w:r w:rsidRPr="008771C6">
        <w:t>Le versement des acomptes pour l’acquisition de l’équipement se décompose comme suit :</w:t>
      </w:r>
    </w:p>
    <w:p w14:paraId="4886C1E9" w14:textId="648E76F0" w:rsidR="003B629B" w:rsidRPr="008771C6" w:rsidRDefault="003359DA" w:rsidP="00A06774">
      <w:pPr>
        <w:pStyle w:val="Texte"/>
        <w:numPr>
          <w:ilvl w:val="0"/>
          <w:numId w:val="10"/>
        </w:numPr>
        <w:spacing w:after="0" w:line="240" w:lineRule="auto"/>
        <w:ind w:left="714" w:hanging="357"/>
        <w:rPr>
          <w:rFonts w:ascii="AvenirNext LT Pro LightCn" w:hAnsi="AvenirNext LT Pro LightCn" w:cstheme="minorHAnsi"/>
          <w:sz w:val="24"/>
          <w:szCs w:val="24"/>
        </w:rPr>
      </w:pPr>
      <w:r w:rsidRPr="008771C6">
        <w:rPr>
          <w:rFonts w:ascii="AvenirNext LT Pro LightCn" w:hAnsi="AvenirNext LT Pro LightCn" w:cstheme="minorHAnsi"/>
          <w:sz w:val="24"/>
          <w:szCs w:val="24"/>
        </w:rPr>
        <w:t>80</w:t>
      </w:r>
      <w:r w:rsidR="003B629B" w:rsidRPr="008771C6">
        <w:rPr>
          <w:rFonts w:ascii="AvenirNext LT Pro LightCn" w:hAnsi="AvenirNext LT Pro LightCn" w:cstheme="minorHAnsi"/>
          <w:sz w:val="24"/>
          <w:szCs w:val="24"/>
        </w:rPr>
        <w:t xml:space="preserve">% à la mise en ordre de marche (MOM) </w:t>
      </w:r>
    </w:p>
    <w:p w14:paraId="016E919E" w14:textId="305DAE0E" w:rsidR="003B629B" w:rsidRPr="008771C6" w:rsidRDefault="003B629B" w:rsidP="003946F1">
      <w:pPr>
        <w:pStyle w:val="Texte"/>
        <w:numPr>
          <w:ilvl w:val="0"/>
          <w:numId w:val="10"/>
        </w:numPr>
        <w:spacing w:before="60" w:after="0" w:line="240" w:lineRule="auto"/>
        <w:ind w:left="714" w:hanging="357"/>
        <w:rPr>
          <w:rFonts w:ascii="AvenirNext LT Pro LightCn" w:hAnsi="AvenirNext LT Pro LightCn" w:cstheme="minorHAnsi"/>
          <w:sz w:val="24"/>
          <w:szCs w:val="24"/>
        </w:rPr>
      </w:pPr>
      <w:r w:rsidRPr="008771C6">
        <w:rPr>
          <w:rFonts w:ascii="AvenirNext LT Pro LightCn" w:hAnsi="AvenirNext LT Pro LightCn" w:cstheme="minorHAnsi"/>
          <w:sz w:val="24"/>
          <w:szCs w:val="24"/>
        </w:rPr>
        <w:t>Le solde à la décision d’admission d’INRAE.</w:t>
      </w:r>
    </w:p>
    <w:p w14:paraId="2313BE1F" w14:textId="77777777" w:rsidR="00B3398C" w:rsidRPr="00BC2BFF" w:rsidRDefault="00526614" w:rsidP="009D115A">
      <w:pPr>
        <w:pStyle w:val="Titre2"/>
      </w:pPr>
      <w:bookmarkStart w:id="124" w:name="_Toc135996181"/>
      <w:r w:rsidRPr="00BC2BFF">
        <w:t>M</w:t>
      </w:r>
      <w:r w:rsidR="00B3398C" w:rsidRPr="00BC2BFF">
        <w:t>odalités de paiement</w:t>
      </w:r>
      <w:bookmarkEnd w:id="124"/>
    </w:p>
    <w:p w14:paraId="477167CE" w14:textId="77777777" w:rsidR="00B3398C" w:rsidRPr="00BC2BFF" w:rsidRDefault="00B3398C" w:rsidP="00890070">
      <w:r w:rsidRPr="00BC2BFF">
        <w:t xml:space="preserve">Le règlement du titulaire interviendra selon </w:t>
      </w:r>
      <w:r w:rsidR="00911DB8" w:rsidRPr="00BC2BFF">
        <w:t>l’échéancier prévu</w:t>
      </w:r>
      <w:r w:rsidR="00AA1ADB" w:rsidRPr="00BC2BFF">
        <w:t xml:space="preserve"> à l’article 7</w:t>
      </w:r>
      <w:r w:rsidR="00526614" w:rsidRPr="00BC2BFF">
        <w:t>.</w:t>
      </w:r>
      <w:r w:rsidRPr="00BC2BFF">
        <w:t xml:space="preserve">2 du présent document. </w:t>
      </w:r>
    </w:p>
    <w:p w14:paraId="64A81AAF" w14:textId="77777777" w:rsidR="00CC6995" w:rsidRPr="00BC2BFF" w:rsidRDefault="00CC6995" w:rsidP="00890070">
      <w:r w:rsidRPr="00BC2BFF">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BC2BFF">
        <w:t>.</w:t>
      </w:r>
    </w:p>
    <w:p w14:paraId="2014850A" w14:textId="77777777" w:rsidR="00CC6995" w:rsidRPr="00BC2BFF" w:rsidRDefault="00CC6995" w:rsidP="00890070">
      <w:r w:rsidRPr="00BC2BFF">
        <w:t xml:space="preserve">A l’heure actuelle, la transmission par le créancier de sa demande de paiement ne peut être prise en compte par </w:t>
      </w:r>
      <w:r w:rsidR="00E4467E" w:rsidRPr="00BC2BFF">
        <w:t>INRAE</w:t>
      </w:r>
      <w:r w:rsidRPr="00BC2BFF">
        <w:t xml:space="preserve"> que par dépôt au format </w:t>
      </w:r>
      <w:r w:rsidR="00E4467E" w:rsidRPr="00BC2BFF">
        <w:t>PDF</w:t>
      </w:r>
      <w:r w:rsidR="00AB580E" w:rsidRPr="00BC2BFF">
        <w:t xml:space="preserve"> </w:t>
      </w:r>
      <w:r w:rsidR="00BC6C36" w:rsidRPr="00BC2BFF">
        <w:t xml:space="preserve">sur le site </w:t>
      </w:r>
      <w:hyperlink r:id="rId14" w:history="1">
        <w:r w:rsidR="00BC6C36" w:rsidRPr="00BC2BFF">
          <w:rPr>
            <w:rStyle w:val="Lienhypertexte"/>
            <w:rFonts w:cs="Arial"/>
            <w:spacing w:val="4"/>
            <w:sz w:val="20"/>
            <w:szCs w:val="20"/>
          </w:rPr>
          <w:t>https://chorus-pro.gouv.fr</w:t>
        </w:r>
      </w:hyperlink>
      <w:r w:rsidRPr="00BC2BFF">
        <w:t>.</w:t>
      </w:r>
    </w:p>
    <w:p w14:paraId="4E40A5D3" w14:textId="77777777" w:rsidR="00B3398C" w:rsidRDefault="00B3398C" w:rsidP="008630D8">
      <w:r w:rsidRPr="00BC2BFF">
        <w:t xml:space="preserve">Les factures seront établies en un original selon les règles prévues par la comptabilité publique. Elles comprendront outre les mentions légales, les renseignements suivants : </w:t>
      </w:r>
    </w:p>
    <w:p w14:paraId="21267DA6" w14:textId="694F2C84" w:rsidR="00A455B4" w:rsidRDefault="00CC6995" w:rsidP="00A455B4">
      <w:pPr>
        <w:pStyle w:val="Paragraphedeliste"/>
        <w:numPr>
          <w:ilvl w:val="0"/>
          <w:numId w:val="1"/>
        </w:numPr>
        <w:spacing w:before="40" w:after="0"/>
        <w:ind w:left="714" w:hanging="357"/>
      </w:pPr>
      <w:r w:rsidRPr="00BC2BFF">
        <w:t xml:space="preserve">Le numéro SIRET du centre </w:t>
      </w:r>
      <w:r w:rsidR="00E4467E" w:rsidRPr="00BC2BFF">
        <w:t>INRAE</w:t>
      </w:r>
      <w:r w:rsidRPr="00BC2BFF">
        <w:t xml:space="preserve"> </w:t>
      </w:r>
      <w:r w:rsidR="00BC6C36" w:rsidRPr="00BC2BFF">
        <w:t>bénéficiaire</w:t>
      </w:r>
      <w:r w:rsidR="00A455B4">
        <w:t> :</w:t>
      </w:r>
      <w:r w:rsidR="00CB36E0">
        <w:t xml:space="preserve"> </w:t>
      </w:r>
      <w:sdt>
        <w:sdt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sidR="003359DA">
            <w:t>JJA : 180 070 039 0078</w:t>
          </w:r>
        </w:sdtContent>
      </w:sdt>
    </w:p>
    <w:p w14:paraId="5CAF15A8" w14:textId="77777777" w:rsidR="00CC6995" w:rsidRDefault="005D4468" w:rsidP="00A80F9F">
      <w:pPr>
        <w:pStyle w:val="Paragraphedeliste"/>
        <w:numPr>
          <w:ilvl w:val="0"/>
          <w:numId w:val="1"/>
        </w:numPr>
        <w:spacing w:before="40" w:after="0"/>
        <w:ind w:left="714" w:hanging="357"/>
      </w:pPr>
      <w:r w:rsidRPr="00BC2BFF">
        <w:t>Le numéro du marché</w:t>
      </w:r>
    </w:p>
    <w:p w14:paraId="43DEAB64" w14:textId="77777777" w:rsidR="00A455B4" w:rsidRPr="00BC2BFF" w:rsidRDefault="00A455B4" w:rsidP="00A455B4">
      <w:pPr>
        <w:pStyle w:val="Paragraphedeliste"/>
        <w:numPr>
          <w:ilvl w:val="0"/>
          <w:numId w:val="1"/>
        </w:numPr>
        <w:spacing w:before="40" w:after="0"/>
        <w:ind w:left="714" w:hanging="357"/>
      </w:pPr>
      <w:r w:rsidRPr="00BC2BFF">
        <w:t>Le numéro du bon de commande</w:t>
      </w:r>
      <w:r>
        <w:t xml:space="preserve"> (n° d’engagement juridique)</w:t>
      </w:r>
    </w:p>
    <w:p w14:paraId="5062019B" w14:textId="77777777" w:rsidR="00CC6995" w:rsidRPr="00BC2BFF" w:rsidRDefault="00B3398C" w:rsidP="00A80F9F">
      <w:pPr>
        <w:pStyle w:val="Paragraphedeliste"/>
        <w:numPr>
          <w:ilvl w:val="0"/>
          <w:numId w:val="1"/>
        </w:numPr>
        <w:spacing w:before="40" w:after="0"/>
        <w:ind w:left="714" w:hanging="357"/>
      </w:pPr>
      <w:r w:rsidRPr="00BC2BFF">
        <w:t>Les prestations réalisées ou fournitures livrées</w:t>
      </w:r>
    </w:p>
    <w:p w14:paraId="5AE46ED3" w14:textId="77777777" w:rsidR="00CC6995" w:rsidRPr="00BC2BFF" w:rsidRDefault="00B3398C" w:rsidP="00A80F9F">
      <w:pPr>
        <w:pStyle w:val="Paragraphedeliste"/>
        <w:numPr>
          <w:ilvl w:val="0"/>
          <w:numId w:val="1"/>
        </w:numPr>
        <w:spacing w:before="40" w:after="0"/>
        <w:ind w:left="714" w:hanging="357"/>
      </w:pPr>
      <w:r w:rsidRPr="00BC2BFF">
        <w:t>Le montant HT des prestations ou fournitures</w:t>
      </w:r>
    </w:p>
    <w:p w14:paraId="087C747D" w14:textId="77777777" w:rsidR="00CC6995" w:rsidRPr="00BC2BFF" w:rsidRDefault="00B3398C" w:rsidP="00A80F9F">
      <w:pPr>
        <w:pStyle w:val="Paragraphedeliste"/>
        <w:numPr>
          <w:ilvl w:val="0"/>
          <w:numId w:val="1"/>
        </w:numPr>
        <w:spacing w:before="40" w:after="0"/>
        <w:ind w:left="714" w:hanging="357"/>
      </w:pPr>
      <w:r w:rsidRPr="00BC2BFF">
        <w:t>Le taux et le montant de la TVA</w:t>
      </w:r>
    </w:p>
    <w:p w14:paraId="298D9F1A" w14:textId="77777777" w:rsidR="00B3398C" w:rsidRPr="00BC2BFF" w:rsidRDefault="00B3398C" w:rsidP="00A80F9F">
      <w:pPr>
        <w:pStyle w:val="Paragraphedeliste"/>
        <w:numPr>
          <w:ilvl w:val="0"/>
          <w:numId w:val="1"/>
        </w:numPr>
        <w:spacing w:before="40" w:after="0"/>
        <w:ind w:left="714" w:hanging="357"/>
      </w:pPr>
      <w:r w:rsidRPr="00BC2BFF">
        <w:t>Le montant total TTC</w:t>
      </w:r>
    </w:p>
    <w:p w14:paraId="391D6B0F" w14:textId="77777777" w:rsidR="00CC6995" w:rsidRPr="00BC2BFF" w:rsidRDefault="00CC6995" w:rsidP="008630D8">
      <w:r w:rsidRPr="00BC2BFF">
        <w:t>Conformément aux dispositions de l’article 4.1 du décret n°2016-1478 du 2 novembre 2016 relatif au développement de la facturation électronique, l’utilisation du portail de facturation est exclusive de tout autre mode de transmission.</w:t>
      </w:r>
    </w:p>
    <w:p w14:paraId="38A0E448" w14:textId="77777777" w:rsidR="00A455B4" w:rsidRDefault="00A455B4" w:rsidP="008630D8">
      <w:r>
        <w:t>L’annexe du présent AECCP détaille les modalités de transmission des factures sur Chorus Pro.</w:t>
      </w:r>
    </w:p>
    <w:p w14:paraId="0F628317" w14:textId="0F22680E" w:rsidR="00DD04CD" w:rsidRPr="001051F5" w:rsidRDefault="00B3398C" w:rsidP="008630D8">
      <w:pPr>
        <w:rPr>
          <w:rStyle w:val="Textedelespacerserv"/>
          <w:shd w:val="clear" w:color="auto" w:fill="F79646" w:themeFill="accent6"/>
        </w:rPr>
      </w:pPr>
      <w:r w:rsidRPr="00BC2BFF">
        <w:t>L’ordonnateur chargé d’émettre le titre de paiement est</w:t>
      </w:r>
      <w:r w:rsidR="00DD04CD">
        <w:t xml:space="preserve">  </w:t>
      </w:r>
      <w:sdt>
        <w:sdt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sidR="003359DA">
            <w:t>la Présidente</w:t>
          </w:r>
        </w:sdtContent>
      </w:sdt>
      <w:r w:rsidR="001051F5">
        <w:t xml:space="preserve"> </w:t>
      </w:r>
      <w:r w:rsidR="00F84DE2" w:rsidRPr="00BA7FE8">
        <w:t xml:space="preserve">du </w:t>
      </w:r>
      <w:r w:rsidR="00BA7FE8">
        <w:t xml:space="preserve">centre INRAE IDF JOUY-EN-JOSAS </w:t>
      </w:r>
      <w:r w:rsidR="00C2654F">
        <w:t>–</w:t>
      </w:r>
      <w:r w:rsidR="00BA7FE8">
        <w:t xml:space="preserve"> ANTONY</w:t>
      </w:r>
      <w:r w:rsidR="00C2654F">
        <w:t>.</w:t>
      </w:r>
    </w:p>
    <w:p w14:paraId="514BB02B" w14:textId="029BF2AE" w:rsidR="000A175F" w:rsidRDefault="00B3398C" w:rsidP="008630D8">
      <w:r w:rsidRPr="00BC2BFF">
        <w:t xml:space="preserve">Le paiement sera effectué par virement administratif au compte indiqué par le titulaire ci-dessous </w:t>
      </w:r>
      <w:r w:rsidRPr="00BC2BFF">
        <w:rPr>
          <w:b/>
          <w:bCs/>
        </w:rPr>
        <w:t>(</w:t>
      </w:r>
      <w:r w:rsidRPr="001704DA">
        <w:rPr>
          <w:b/>
          <w:bCs/>
          <w:color w:val="FF0000"/>
        </w:rPr>
        <w:t>joindre un RIB</w:t>
      </w:r>
      <w:r w:rsidRPr="00BC2BFF">
        <w:rPr>
          <w:b/>
          <w:bCs/>
        </w:rPr>
        <w:t>)</w:t>
      </w:r>
      <w:r w:rsidRPr="00BC2BFF">
        <w:t xml:space="preserve"> : </w:t>
      </w:r>
    </w:p>
    <w:p w14:paraId="5FB23EE8"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Banque</w:t>
      </w:r>
      <w:r w:rsidRPr="00BC2BFF">
        <w:tab/>
        <w:t>: ………………………………</w:t>
      </w:r>
      <w:r w:rsidR="00D71F32">
        <w:t>……………………………………………</w:t>
      </w:r>
      <w:proofErr w:type="gramStart"/>
      <w:r w:rsidR="00D71F32">
        <w:t>…….</w:t>
      </w:r>
      <w:proofErr w:type="gramEnd"/>
      <w:r w:rsidR="00D71F32">
        <w:t>.</w:t>
      </w:r>
    </w:p>
    <w:p w14:paraId="54242997"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Code Banque</w:t>
      </w:r>
      <w:proofErr w:type="gramStart"/>
      <w:r w:rsidRPr="00BC2BFF">
        <w:tab/>
        <w:t>:…</w:t>
      </w:r>
      <w:proofErr w:type="gramEnd"/>
      <w:r w:rsidRPr="00BC2BFF">
        <w:t>………………………</w:t>
      </w:r>
      <w:r w:rsidR="00D71F32">
        <w:t>………………………………………………..</w:t>
      </w:r>
    </w:p>
    <w:p w14:paraId="0A5C617F"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Code Guichet</w:t>
      </w:r>
      <w:r w:rsidRPr="00BC2BFF">
        <w:tab/>
        <w:t>: ………………………</w:t>
      </w:r>
      <w:r w:rsidR="00D71F32">
        <w:t>……………………………………………</w:t>
      </w:r>
      <w:proofErr w:type="gramStart"/>
      <w:r w:rsidR="00D71F32">
        <w:t>…….</w:t>
      </w:r>
      <w:proofErr w:type="gramEnd"/>
      <w:r w:rsidR="00D71F32">
        <w:t>.</w:t>
      </w:r>
    </w:p>
    <w:p w14:paraId="1514FE3C"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Compte n°</w:t>
      </w:r>
      <w:proofErr w:type="gramStart"/>
      <w:r w:rsidRPr="00BC2BFF">
        <w:tab/>
        <w:t>:…</w:t>
      </w:r>
      <w:proofErr w:type="gramEnd"/>
      <w:r w:rsidRPr="00BC2BFF">
        <w:t>……………………</w:t>
      </w:r>
      <w:r w:rsidR="00D71F32">
        <w:t>……………………………………………………</w:t>
      </w:r>
    </w:p>
    <w:p w14:paraId="616A0701"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Clé</w:t>
      </w:r>
      <w:proofErr w:type="gramStart"/>
      <w:r w:rsidRPr="00BC2BFF">
        <w:tab/>
        <w:t>:…</w:t>
      </w:r>
      <w:proofErr w:type="gramEnd"/>
      <w:r w:rsidRPr="00BC2BFF">
        <w:t>……………………</w:t>
      </w:r>
      <w:r w:rsidR="00D71F32">
        <w:t>…………………………………………………………………</w:t>
      </w:r>
    </w:p>
    <w:p w14:paraId="3B9BAEF2" w14:textId="77777777" w:rsidR="00B3398C" w:rsidRPr="00BC2BFF" w:rsidRDefault="005D4468" w:rsidP="008630D8">
      <w:r w:rsidRPr="00BC2BFF">
        <w:t xml:space="preserve">Le délai global de paiement est de </w:t>
      </w:r>
      <w:r w:rsidR="00AA3FDE" w:rsidRPr="00BC2BFF">
        <w:t>30</w:t>
      </w:r>
      <w:r w:rsidRPr="00BC2BFF">
        <w:t xml:space="preserve"> jours maximum à compter de la réception de la facture dans les formes prescrites.</w:t>
      </w:r>
    </w:p>
    <w:p w14:paraId="5E933DDF" w14:textId="77777777" w:rsidR="00B3398C" w:rsidRPr="00BC2BFF" w:rsidRDefault="00B3398C" w:rsidP="008630D8">
      <w:r w:rsidRPr="00BC2BFF">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BC2BFF">
        <w:t xml:space="preserve">courir, majoré de </w:t>
      </w:r>
      <w:r w:rsidR="00AA3FDE" w:rsidRPr="00BC2BFF">
        <w:t>hui</w:t>
      </w:r>
      <w:r w:rsidR="004968F7" w:rsidRPr="00BC2BFF">
        <w:t>t points</w:t>
      </w:r>
      <w:r w:rsidRPr="00BC2BFF">
        <w:t>.</w:t>
      </w:r>
      <w:r w:rsidR="0026288D" w:rsidRPr="00BC2BFF">
        <w:t xml:space="preserve"> Une indemnité forfaitaire de 40 € correspondant aux frais de recouvrement sera versée.</w:t>
      </w:r>
    </w:p>
    <w:p w14:paraId="51B98A8C" w14:textId="071A775B" w:rsidR="00B3398C" w:rsidRDefault="00B3398C" w:rsidP="008630D8">
      <w:r w:rsidRPr="00BC2BFF">
        <w:t>Le règlement sera effectué au compte ban</w:t>
      </w:r>
      <w:r w:rsidR="005144E6" w:rsidRPr="00BC2BFF">
        <w:t>caire indiqué par le t</w:t>
      </w:r>
      <w:r w:rsidRPr="00BC2BFF">
        <w:t xml:space="preserve">itulaire </w:t>
      </w:r>
      <w:r w:rsidR="00911DB8" w:rsidRPr="00BC2BFF">
        <w:t>ci-dessus.</w:t>
      </w:r>
    </w:p>
    <w:p w14:paraId="56050456" w14:textId="77777777" w:rsidR="00B3398C" w:rsidRPr="00AD614E" w:rsidRDefault="00B3398C" w:rsidP="00A33A99">
      <w:pPr>
        <w:pStyle w:val="Titre1"/>
        <w:spacing w:after="240"/>
        <w:ind w:left="357" w:hanging="357"/>
        <w:rPr>
          <w:rFonts w:ascii="AvenirNext LT Pro Cn" w:hAnsi="AvenirNext LT Pro Cn"/>
        </w:rPr>
      </w:pPr>
      <w:bookmarkStart w:id="125" w:name="_Toc135996182"/>
      <w:r w:rsidRPr="00AD614E">
        <w:rPr>
          <w:rFonts w:ascii="AvenirNext LT Pro Cn" w:hAnsi="AvenirNext LT Pro Cn"/>
        </w:rPr>
        <w:lastRenderedPageBreak/>
        <w:t>AVANCE</w:t>
      </w:r>
      <w:bookmarkEnd w:id="125"/>
      <w:r w:rsidRPr="00AD614E">
        <w:rPr>
          <w:rFonts w:ascii="AvenirNext LT Pro Cn" w:hAnsi="AvenirNext LT Pro Cn"/>
        </w:rPr>
        <w:t xml:space="preserve"> </w:t>
      </w:r>
    </w:p>
    <w:p w14:paraId="19842B2A" w14:textId="77777777" w:rsidR="00BE518A" w:rsidRPr="00BC2BFF" w:rsidRDefault="00BE518A" w:rsidP="00BE518A">
      <w:r w:rsidRPr="00BC2BFF">
        <w:t>L’option B du CCAG s’applique</w:t>
      </w:r>
      <w:r w:rsidR="001051F5">
        <w:t>. Le taux de l’avance est fixé à</w:t>
      </w:r>
      <w:r w:rsidRPr="00BC2BFF">
        <w:t xml:space="preserve"> 10%</w:t>
      </w:r>
      <w:r w:rsidR="00B76FF0">
        <w:t>.</w:t>
      </w:r>
      <w:r w:rsidRPr="00BC2BFF">
        <w:t xml:space="preserve"> </w:t>
      </w:r>
    </w:p>
    <w:p w14:paraId="7E78AE84" w14:textId="77777777" w:rsidR="003D5F07" w:rsidRDefault="00F85B11" w:rsidP="00220244">
      <w:r w:rsidRPr="00BC2BFF">
        <w:t>Le titulaire bénéficie d’une avance, dans les conditions de</w:t>
      </w:r>
      <w:r w:rsidR="002B5C0D" w:rsidRPr="00BC2BFF">
        <w:t xml:space="preserve">s </w:t>
      </w:r>
      <w:r w:rsidRPr="00BC2BFF">
        <w:t>articl</w:t>
      </w:r>
      <w:r w:rsidR="002B5C0D" w:rsidRPr="00BC2BFF">
        <w:t>es R2191-3</w:t>
      </w:r>
      <w:r w:rsidR="006A466F" w:rsidRPr="00BC2BFF">
        <w:t xml:space="preserve"> </w:t>
      </w:r>
      <w:r w:rsidR="002B5C0D" w:rsidRPr="00BC2BFF">
        <w:t xml:space="preserve">et </w:t>
      </w:r>
      <w:r w:rsidR="00A0496B" w:rsidRPr="00BC2BFF">
        <w:t>suivants</w:t>
      </w:r>
      <w:r w:rsidR="002B5C0D" w:rsidRPr="00BC2BFF">
        <w:t xml:space="preserve"> </w:t>
      </w:r>
      <w:r w:rsidR="000B7E1A" w:rsidRPr="00BC2BFF">
        <w:t xml:space="preserve">du </w:t>
      </w:r>
      <w:r w:rsidR="00B76FF0">
        <w:t>c</w:t>
      </w:r>
      <w:r w:rsidR="000B7E1A" w:rsidRPr="00BC2BFF">
        <w:t xml:space="preserve">ode de la </w:t>
      </w:r>
      <w:r w:rsidR="00B76FF0">
        <w:t>c</w:t>
      </w:r>
      <w:r w:rsidR="000B7E1A" w:rsidRPr="00BC2BFF">
        <w:t xml:space="preserve">ommande </w:t>
      </w:r>
      <w:r w:rsidR="00B76FF0">
        <w:t>p</w:t>
      </w:r>
      <w:r w:rsidR="000B7E1A" w:rsidRPr="00BC2BFF">
        <w:t>ublique</w:t>
      </w:r>
      <w:r w:rsidRPr="00BC2BFF">
        <w:t>, si le montant initial du marché est supérieur à 50 000 € HT</w:t>
      </w:r>
      <w:r w:rsidR="00FB2BDC" w:rsidRPr="00BC2BFF">
        <w:t xml:space="preserve"> et si le délai d’exécution est supérieur à 2 mois</w:t>
      </w:r>
      <w:r w:rsidRPr="00BC2BFF">
        <w:t xml:space="preserve">, sauf renonciation expresse </w:t>
      </w:r>
      <w:r w:rsidR="005144E6" w:rsidRPr="00BC2BFF">
        <w:t xml:space="preserve">du titulaire </w:t>
      </w:r>
      <w:r w:rsidRPr="00BC2BFF">
        <w:t xml:space="preserve">en page 2 du présent document. </w:t>
      </w:r>
    </w:p>
    <w:p w14:paraId="76CBE9FF" w14:textId="77777777" w:rsidR="003603A7" w:rsidRPr="003603A7" w:rsidRDefault="003603A7" w:rsidP="003603A7">
      <w:pPr>
        <w:rPr>
          <w:i/>
        </w:rPr>
      </w:pPr>
      <w:r w:rsidRPr="003603A7">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3603A7">
        <w:rPr>
          <w:i/>
        </w:rPr>
        <w:t>.</w:t>
      </w:r>
    </w:p>
    <w:p w14:paraId="2245452B" w14:textId="592510CC" w:rsidR="003A62C4" w:rsidRPr="003B0BDB" w:rsidRDefault="006D028A" w:rsidP="003A62C4">
      <w:pPr>
        <w:pStyle w:val="Titre1"/>
        <w:rPr>
          <w:rFonts w:ascii="AvenirNext LT Pro Cn" w:hAnsi="AvenirNext LT Pro Cn"/>
        </w:rPr>
      </w:pPr>
      <w:r w:rsidRPr="00BC2BFF">
        <w:rPr>
          <w:rFonts w:ascii="AvenirNext LT Pro Cn" w:hAnsi="AvenirNext LT Pro Cn"/>
        </w:rPr>
        <w:t xml:space="preserve">     </w:t>
      </w:r>
      <w:bookmarkStart w:id="126" w:name="_Toc135996183"/>
      <w:r w:rsidRPr="00BC2BFF">
        <w:rPr>
          <w:rFonts w:ascii="AvenirNext LT Pro Cn" w:hAnsi="AvenirNext LT Pro Cn"/>
        </w:rPr>
        <w:t xml:space="preserve">PENALITES </w:t>
      </w:r>
      <w:r w:rsidR="003A62C4">
        <w:rPr>
          <w:rFonts w:ascii="AvenirNext LT Pro Cn" w:hAnsi="AvenirNext LT Pro Cn"/>
        </w:rPr>
        <w:t>APPLICABLES</w:t>
      </w:r>
      <w:bookmarkEnd w:id="126"/>
    </w:p>
    <w:p w14:paraId="0AC9A557" w14:textId="77777777" w:rsidR="003A62C4" w:rsidRDefault="003A62C4" w:rsidP="003A62C4">
      <w:r>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Default="003A62C4" w:rsidP="003A62C4">
      <w:r>
        <w:t>Les pénalités applicables sont cumulables entre elles et complètent l’article 14 du CCAG-FCS.</w:t>
      </w:r>
    </w:p>
    <w:p w14:paraId="3775CEFC" w14:textId="77777777" w:rsidR="003A62C4" w:rsidRDefault="003A62C4" w:rsidP="003A62C4">
      <w:r>
        <w:t>Ces pénalités sont déduites du montant restant dû par INRAE ou font l’objet d’un ordre de reversement à l’encontre du titulaire. Elles restent dues en cas de résiliation du marché.</w:t>
      </w:r>
    </w:p>
    <w:p w14:paraId="3D925BDC" w14:textId="49501E59" w:rsidR="003A62C4" w:rsidRPr="00881C9D" w:rsidRDefault="003A62C4" w:rsidP="003A62C4">
      <w:r w:rsidRPr="00881C9D">
        <w:t>Par dérogation à l’article 14.1.3 du CCAG-FCS, le titulaire n’est pas exonéré des pénalités dont le montant ne dépasse pas 1 000 € pour l’ensemble du marché.</w:t>
      </w:r>
    </w:p>
    <w:p w14:paraId="21A92336" w14:textId="56356110" w:rsidR="00186FA0" w:rsidRPr="00186FA0" w:rsidRDefault="00186FA0" w:rsidP="003A62C4">
      <w:pPr>
        <w:rPr>
          <w:color w:val="E36C0A" w:themeColor="accent6" w:themeShade="BF"/>
        </w:rPr>
      </w:pPr>
      <w:r w:rsidRPr="00D3747F">
        <w:t>Par dérogation à l’article 14 du CCAG-FCS, le montant total de l’ensemble des pénalités appliquées dans le cadre de l’exécution du présent marché ne peut dépasser 20% du prix global et forfaitaire du marché</w:t>
      </w:r>
      <w:r w:rsidR="00881C9D">
        <w:t>.</w:t>
      </w:r>
    </w:p>
    <w:p w14:paraId="32DAD73F" w14:textId="77777777" w:rsidR="003A62C4" w:rsidRPr="009F34E9" w:rsidRDefault="003A62C4" w:rsidP="003A62C4">
      <w:r>
        <w:t xml:space="preserve">Les pénalités sont dues dès le premier euro et dès le premier jour de retard. Celles-ci sont exprimées </w:t>
      </w:r>
      <w:r w:rsidRPr="00186FA0">
        <w:t>en jours calendaires</w:t>
      </w:r>
      <w:r>
        <w:t xml:space="preserve"> et incluent donc les samedi, dimanche et les jours fériés.</w:t>
      </w:r>
    </w:p>
    <w:p w14:paraId="56830802" w14:textId="77777777" w:rsidR="00B07A17" w:rsidRPr="00797BB0" w:rsidRDefault="00B07A17" w:rsidP="009D115A">
      <w:pPr>
        <w:pStyle w:val="Titre2"/>
      </w:pPr>
      <w:bookmarkStart w:id="127" w:name="_Toc135996184"/>
      <w:r w:rsidRPr="00797BB0">
        <w:t>- Pénalités pour retard</w:t>
      </w:r>
      <w:bookmarkEnd w:id="127"/>
    </w:p>
    <w:p w14:paraId="7BD71DEC" w14:textId="77777777" w:rsidR="00B07A17" w:rsidRPr="00BC2BFF" w:rsidRDefault="00B07A17" w:rsidP="00B07A17">
      <w:pPr>
        <w:spacing w:before="240"/>
        <w:rPr>
          <w:sz w:val="20"/>
          <w:szCs w:val="20"/>
        </w:rPr>
      </w:pPr>
      <w:r w:rsidRPr="00BC2BFF">
        <w:t xml:space="preserve">Conformément à l’article 14 du CCAG-FCS, lorsque le délai contractuel d’exécution du marché est dépassé, par le fait du titulaire, celui-ci encourt, </w:t>
      </w:r>
      <w:r w:rsidR="00B367C3">
        <w:t>après</w:t>
      </w:r>
      <w:r w:rsidRPr="00BC2BFF">
        <w:t xml:space="preserve"> mise en demeure préalable, une pénalité de retard.</w:t>
      </w:r>
    </w:p>
    <w:p w14:paraId="06A3E7D7" w14:textId="77777777" w:rsidR="00B07A17" w:rsidRPr="00BC2BFF" w:rsidRDefault="00B07A17" w:rsidP="00B07A17">
      <w:pPr>
        <w:rPr>
          <w:sz w:val="20"/>
          <w:szCs w:val="20"/>
        </w:rPr>
      </w:pPr>
      <w:r w:rsidRPr="00BC2BFF">
        <w:t>Cette pénalité est calculée par application de la formule suivante :</w:t>
      </w:r>
    </w:p>
    <w:p w14:paraId="5901D562" w14:textId="77777777" w:rsidR="00B07A17" w:rsidRPr="00BC2BFF" w:rsidRDefault="00B07A17" w:rsidP="00B07A17">
      <w:pPr>
        <w:rPr>
          <w:b/>
          <w:sz w:val="20"/>
          <w:szCs w:val="20"/>
        </w:rPr>
      </w:pPr>
      <w:r w:rsidRPr="00BC2BFF">
        <w:rPr>
          <w:b/>
        </w:rPr>
        <w:t>P = V x R / 1000</w:t>
      </w:r>
    </w:p>
    <w:p w14:paraId="3663E5DF" w14:textId="77777777" w:rsidR="00B07A17" w:rsidRPr="00BC2BFF" w:rsidRDefault="00B07A17" w:rsidP="00B07A17">
      <w:pPr>
        <w:rPr>
          <w:sz w:val="20"/>
          <w:szCs w:val="20"/>
        </w:rPr>
      </w:pPr>
      <w:r w:rsidRPr="00BC2BFF">
        <w:t>Dans laquelle :</w:t>
      </w:r>
    </w:p>
    <w:p w14:paraId="31766A9D" w14:textId="77777777" w:rsidR="00B07A17" w:rsidRPr="00BC2BFF" w:rsidRDefault="00B07A17" w:rsidP="003946F1">
      <w:pPr>
        <w:pStyle w:val="Paragraphedeliste"/>
        <w:numPr>
          <w:ilvl w:val="0"/>
          <w:numId w:val="6"/>
        </w:numPr>
        <w:spacing w:before="0" w:after="0"/>
        <w:ind w:left="714" w:hanging="357"/>
        <w:rPr>
          <w:sz w:val="20"/>
          <w:szCs w:val="20"/>
        </w:rPr>
      </w:pPr>
      <w:r w:rsidRPr="00BC2BFF">
        <w:t>P correspond au montant de la pénalité</w:t>
      </w:r>
    </w:p>
    <w:p w14:paraId="26E4D145" w14:textId="77777777" w:rsidR="00B07A17" w:rsidRPr="00BC2BFF" w:rsidRDefault="00B07A17" w:rsidP="003946F1">
      <w:pPr>
        <w:pStyle w:val="Paragraphedeliste"/>
        <w:numPr>
          <w:ilvl w:val="0"/>
          <w:numId w:val="6"/>
        </w:numPr>
        <w:spacing w:before="0" w:after="0"/>
        <w:ind w:left="714" w:hanging="357"/>
        <w:rPr>
          <w:sz w:val="20"/>
          <w:szCs w:val="20"/>
        </w:rPr>
      </w:pPr>
      <w:r w:rsidRPr="00BC2BFF">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77777777" w:rsidR="00B07A17" w:rsidRPr="00BC2BFF" w:rsidRDefault="00B07A17" w:rsidP="003946F1">
      <w:pPr>
        <w:pStyle w:val="Paragraphedeliste"/>
        <w:numPr>
          <w:ilvl w:val="0"/>
          <w:numId w:val="6"/>
        </w:numPr>
        <w:spacing w:before="0" w:after="0"/>
        <w:ind w:left="714" w:hanging="357"/>
      </w:pPr>
      <w:r w:rsidRPr="00BC2BFF">
        <w:t>R correspond au nombre de jours de retard.</w:t>
      </w:r>
    </w:p>
    <w:p w14:paraId="17E681BA" w14:textId="2EC8B3B7" w:rsidR="00892F5B" w:rsidRPr="00D3747F" w:rsidRDefault="00760980" w:rsidP="005C5936">
      <w:pPr>
        <w:pStyle w:val="Titre2"/>
      </w:pPr>
      <w:bookmarkStart w:id="128" w:name="_Toc135996185"/>
      <w:r w:rsidRPr="00797BB0">
        <w:t xml:space="preserve">- </w:t>
      </w:r>
      <w:r w:rsidR="00892F5B" w:rsidRPr="00D3747F">
        <w:t>Pénalités pour non-respect du délai d’intervention en cas de panne</w:t>
      </w:r>
      <w:bookmarkEnd w:id="128"/>
    </w:p>
    <w:p w14:paraId="010B888D" w14:textId="77777777" w:rsidR="00892F5B" w:rsidRPr="00D3747F" w:rsidRDefault="00892F5B" w:rsidP="00892F5B">
      <w:pPr>
        <w:spacing w:before="0" w:after="0"/>
        <w:rPr>
          <w:rFonts w:ascii="AvenirNext LT Pro LightCn" w:hAnsi="AvenirNext LT Pro LightCn"/>
        </w:rPr>
      </w:pPr>
    </w:p>
    <w:p w14:paraId="328243BE" w14:textId="77777777" w:rsidR="00892F5B" w:rsidRPr="003A62C4" w:rsidRDefault="00892F5B" w:rsidP="00892F5B">
      <w:pPr>
        <w:spacing w:before="0" w:after="0"/>
        <w:rPr>
          <w:rFonts w:ascii="AvenirNext LT Pro LightCn" w:hAnsi="AvenirNext LT Pro LightCn"/>
        </w:rPr>
      </w:pPr>
      <w:r w:rsidRPr="00D3747F">
        <w:rPr>
          <w:rFonts w:ascii="AvenirNext LT Pro LightCn" w:hAnsi="AvenirNext LT Pro LightCn"/>
        </w:rPr>
        <w:t>En garantie comme en maintenance, en cas de dépassement</w:t>
      </w:r>
      <w:r w:rsidRPr="003A62C4">
        <w:rPr>
          <w:rFonts w:ascii="AvenirNext LT Pro LightCn" w:hAnsi="AvenirNext LT Pro LightCn"/>
        </w:rPr>
        <w:t xml:space="preserve"> des délais d’intervention sur lesquels s’est engagé le titulaire, celui-ci peut, sur décision d’INRAE, se voir appliquer, sans mise en demeure préalable, une pénalité calculée par l’application de la formule suivante, tout jour entamé étant dû :</w:t>
      </w:r>
    </w:p>
    <w:p w14:paraId="6B4E49A3" w14:textId="77777777" w:rsidR="00892F5B" w:rsidRPr="003A62C4" w:rsidRDefault="00892F5B" w:rsidP="00892F5B">
      <w:pPr>
        <w:spacing w:before="0" w:after="0"/>
        <w:rPr>
          <w:rFonts w:ascii="AvenirNext LT Pro LightCn" w:hAnsi="AvenirNext LT Pro LightCn"/>
        </w:rPr>
      </w:pPr>
    </w:p>
    <w:p w14:paraId="356BF258" w14:textId="77777777" w:rsidR="00892F5B" w:rsidRPr="003A62C4" w:rsidRDefault="00892F5B" w:rsidP="00892F5B">
      <w:pPr>
        <w:spacing w:before="0" w:after="0"/>
        <w:rPr>
          <w:rFonts w:ascii="AvenirNext LT Pro LightCn" w:hAnsi="AvenirNext LT Pro LightCn"/>
        </w:rPr>
      </w:pPr>
      <w:r w:rsidRPr="003A62C4">
        <w:rPr>
          <w:rFonts w:ascii="AvenirNext LT Pro LightCn" w:hAnsi="AvenirNext LT Pro LightCn"/>
        </w:rPr>
        <w:t xml:space="preserve">P = </w:t>
      </w:r>
      <w:r w:rsidRPr="003A62C4">
        <w:rPr>
          <w:rFonts w:ascii="AvenirNext LT Pro LightCn" w:hAnsi="AvenirNext LT Pro LightCn"/>
        </w:rPr>
        <w:tab/>
      </w:r>
      <w:r w:rsidRPr="003A62C4">
        <w:rPr>
          <w:rFonts w:ascii="AvenirNext LT Pro LightCn" w:hAnsi="AvenirNext LT Pro LightCn"/>
          <w:u w:val="single"/>
        </w:rPr>
        <w:t>V x R</w:t>
      </w:r>
    </w:p>
    <w:p w14:paraId="093CE4D3" w14:textId="77777777" w:rsidR="00892F5B" w:rsidRPr="003A62C4" w:rsidRDefault="00892F5B" w:rsidP="00892F5B">
      <w:pPr>
        <w:spacing w:before="0" w:after="0"/>
        <w:ind w:firstLine="720"/>
        <w:rPr>
          <w:rFonts w:ascii="AvenirNext LT Pro LightCn" w:hAnsi="AvenirNext LT Pro LightCn"/>
        </w:rPr>
      </w:pPr>
      <w:r w:rsidRPr="003A62C4">
        <w:rPr>
          <w:rFonts w:ascii="AvenirNext LT Pro LightCn" w:hAnsi="AvenirNext LT Pro LightCn"/>
        </w:rPr>
        <w:t>200</w:t>
      </w:r>
    </w:p>
    <w:p w14:paraId="002337BE" w14:textId="77777777" w:rsidR="00892F5B" w:rsidRPr="003A62C4" w:rsidRDefault="00892F5B" w:rsidP="00892F5B">
      <w:pPr>
        <w:spacing w:before="0" w:after="0"/>
        <w:rPr>
          <w:rFonts w:ascii="AvenirNext LT Pro LightCn" w:hAnsi="AvenirNext LT Pro LightCn"/>
        </w:rPr>
      </w:pPr>
    </w:p>
    <w:p w14:paraId="621E1344" w14:textId="77777777" w:rsidR="00892F5B" w:rsidRPr="003A62C4" w:rsidRDefault="00892F5B" w:rsidP="00892F5B">
      <w:pPr>
        <w:spacing w:before="0" w:after="0"/>
        <w:rPr>
          <w:rFonts w:ascii="AvenirNext LT Pro LightCn" w:hAnsi="AvenirNext LT Pro LightCn"/>
        </w:rPr>
      </w:pPr>
      <w:r w:rsidRPr="003A62C4">
        <w:rPr>
          <w:rFonts w:ascii="AvenirNext LT Pro LightCn" w:hAnsi="AvenirNext LT Pro LightCn"/>
        </w:rPr>
        <w:t>Dans laquelle :</w:t>
      </w:r>
    </w:p>
    <w:p w14:paraId="36D60E18" w14:textId="77777777" w:rsidR="00892F5B" w:rsidRPr="003A62C4" w:rsidRDefault="00892F5B" w:rsidP="00892F5B">
      <w:pPr>
        <w:spacing w:before="0" w:after="0"/>
        <w:rPr>
          <w:rFonts w:ascii="AvenirNext LT Pro LightCn" w:hAnsi="AvenirNext LT Pro LightCn"/>
        </w:rPr>
      </w:pPr>
    </w:p>
    <w:p w14:paraId="4CE77048"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P est le montant des pénalités</w:t>
      </w:r>
    </w:p>
    <w:p w14:paraId="65CB5185"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44035394"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R est le nombre de jours calendaires de retard sur le délai d’intervention contractuel.</w:t>
      </w:r>
    </w:p>
    <w:p w14:paraId="4EAA1CB2" w14:textId="77777777" w:rsidR="00892F5B" w:rsidRPr="003A62C4" w:rsidRDefault="00892F5B" w:rsidP="00892F5B">
      <w:pPr>
        <w:spacing w:before="0" w:after="0"/>
        <w:rPr>
          <w:rFonts w:ascii="AvenirNext LT Pro LightCn" w:hAnsi="AvenirNext LT Pro LightCn"/>
        </w:rPr>
      </w:pPr>
    </w:p>
    <w:p w14:paraId="6F1BC0E3" w14:textId="77777777" w:rsidR="00892F5B" w:rsidRPr="003A62C4" w:rsidRDefault="00892F5B" w:rsidP="00892F5B">
      <w:pPr>
        <w:spacing w:after="0"/>
        <w:rPr>
          <w:rFonts w:ascii="AvenirNext LT Pro LightCn" w:hAnsi="AvenirNext LT Pro LightCn"/>
        </w:rPr>
      </w:pPr>
      <w:r w:rsidRPr="003A62C4">
        <w:rPr>
          <w:rFonts w:ascii="AvenirNext LT Pro LightCn" w:hAnsi="AvenirNext LT Pro LightCn"/>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29CBA5A0" w:rsidR="00892F5B" w:rsidRDefault="00892F5B" w:rsidP="00892F5B">
      <w:pPr>
        <w:spacing w:after="0"/>
        <w:rPr>
          <w:rFonts w:ascii="AvenirNext LT Pro LightCn" w:hAnsi="AvenirNext LT Pro LightCn"/>
        </w:rPr>
      </w:pPr>
      <w:r w:rsidRPr="003A62C4">
        <w:rPr>
          <w:rFonts w:ascii="AvenirNext LT Pro LightCn" w:hAnsi="AvenirNext LT Pro LightCn"/>
        </w:rPr>
        <w:t>INRAE peut exonérer le titulaire de ces pénalités si ce dernier invoque une cause de retard qui ne lui est pas imputable. Il notifie alors sa demande d’exonération à INRAE, en exposant les motifs de son retard.</w:t>
      </w:r>
    </w:p>
    <w:p w14:paraId="2288B747" w14:textId="153EEA52" w:rsidR="003A62C4" w:rsidRPr="00D3747F" w:rsidRDefault="003A62C4" w:rsidP="00C2654F">
      <w:pPr>
        <w:pStyle w:val="Titre2"/>
        <w:rPr>
          <w:color w:val="00A3A6"/>
          <w14:textFill>
            <w14:solidFill>
              <w14:srgbClr w14:val="00A3A6">
                <w14:lumMod w14:val="75000"/>
              </w14:srgbClr>
            </w14:solidFill>
          </w14:textFill>
        </w:rPr>
      </w:pPr>
      <w:bookmarkStart w:id="129" w:name="_Toc135996186"/>
      <w:r w:rsidRPr="00C2654F">
        <w:t>- Péna</w:t>
      </w:r>
      <w:r w:rsidR="00D3747F" w:rsidRPr="00C2654F">
        <w:t xml:space="preserve">lités pour non-respect du délai de mise au point ou de réparation </w:t>
      </w:r>
      <w:r w:rsidRPr="00C2654F">
        <w:t>en cas de panne</w:t>
      </w:r>
      <w:bookmarkEnd w:id="129"/>
    </w:p>
    <w:p w14:paraId="71EBDD95" w14:textId="7A0896A5" w:rsidR="003A62C4" w:rsidRPr="003A62C4" w:rsidRDefault="003A62C4" w:rsidP="003A62C4">
      <w:pPr>
        <w:spacing w:after="0"/>
        <w:rPr>
          <w:rFonts w:ascii="AvenirNext LT Pro LightCn" w:hAnsi="AvenirNext LT Pro LightCn"/>
        </w:rPr>
      </w:pPr>
      <w:r w:rsidRPr="00D3747F">
        <w:rPr>
          <w:rFonts w:ascii="AvenirNext LT Pro LightCn" w:hAnsi="AvenirNext LT Pro LightCn"/>
        </w:rPr>
        <w:t>En garantie comme en maintenance, en</w:t>
      </w:r>
      <w:r w:rsidRPr="003A62C4">
        <w:rPr>
          <w:rFonts w:ascii="AvenirNext LT Pro LightCn" w:hAnsi="AvenirNext LT Pro LightCn"/>
        </w:rPr>
        <w:t xml:space="preserve"> cas de dépassement du délai dont dispose le titulaire pour effectuer une mise au point ou une réparation comme défini </w:t>
      </w:r>
      <w:r w:rsidR="00D3747F">
        <w:rPr>
          <w:rFonts w:ascii="AvenirNext LT Pro LightCn" w:hAnsi="AvenirNext LT Pro LightCn"/>
        </w:rPr>
        <w:t>dans le présent marché</w:t>
      </w:r>
      <w:r w:rsidRPr="003A62C4">
        <w:rPr>
          <w:rFonts w:ascii="AvenirNext LT Pro LightCn" w:hAnsi="AvenirNext LT Pro LightCn"/>
        </w:rPr>
        <w:t>, le titulaire peut, sur décision d’INRAE, se voir appliquer, sans mise en demeure préalable, une pénalité calculée par l’application de la formule suivante :</w:t>
      </w:r>
    </w:p>
    <w:p w14:paraId="00A07F37" w14:textId="77777777" w:rsidR="003A62C4" w:rsidRPr="003A62C4" w:rsidRDefault="003A62C4" w:rsidP="003A62C4">
      <w:pPr>
        <w:spacing w:after="0"/>
        <w:rPr>
          <w:rFonts w:ascii="AvenirNext LT Pro LightCn" w:hAnsi="AvenirNext LT Pro LightCn"/>
        </w:rPr>
      </w:pPr>
    </w:p>
    <w:p w14:paraId="283D0B9E" w14:textId="77777777" w:rsidR="003A62C4" w:rsidRPr="003A62C4" w:rsidRDefault="003A62C4" w:rsidP="003A62C4">
      <w:pPr>
        <w:spacing w:before="0" w:after="0"/>
        <w:rPr>
          <w:rFonts w:ascii="AvenirNext LT Pro LightCn" w:hAnsi="AvenirNext LT Pro LightCn"/>
        </w:rPr>
      </w:pPr>
      <w:r w:rsidRPr="003A62C4">
        <w:rPr>
          <w:rFonts w:ascii="AvenirNext LT Pro LightCn" w:hAnsi="AvenirNext LT Pro LightCn"/>
        </w:rPr>
        <w:t xml:space="preserve">P = </w:t>
      </w:r>
      <w:r w:rsidRPr="003A62C4">
        <w:rPr>
          <w:rFonts w:ascii="AvenirNext LT Pro LightCn" w:hAnsi="AvenirNext LT Pro LightCn"/>
        </w:rPr>
        <w:tab/>
      </w:r>
      <w:r w:rsidRPr="003A62C4">
        <w:rPr>
          <w:rFonts w:ascii="AvenirNext LT Pro LightCn" w:hAnsi="AvenirNext LT Pro LightCn"/>
          <w:u w:val="single"/>
        </w:rPr>
        <w:t>V x R</w:t>
      </w:r>
    </w:p>
    <w:p w14:paraId="48F36D70" w14:textId="77777777" w:rsidR="003A62C4" w:rsidRPr="003A62C4" w:rsidRDefault="003A62C4" w:rsidP="003A62C4">
      <w:pPr>
        <w:spacing w:before="0" w:after="0"/>
        <w:ind w:firstLine="720"/>
        <w:rPr>
          <w:rFonts w:ascii="AvenirNext LT Pro LightCn" w:hAnsi="AvenirNext LT Pro LightCn"/>
        </w:rPr>
      </w:pPr>
      <w:r w:rsidRPr="003A62C4">
        <w:rPr>
          <w:rFonts w:ascii="AvenirNext LT Pro LightCn" w:hAnsi="AvenirNext LT Pro LightCn"/>
        </w:rPr>
        <w:t>200</w:t>
      </w:r>
    </w:p>
    <w:p w14:paraId="3DBA3A24" w14:textId="77777777" w:rsidR="003A62C4" w:rsidRPr="003A62C4" w:rsidRDefault="003A62C4" w:rsidP="003A62C4">
      <w:pPr>
        <w:spacing w:before="0" w:after="0"/>
        <w:rPr>
          <w:rFonts w:ascii="AvenirNext LT Pro LightCn" w:hAnsi="AvenirNext LT Pro LightCn"/>
        </w:rPr>
      </w:pPr>
    </w:p>
    <w:p w14:paraId="2C554E25" w14:textId="77777777" w:rsidR="003A62C4" w:rsidRPr="003A62C4" w:rsidRDefault="003A62C4" w:rsidP="003A62C4">
      <w:pPr>
        <w:spacing w:before="0" w:after="0"/>
        <w:rPr>
          <w:rFonts w:ascii="AvenirNext LT Pro LightCn" w:hAnsi="AvenirNext LT Pro LightCn"/>
        </w:rPr>
      </w:pPr>
      <w:r w:rsidRPr="003A62C4">
        <w:rPr>
          <w:rFonts w:ascii="AvenirNext LT Pro LightCn" w:hAnsi="AvenirNext LT Pro LightCn"/>
        </w:rPr>
        <w:t>Dans laquelle :</w:t>
      </w:r>
    </w:p>
    <w:p w14:paraId="5FA3BDD4" w14:textId="77777777" w:rsidR="003A62C4" w:rsidRPr="003A62C4" w:rsidRDefault="003A62C4" w:rsidP="003A62C4">
      <w:pPr>
        <w:spacing w:before="0" w:after="0"/>
        <w:rPr>
          <w:rFonts w:ascii="AvenirNext LT Pro LightCn" w:hAnsi="AvenirNext LT Pro LightCn"/>
        </w:rPr>
      </w:pPr>
    </w:p>
    <w:p w14:paraId="27B6466F"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P est le montant des pénalités</w:t>
      </w:r>
    </w:p>
    <w:p w14:paraId="16B8D0B1"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4B2ACAE6"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R est le nombre de jours calendaires de retard sur le délai de réparation contractuel.</w:t>
      </w:r>
    </w:p>
    <w:p w14:paraId="43B6C706" w14:textId="6C626E0D"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Le point de départ du délai de mise au point ou de réparation en cas de panne commence à la date de première intervention sur site du Titulaire ou en cas d’absence d’intervention du Titulaire, à la date de la demande d’intervention </w:t>
      </w:r>
      <w:r w:rsidR="00CE4B60">
        <w:rPr>
          <w:rFonts w:ascii="AvenirNext LT Pro LightCn" w:hAnsi="AvenirNext LT Pro LightCn"/>
        </w:rPr>
        <w:t>d’INRAE.</w:t>
      </w:r>
    </w:p>
    <w:p w14:paraId="55FE197B" w14:textId="7E39FE28" w:rsidR="003A62C4" w:rsidRPr="003A62C4" w:rsidRDefault="00CE4B60" w:rsidP="003A62C4">
      <w:pPr>
        <w:rPr>
          <w:rFonts w:ascii="AvenirNext LT Pro LightCn" w:hAnsi="AvenirNext LT Pro LightCn"/>
        </w:rPr>
      </w:pPr>
      <w:r>
        <w:rPr>
          <w:rFonts w:ascii="AvenirNext LT Pro LightCn" w:hAnsi="AvenirNext LT Pro LightCn"/>
        </w:rPr>
        <w:t>INRAE</w:t>
      </w:r>
      <w:r w:rsidR="003A62C4" w:rsidRPr="003A62C4">
        <w:rPr>
          <w:rFonts w:ascii="AvenirNext LT Pro LightCn" w:hAnsi="AvenirNext LT Pro LightCn"/>
        </w:rPr>
        <w:t xml:space="preserve"> peut exonérer le Titulaire de ces pénalités si ce dernier invoque une cause de retard qui ne lui est pas imputable. Il notifie alors sa demande d’exonération </w:t>
      </w:r>
      <w:r>
        <w:rPr>
          <w:rFonts w:ascii="AvenirNext LT Pro LightCn" w:hAnsi="AvenirNext LT Pro LightCn"/>
        </w:rPr>
        <w:t>à INRAE</w:t>
      </w:r>
      <w:r w:rsidR="003A62C4" w:rsidRPr="003A62C4">
        <w:rPr>
          <w:rFonts w:ascii="AvenirNext LT Pro LightCn" w:hAnsi="AvenirNext LT Pro LightCn"/>
        </w:rPr>
        <w:t xml:space="preserve"> et en exposant les motifs de son retard. </w:t>
      </w:r>
    </w:p>
    <w:p w14:paraId="10245788"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p>
    <w:p w14:paraId="5D3EB9B2"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A66D1D5"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L’application de pénalités ne soustrait pas le Titulaire à ses obligations de remise en état de fonctionnement l’instrument tombé en panne.</w:t>
      </w:r>
    </w:p>
    <w:p w14:paraId="658CAEFE" w14:textId="77777777" w:rsidR="003A62C4" w:rsidRPr="00D3747F" w:rsidRDefault="003A62C4" w:rsidP="003946F1">
      <w:pPr>
        <w:keepNext/>
        <w:keepLines/>
        <w:numPr>
          <w:ilvl w:val="1"/>
          <w:numId w:val="11"/>
        </w:numPr>
        <w:spacing w:before="360" w:after="240"/>
        <w:ind w:left="1134" w:hanging="567"/>
        <w:outlineLvl w:val="1"/>
        <w:rPr>
          <w:rFonts w:ascii="Raleway" w:eastAsiaTheme="majorEastAsia" w:hAnsi="Raleway" w:cstheme="majorBidi"/>
          <w:color w:val="00A3A6"/>
          <w:sz w:val="26"/>
          <w:szCs w:val="26"/>
        </w:rPr>
      </w:pPr>
      <w:bookmarkStart w:id="130" w:name="_Toc135996187"/>
      <w:r w:rsidRPr="00D3747F">
        <w:rPr>
          <w:rFonts w:ascii="Raleway" w:eastAsiaTheme="majorEastAsia" w:hAnsi="Raleway" w:cstheme="majorBidi"/>
          <w:color w:val="00A3A6"/>
          <w:sz w:val="26"/>
          <w:szCs w:val="26"/>
        </w:rPr>
        <w:lastRenderedPageBreak/>
        <w:t>- Pénalités pour indisponibilité</w:t>
      </w:r>
      <w:bookmarkEnd w:id="130"/>
    </w:p>
    <w:p w14:paraId="61224593"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En maintenance, </w:t>
      </w:r>
      <w:r w:rsidRPr="00D3747F">
        <w:rPr>
          <w:rFonts w:ascii="AvenirNext LT Pro LightCn" w:hAnsi="AvenirNext LT Pro LightCn"/>
        </w:rPr>
        <w:t>conformément à l’article Indicateurs de suivi et taux de disponibilité, à l'issue</w:t>
      </w:r>
      <w:r w:rsidRPr="003A62C4">
        <w:rPr>
          <w:rFonts w:ascii="AvenirNext LT Pro LightCn" w:hAnsi="AvenirNext LT Pro LightCn"/>
        </w:rPr>
        <w:t xml:space="preserve"> de la période annuelle, pourront être appliquées au titulaire des pénalités calculées selon des dispositions suivantes : si le taux de disponibilité obtenu est inférieur à 92,5%. </w:t>
      </w:r>
    </w:p>
    <w:p w14:paraId="7AD4098A"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Une pénalité de 1% du montant annuel de la prestation de maintenance prévue au marché pourra être appliquée, pour 1% de taux de disponibilité en deçà du taux limite inférieur demandé. </w:t>
      </w:r>
    </w:p>
    <w:p w14:paraId="337EFDFA" w14:textId="58EA2E1F" w:rsidR="003A62C4" w:rsidRDefault="003A62C4" w:rsidP="003A62C4">
      <w:pPr>
        <w:rPr>
          <w:rFonts w:ascii="AvenirNext LT Pro LightCn" w:hAnsi="AvenirNext LT Pro LightCn"/>
        </w:rPr>
      </w:pPr>
      <w:r w:rsidRPr="003A62C4">
        <w:rPr>
          <w:rFonts w:ascii="AvenirNext LT Pro LightCn" w:hAnsi="AvenirNext LT Pro LightCn"/>
        </w:rPr>
        <w:t xml:space="preserve">Dans ce cas, le titulaire émettra, au début de la période suivante, un avoir du montant correspondant ou </w:t>
      </w:r>
      <w:r w:rsidR="00CE4B60">
        <w:rPr>
          <w:rFonts w:ascii="AvenirNext LT Pro LightCn" w:hAnsi="AvenirNext LT Pro LightCn"/>
        </w:rPr>
        <w:t>INRAE</w:t>
      </w:r>
      <w:r w:rsidRPr="003A62C4">
        <w:rPr>
          <w:rFonts w:ascii="AvenirNext LT Pro LightCn" w:hAnsi="AvenirNext LT Pro LightCn"/>
        </w:rPr>
        <w:t xml:space="preserve"> émettra un ordre de reversement</w:t>
      </w:r>
    </w:p>
    <w:p w14:paraId="2C6A3FEC" w14:textId="77777777" w:rsidR="00892F5B" w:rsidRPr="00797BB0" w:rsidRDefault="00892F5B" w:rsidP="00892F5B">
      <w:pPr>
        <w:pStyle w:val="Titre2"/>
        <w:numPr>
          <w:ilvl w:val="1"/>
          <w:numId w:val="19"/>
        </w:numPr>
      </w:pPr>
      <w:bookmarkStart w:id="131" w:name="_Toc135996188"/>
      <w:r w:rsidRPr="00797BB0">
        <w:t>Pénalités pour indisponibilité des pièces détachées</w:t>
      </w:r>
      <w:bookmarkEnd w:id="131"/>
    </w:p>
    <w:p w14:paraId="0322FF61" w14:textId="77777777" w:rsidR="00892F5B" w:rsidRPr="003E1C48" w:rsidRDefault="00892F5B" w:rsidP="00892F5B">
      <w:r w:rsidRPr="003E1C48">
        <w:t xml:space="preserve">Le titulaire s’engage à remplacer les pièces détachées usagées et à fournir les consommables captifs correspondants pendant une durée minimale de </w:t>
      </w:r>
      <w:r>
        <w:t>8</w:t>
      </w:r>
      <w:r w:rsidRPr="003E1C48">
        <w:t xml:space="preserve"> ans à compter de la date d’admission de l’équipement acheté en application du présent marché. </w:t>
      </w:r>
    </w:p>
    <w:p w14:paraId="70ABDA04" w14:textId="77777777" w:rsidR="00892F5B" w:rsidRDefault="00892F5B" w:rsidP="00892F5B">
      <w:r w:rsidRPr="003E1C48">
        <w:t xml:space="preserve">Dans le cas contraire, le titulaire peut, sur décision d’INRAE, se voir appliquer une pénalité égale à </w:t>
      </w:r>
      <w:r w:rsidRPr="00881C9D">
        <w:t xml:space="preserve">10 % </w:t>
      </w:r>
      <w:r w:rsidRPr="003E1C48">
        <w:t>du prix dudit équipement</w:t>
      </w:r>
      <w:r>
        <w:t xml:space="preserve"> par année de non-respect de cette obligation. Le calcul de cette pénalité s’effectue au prorata de la durée réelle pendant laquelle cette obligation n’est pas respectée.</w:t>
      </w:r>
    </w:p>
    <w:p w14:paraId="305CA97C" w14:textId="77777777" w:rsidR="00892F5B" w:rsidRPr="00797BB0" w:rsidRDefault="00892F5B" w:rsidP="00892F5B">
      <w:pPr>
        <w:pStyle w:val="Titre2"/>
        <w:numPr>
          <w:ilvl w:val="1"/>
          <w:numId w:val="18"/>
        </w:numPr>
      </w:pPr>
      <w:bookmarkStart w:id="132" w:name="_Toc135996189"/>
      <w:r w:rsidRPr="00797BB0">
        <w:t xml:space="preserve">- Pénalités pour </w:t>
      </w:r>
      <w:r>
        <w:t>non-respect des dispositions environnementales</w:t>
      </w:r>
      <w:bookmarkEnd w:id="132"/>
    </w:p>
    <w:p w14:paraId="6DDED17C" w14:textId="77777777" w:rsidR="00892F5B" w:rsidRDefault="00892F5B" w:rsidP="00892F5B">
      <w:r>
        <w:t xml:space="preserve">En cas de non-respect des dispositions environnementales que le titulaire s’est engagé à respecter au titre du présent marché dans son offre, le titulaire encourt une pénalité de </w:t>
      </w:r>
      <w:r w:rsidRPr="00881C9D">
        <w:rPr>
          <w:b/>
        </w:rPr>
        <w:t>150</w:t>
      </w:r>
      <w:r w:rsidRPr="00B76FF0">
        <w:rPr>
          <w:b/>
        </w:rPr>
        <w:t xml:space="preserve"> €</w:t>
      </w:r>
      <w:r>
        <w:t xml:space="preserve"> par non-respect constaté.</w:t>
      </w:r>
    </w:p>
    <w:p w14:paraId="5416E675" w14:textId="77777777" w:rsidR="003A62C4" w:rsidRPr="003A62C4" w:rsidRDefault="003A62C4" w:rsidP="003946F1">
      <w:pPr>
        <w:keepNext/>
        <w:keepLines/>
        <w:numPr>
          <w:ilvl w:val="1"/>
          <w:numId w:val="11"/>
        </w:numPr>
        <w:spacing w:before="360" w:after="240"/>
        <w:ind w:left="1134" w:hanging="567"/>
        <w:outlineLvl w:val="1"/>
        <w:rPr>
          <w:rFonts w:ascii="Raleway" w:eastAsiaTheme="majorEastAsia" w:hAnsi="Raleway" w:cstheme="majorBidi"/>
          <w:color w:val="00A3A6"/>
          <w:sz w:val="26"/>
          <w:szCs w:val="26"/>
        </w:rPr>
      </w:pPr>
      <w:bookmarkStart w:id="133" w:name="_Toc135996190"/>
      <w:r w:rsidRPr="003A62C4">
        <w:rPr>
          <w:rFonts w:ascii="Raleway" w:eastAsiaTheme="majorEastAsia" w:hAnsi="Raleway" w:cstheme="majorBidi"/>
          <w:color w:val="00A3A6"/>
          <w:sz w:val="26"/>
          <w:szCs w:val="26"/>
        </w:rPr>
        <w:t>- Pénalités pour non-respect des formalités relatives à la lutte contre le travail illégal</w:t>
      </w:r>
      <w:bookmarkEnd w:id="133"/>
    </w:p>
    <w:p w14:paraId="0D93F4D8"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7BDE7FC0" w14:textId="60F3F106" w:rsidR="00303880" w:rsidRPr="00BC2BFF" w:rsidRDefault="000222BE" w:rsidP="00890070">
      <w:pPr>
        <w:pStyle w:val="Titre1"/>
        <w:spacing w:before="360" w:after="240"/>
        <w:ind w:left="357" w:hanging="357"/>
        <w:rPr>
          <w:rFonts w:ascii="AvenirNext LT Pro Cn" w:hAnsi="AvenirNext LT Pro Cn"/>
        </w:rPr>
      </w:pPr>
      <w:bookmarkStart w:id="134" w:name="_Toc135996191"/>
      <w:r w:rsidRPr="00BC2BFF">
        <w:rPr>
          <w:rFonts w:ascii="AvenirNext LT Pro Cn" w:hAnsi="AvenirNext LT Pro Cn"/>
        </w:rPr>
        <w:t>CLAUSES ENVIRONNEMENTALE</w:t>
      </w:r>
      <w:r w:rsidR="00890070">
        <w:rPr>
          <w:rFonts w:ascii="AvenirNext LT Pro Cn" w:hAnsi="AvenirNext LT Pro Cn"/>
        </w:rPr>
        <w:t>S</w:t>
      </w:r>
      <w:bookmarkEnd w:id="134"/>
      <w:r w:rsidRPr="00BC2BFF">
        <w:rPr>
          <w:rFonts w:ascii="AvenirNext LT Pro Cn" w:hAnsi="AvenirNext LT Pro Cn"/>
        </w:rPr>
        <w:t xml:space="preserve"> </w:t>
      </w:r>
    </w:p>
    <w:p w14:paraId="6F19259D" w14:textId="77777777" w:rsidR="00A26305" w:rsidRDefault="00A26305" w:rsidP="00A26305">
      <w:pPr>
        <w:rPr>
          <w:rFonts w:ascii="AvenirNext LT Pro LightCn" w:hAnsi="AvenirNext LT Pro LightCn"/>
        </w:rPr>
      </w:pPr>
      <w:r>
        <w:rPr>
          <w:rFonts w:ascii="AvenirNext LT Pro LightCn" w:hAnsi="AvenirNext LT Pro LightCn"/>
        </w:rPr>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Default="00A26305" w:rsidP="00A26305">
      <w:pPr>
        <w:rPr>
          <w:rFonts w:ascii="AvenirNext LT Pro LightCn" w:hAnsi="AvenirNext LT Pro LightCn"/>
        </w:rPr>
      </w:pPr>
      <w:r>
        <w:rPr>
          <w:rFonts w:ascii="AvenirNext LT Pro LightCn" w:hAnsi="AvenirNext LT Pro LightCn"/>
        </w:rPr>
        <w:t>Il doit être en mesure d’en justifier, en cours d’exécution de l’accord-cadre, sur simple demande d’INRAE.</w:t>
      </w:r>
    </w:p>
    <w:p w14:paraId="4918120C" w14:textId="77777777" w:rsidR="00A26305" w:rsidRDefault="00A26305" w:rsidP="00A26305">
      <w:pPr>
        <w:rPr>
          <w:rFonts w:ascii="AvenirNext LT Pro LightCn" w:hAnsi="AvenirNext LT Pro LightCn"/>
        </w:rPr>
      </w:pPr>
      <w:r>
        <w:rPr>
          <w:rFonts w:ascii="AvenirNext LT Pro LightCn" w:hAnsi="AvenirNext LT Pro LightCn"/>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Default="00A26305" w:rsidP="00A26305">
      <w:pPr>
        <w:rPr>
          <w:rFonts w:ascii="AvenirNext LT Pro LightCn" w:hAnsi="AvenirNext LT Pro LightCn"/>
        </w:rPr>
      </w:pPr>
      <w:r>
        <w:rPr>
          <w:rFonts w:ascii="AvenirNext LT Pro LightCn" w:hAnsi="AvenirNext LT Pro LightCn"/>
        </w:rPr>
        <w:t>Conformément à l’article L.2112-2 du code de la commande publique, le titulaire s’engage à respecter les conditions d’exécution en vue de la protection de l’environnement.</w:t>
      </w:r>
    </w:p>
    <w:p w14:paraId="30F92032" w14:textId="77777777" w:rsidR="00A26305" w:rsidRDefault="00A26305" w:rsidP="00A26305">
      <w:pPr>
        <w:rPr>
          <w:rFonts w:ascii="AvenirNext LT Pro LightCn" w:hAnsi="AvenirNext LT Pro LightCn"/>
        </w:rPr>
      </w:pPr>
      <w:r>
        <w:rPr>
          <w:rFonts w:ascii="AvenirNext LT Pro LightCn" w:hAnsi="AvenirNext LT Pro LightCn"/>
        </w:rPr>
        <w:t>Le titulaire fait ses meilleurs efforts pour réduire l’impact écologique des prestations fournies au titre du présent marché, notamment :</w:t>
      </w:r>
    </w:p>
    <w:p w14:paraId="6054E7E4"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lastRenderedPageBreak/>
        <w:t>En traitant les déchets liés à la fabrication, au conditionnement et au transport des matériels pour en réduire les impacts écologiques négatifs ;</w:t>
      </w:r>
    </w:p>
    <w:p w14:paraId="34510BD7"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économes en énergie et/ou en fluides ;</w:t>
      </w:r>
    </w:p>
    <w:p w14:paraId="2440142B"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constitués de matériaux recyclables ;</w:t>
      </w:r>
    </w:p>
    <w:p w14:paraId="49528006" w14:textId="2E307C62"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moyens de transports respectueux de l’environnement.</w:t>
      </w:r>
    </w:p>
    <w:p w14:paraId="31F0420F" w14:textId="77777777" w:rsidR="006A5B59" w:rsidRPr="00BC2BFF" w:rsidRDefault="006A5B59">
      <w:pPr>
        <w:widowControl w:val="0"/>
        <w:autoSpaceDE w:val="0"/>
        <w:autoSpaceDN w:val="0"/>
        <w:adjustRightInd w:val="0"/>
        <w:spacing w:line="200" w:lineRule="exact"/>
        <w:rPr>
          <w:rFonts w:cs="Arial"/>
          <w:iCs/>
          <w:color w:val="C00000"/>
          <w:sz w:val="20"/>
          <w:szCs w:val="20"/>
        </w:rPr>
      </w:pPr>
    </w:p>
    <w:p w14:paraId="692302CD" w14:textId="77777777" w:rsidR="00B3398C" w:rsidRPr="00BC2BFF" w:rsidRDefault="00B3398C" w:rsidP="004B5016">
      <w:pPr>
        <w:pStyle w:val="Titre1"/>
        <w:widowControl w:val="0"/>
        <w:autoSpaceDE w:val="0"/>
        <w:autoSpaceDN w:val="0"/>
        <w:adjustRightInd w:val="0"/>
        <w:spacing w:line="200" w:lineRule="exact"/>
        <w:rPr>
          <w:rFonts w:ascii="AvenirNext LT Pro Cn" w:hAnsi="AvenirNext LT Pro Cn"/>
        </w:rPr>
      </w:pPr>
      <w:bookmarkStart w:id="135" w:name="_Toc135996192"/>
      <w:r w:rsidRPr="00BC2BFF">
        <w:rPr>
          <w:rFonts w:ascii="AvenirNext LT Pro Cn" w:hAnsi="AvenirNext LT Pro Cn"/>
        </w:rPr>
        <w:t>GARANTIE</w:t>
      </w:r>
      <w:r w:rsidR="00E1299C" w:rsidRPr="00BC2BFF">
        <w:rPr>
          <w:rFonts w:ascii="AvenirNext LT Pro Cn" w:hAnsi="AvenirNext LT Pro Cn"/>
        </w:rPr>
        <w:t xml:space="preserve"> ET SAV</w:t>
      </w:r>
      <w:bookmarkEnd w:id="135"/>
      <w:r w:rsidR="005144E6" w:rsidRPr="00BC2BFF">
        <w:rPr>
          <w:rFonts w:ascii="AvenirNext LT Pro Cn" w:hAnsi="AvenirNext LT Pro Cn"/>
        </w:rPr>
        <w:t xml:space="preserve"> </w:t>
      </w:r>
    </w:p>
    <w:p w14:paraId="7F2F6C01" w14:textId="5CDB28D7" w:rsidR="00E1299C" w:rsidRDefault="00E1299C" w:rsidP="009D115A">
      <w:pPr>
        <w:pStyle w:val="Titre2"/>
      </w:pPr>
      <w:bookmarkStart w:id="136" w:name="_Toc135996193"/>
      <w:r w:rsidRPr="00BC2BFF">
        <w:t>– Garantie</w:t>
      </w:r>
      <w:bookmarkEnd w:id="136"/>
    </w:p>
    <w:p w14:paraId="5EBAA256" w14:textId="798A4C19" w:rsidR="00D14015" w:rsidRDefault="00D14015" w:rsidP="00D14015">
      <w:r>
        <w:t>Les réclamations relatives à des pièces défectueuses ou à un dysfonctionnement de tout ou partie du matériel livré émanent d’INRAE.</w:t>
      </w:r>
    </w:p>
    <w:p w14:paraId="326D41A5" w14:textId="7A739DDF" w:rsidR="00D14015" w:rsidRDefault="00D14015" w:rsidP="00B07A17">
      <w:pPr>
        <w:spacing w:before="240"/>
      </w:pPr>
      <w:r>
        <w:t>Les fournitures bénéficient de la garantie prévue à l’article 1641 du Code civil, et de la garantie des produits défectueux prévue aux articles 1245 à 1245-17 du Code civil, ainsi que de la garantie contractuelle prévue par le présent marché.</w:t>
      </w:r>
    </w:p>
    <w:p w14:paraId="07EB09F5" w14:textId="77777777" w:rsidR="00D14015" w:rsidRPr="00D14015" w:rsidRDefault="00D14015" w:rsidP="00D14015">
      <w:pPr>
        <w:spacing w:after="0"/>
        <w:rPr>
          <w:rFonts w:ascii="AvenirNext LT Pro LightCn" w:hAnsi="AvenirNext LT Pro LightCn"/>
        </w:rPr>
      </w:pPr>
      <w:r w:rsidRPr="00D14015">
        <w:rPr>
          <w:rFonts w:ascii="AvenirNext LT Pro LightCn" w:hAnsi="AvenirNext LT Pro LightCn"/>
        </w:rPr>
        <w:t>La garantie contractée pendant la période d’exécution de l’accord-cadre engage le titulaire pour sa durée.</w:t>
      </w:r>
    </w:p>
    <w:p w14:paraId="5EE9B40C" w14:textId="77777777" w:rsidR="00D14015" w:rsidRPr="00D14015" w:rsidRDefault="00D14015" w:rsidP="00D14015">
      <w:pPr>
        <w:spacing w:after="0"/>
        <w:rPr>
          <w:rFonts w:ascii="AvenirNext LT Pro LightCn" w:hAnsi="AvenirNext LT Pro LightCn"/>
          <w:b/>
          <w:bCs/>
        </w:rPr>
      </w:pPr>
      <w:r w:rsidRPr="00D14015">
        <w:rPr>
          <w:rFonts w:ascii="AvenirNext LT Pro LightCn" w:hAnsi="AvenirNext LT Pro LightCn"/>
        </w:rPr>
        <w:t>La garantie couvre le coût des pièces défectueuses (composants optiques, mécaniques, électroniques et informatiques inclus) sans limite de montant, de main d’œuvre et les frais de déplacement sur site.</w:t>
      </w:r>
    </w:p>
    <w:p w14:paraId="594F5407" w14:textId="045B0220" w:rsidR="00B07A17" w:rsidRPr="00BC2BFF" w:rsidRDefault="00B07A17" w:rsidP="00B07A17">
      <w:pPr>
        <w:spacing w:before="240"/>
        <w:rPr>
          <w:b/>
          <w:bCs/>
        </w:rPr>
      </w:pPr>
      <w:r w:rsidRPr="00BC2BFF">
        <w:t xml:space="preserve">En application de l’article </w:t>
      </w:r>
      <w:r w:rsidR="00E1299C" w:rsidRPr="00BC2BFF">
        <w:t>33</w:t>
      </w:r>
      <w:r w:rsidRPr="00BC2BFF">
        <w:t xml:space="preserve"> du CCAG-FCS., l’équipement fait l’objet </w:t>
      </w:r>
      <w:r w:rsidRPr="00BC2BFF">
        <w:rPr>
          <w:b/>
          <w:bCs/>
        </w:rPr>
        <w:t>d’une garantie</w:t>
      </w:r>
      <w:r w:rsidRPr="00BC2BFF">
        <w:t xml:space="preserve"> </w:t>
      </w:r>
      <w:r w:rsidRPr="00BC2BFF">
        <w:rPr>
          <w:b/>
          <w:bCs/>
        </w:rPr>
        <w:t>commerciale d’un (1) an.</w:t>
      </w:r>
    </w:p>
    <w:p w14:paraId="28AB1D59" w14:textId="6589EF1A" w:rsidR="00B07A17" w:rsidRPr="00BC2BFF" w:rsidRDefault="00B07A17" w:rsidP="00B07A17">
      <w:r w:rsidRPr="00BC2BFF">
        <w:t>Pour les logiciels fournis, la garantie devra comprendre obligatoirement leur mise à jour et évolution.</w:t>
      </w:r>
    </w:p>
    <w:p w14:paraId="4791B75F" w14:textId="4271ECA2" w:rsidR="00B07A17" w:rsidRPr="00BC2BFF" w:rsidRDefault="00B07A17" w:rsidP="00B07A17">
      <w:pPr>
        <w:rPr>
          <w:sz w:val="20"/>
          <w:szCs w:val="20"/>
        </w:rPr>
      </w:pPr>
      <w:r w:rsidRPr="00BC2BFF">
        <w:t xml:space="preserve">Le point de départ du délai de cette garantie est </w:t>
      </w:r>
      <w:r w:rsidRPr="00BC2BFF">
        <w:rPr>
          <w:u w:val="single"/>
        </w:rPr>
        <w:t>la date d’admission de l’équipement</w:t>
      </w:r>
      <w:r w:rsidRPr="00BC2BFF">
        <w:t xml:space="preserve"> au titulaire.</w:t>
      </w:r>
    </w:p>
    <w:p w14:paraId="4A2E7F0B" w14:textId="48586236" w:rsidR="00B07A17" w:rsidRDefault="00B07A17" w:rsidP="00B07A17">
      <w:bookmarkStart w:id="137" w:name="page6"/>
      <w:bookmarkEnd w:id="137"/>
      <w:r w:rsidRPr="00BC2BFF">
        <w:t>Au titre de cette garantie commerciale, le titulaire s’engage à intervenir dans le délai indiqué dans son offre.</w:t>
      </w:r>
    </w:p>
    <w:p w14:paraId="75252E9A" w14:textId="77777777" w:rsidR="00A451A9" w:rsidRDefault="00A451A9" w:rsidP="00A451A9">
      <w:pPr>
        <w:spacing w:after="0"/>
        <w:rPr>
          <w:rFonts w:ascii="AvenirNext LT Pro LightCn" w:hAnsi="AvenirNext LT Pro LightCn"/>
        </w:rPr>
      </w:pPr>
      <w:r w:rsidRPr="00D14015">
        <w:rPr>
          <w:rFonts w:ascii="AvenirNext LT Pro LightCn" w:hAnsi="AvenirNext LT Pro LightCn"/>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74CCB497" w14:textId="35BCA867" w:rsidR="00E1299C" w:rsidRPr="00B7002F" w:rsidRDefault="00727CA5" w:rsidP="009D115A">
      <w:pPr>
        <w:pStyle w:val="Titre2"/>
      </w:pPr>
      <w:bookmarkStart w:id="138" w:name="_Toc135996194"/>
      <w:r>
        <w:t>Support technique</w:t>
      </w:r>
      <w:bookmarkEnd w:id="138"/>
    </w:p>
    <w:p w14:paraId="62F58A35" w14:textId="2033A3DF" w:rsidR="00727CA5" w:rsidRDefault="00727CA5" w:rsidP="00727CA5">
      <w:pPr>
        <w:rPr>
          <w:rFonts w:ascii="AvenirNext LT Pro LightCn" w:hAnsi="AvenirNext LT Pro LightCn"/>
          <w:bCs/>
        </w:rPr>
      </w:pPr>
      <w:r>
        <w:rPr>
          <w:rFonts w:ascii="AvenirNext LT Pro LightCn" w:hAnsi="AvenirNext LT Pro LightCn"/>
          <w:bCs/>
        </w:rPr>
        <w:t xml:space="preserve">La garantie </w:t>
      </w:r>
      <w:r w:rsidRPr="00DB5EBE">
        <w:rPr>
          <w:rFonts w:ascii="AvenirNext LT Pro LightCn" w:hAnsi="AvenirNext LT Pro LightCn"/>
          <w:bCs/>
        </w:rPr>
        <w:t>inclut un support technique (y compris sur les logiciels) gratuit et illimité pendant les jours ouvrés</w:t>
      </w:r>
      <w:r>
        <w:rPr>
          <w:rFonts w:ascii="AvenirNext LT Pro LightCn" w:hAnsi="AvenirNext LT Pro LightCn"/>
          <w:bCs/>
        </w:rPr>
        <w:t xml:space="preserve"> durant toute la période de garantie et/ou de maintenance des équipements</w:t>
      </w:r>
      <w:r w:rsidRPr="00DB5EBE">
        <w:rPr>
          <w:rFonts w:ascii="AvenirNext LT Pro LightCn" w:hAnsi="AvenirNext LT Pro LightCn"/>
          <w:bCs/>
        </w:rPr>
        <w:t xml:space="preserve">. </w:t>
      </w:r>
    </w:p>
    <w:p w14:paraId="00C40513" w14:textId="77777777" w:rsidR="00727CA5" w:rsidRPr="00DB5EBE" w:rsidRDefault="00727CA5" w:rsidP="00727CA5">
      <w:pPr>
        <w:rPr>
          <w:rFonts w:ascii="AvenirNext LT Pro LightCn" w:hAnsi="AvenirNext LT Pro LightCn"/>
          <w:bCs/>
        </w:rPr>
      </w:pPr>
      <w:r w:rsidRPr="00DB5EBE">
        <w:rPr>
          <w:rFonts w:ascii="AvenirNext LT Pro LightCn" w:hAnsi="AvenirNext LT Pro LightCn"/>
          <w:bCs/>
        </w:rPr>
        <w:t xml:space="preserve">Le support téléphonique est accessible par téléphone (appel non surtaxé) et par courriel. </w:t>
      </w:r>
    </w:p>
    <w:p w14:paraId="7B035A01" w14:textId="77777777" w:rsidR="00727CA5" w:rsidRDefault="00727CA5" w:rsidP="00727CA5">
      <w:pPr>
        <w:rPr>
          <w:rFonts w:ascii="AvenirNext LT Pro LightCn" w:hAnsi="AvenirNext LT Pro LightCn"/>
          <w:bCs/>
        </w:rPr>
      </w:pPr>
      <w:r w:rsidRPr="00DB5EBE">
        <w:rPr>
          <w:rFonts w:ascii="AvenirNext LT Pro LightCn" w:hAnsi="AvenirNext LT Pro LightCn"/>
          <w:bCs/>
        </w:rPr>
        <w:t>Le titulaire s’engage sur un délai de réponse inférieur à</w:t>
      </w:r>
      <w:r>
        <w:rPr>
          <w:rFonts w:ascii="AvenirNext LT Pro LightCn" w:hAnsi="AvenirNext LT Pro LightCn"/>
          <w:bCs/>
        </w:rPr>
        <w:t> :</w:t>
      </w:r>
    </w:p>
    <w:p w14:paraId="4AA0C9BB" w14:textId="77777777" w:rsidR="00727CA5" w:rsidRPr="003D7411" w:rsidRDefault="00727CA5" w:rsidP="003946F1">
      <w:pPr>
        <w:pStyle w:val="Paragraphedeliste"/>
        <w:numPr>
          <w:ilvl w:val="0"/>
          <w:numId w:val="15"/>
        </w:numPr>
        <w:spacing w:before="0" w:after="0"/>
        <w:ind w:left="714" w:hanging="357"/>
        <w:rPr>
          <w:rFonts w:ascii="AvenirNext LT Pro LightCn" w:hAnsi="AvenirNext LT Pro LightCn"/>
          <w:bCs/>
        </w:rPr>
      </w:pPr>
      <w:r w:rsidRPr="003D7411">
        <w:rPr>
          <w:rFonts w:ascii="AvenirNext LT Pro LightCn" w:hAnsi="AvenirNext LT Pro LightCn"/>
          <w:bCs/>
        </w:rPr>
        <w:t>24H ouvrées en cas de panne</w:t>
      </w:r>
    </w:p>
    <w:p w14:paraId="1567E992" w14:textId="64516765" w:rsidR="00727CA5" w:rsidRDefault="00727CA5" w:rsidP="003946F1">
      <w:pPr>
        <w:pStyle w:val="Paragraphedeliste"/>
        <w:numPr>
          <w:ilvl w:val="0"/>
          <w:numId w:val="15"/>
        </w:numPr>
        <w:spacing w:before="60" w:after="0"/>
        <w:ind w:left="714" w:hanging="357"/>
        <w:rPr>
          <w:rFonts w:ascii="AvenirNext LT Pro LightCn" w:hAnsi="AvenirNext LT Pro LightCn"/>
          <w:bCs/>
        </w:rPr>
      </w:pPr>
      <w:r w:rsidRPr="003D7411">
        <w:rPr>
          <w:rFonts w:ascii="AvenirNext LT Pro LightCn" w:hAnsi="AvenirNext LT Pro LightCn"/>
          <w:bCs/>
        </w:rPr>
        <w:t>72h ouvrées hors cas de panne.</w:t>
      </w:r>
    </w:p>
    <w:p w14:paraId="21F8826F" w14:textId="29AFF706" w:rsidR="00727CA5" w:rsidRDefault="00727CA5" w:rsidP="00727CA5">
      <w:pPr>
        <w:spacing w:before="60" w:after="0"/>
        <w:rPr>
          <w:rFonts w:ascii="AvenirNext LT Pro LightCn" w:hAnsi="AvenirNext LT Pro LightCn"/>
          <w:bCs/>
        </w:rPr>
      </w:pPr>
      <w:r>
        <w:rPr>
          <w:rFonts w:ascii="AvenirNext LT Pro LightCn" w:hAnsi="AvenirNext LT Pro LightCn"/>
          <w:bCs/>
        </w:rPr>
        <w:t>Les autres engagements du titulaire concernant le support technique figurent dans son offre.</w:t>
      </w:r>
    </w:p>
    <w:p w14:paraId="4216880B" w14:textId="77777777" w:rsidR="00CC5CE8" w:rsidRPr="003E1C48" w:rsidRDefault="003E1C48" w:rsidP="003E1C48">
      <w:pPr>
        <w:keepNext/>
        <w:spacing w:before="240" w:after="240"/>
        <w:ind w:firstLine="1559"/>
        <w:outlineLvl w:val="1"/>
        <w:rPr>
          <w:rFonts w:cs="Arial"/>
          <w:i/>
          <w:iCs/>
          <w:color w:val="00A6A3"/>
        </w:rPr>
      </w:pPr>
      <w:bookmarkStart w:id="139" w:name="_Toc135996195"/>
      <w:r>
        <w:rPr>
          <w:rFonts w:cs="Arial"/>
          <w:i/>
          <w:iCs/>
          <w:color w:val="00A6A3"/>
        </w:rPr>
        <w:t xml:space="preserve">11.2.1 - </w:t>
      </w:r>
      <w:r w:rsidR="00CC5CE8" w:rsidRPr="003E1C48">
        <w:rPr>
          <w:rFonts w:cs="Arial"/>
          <w:i/>
          <w:iCs/>
          <w:color w:val="00A6A3"/>
        </w:rPr>
        <w:t>Logiciels de pilotage et de traitement des données</w:t>
      </w:r>
      <w:bookmarkEnd w:id="139"/>
    </w:p>
    <w:p w14:paraId="756DDB52" w14:textId="4BE31841" w:rsidR="00E1299C" w:rsidRPr="00BC2BFF" w:rsidRDefault="00727CA5" w:rsidP="00E1299C">
      <w:r>
        <w:t>La garantie inclu</w:t>
      </w:r>
      <w:r w:rsidR="008771C6">
        <w:t>t</w:t>
      </w:r>
      <w:r w:rsidR="00E1299C" w:rsidRPr="00BC2BFF">
        <w:t xml:space="preserve"> au minimum : </w:t>
      </w:r>
    </w:p>
    <w:p w14:paraId="1283C404" w14:textId="77777777" w:rsidR="00E1299C" w:rsidRPr="00BC2BFF" w:rsidRDefault="00E1299C" w:rsidP="003946F1">
      <w:pPr>
        <w:pStyle w:val="Paragraphedeliste"/>
        <w:numPr>
          <w:ilvl w:val="0"/>
          <w:numId w:val="8"/>
        </w:numPr>
      </w:pPr>
      <w:proofErr w:type="gramStart"/>
      <w:r w:rsidRPr="00BC2BFF">
        <w:t>les</w:t>
      </w:r>
      <w:proofErr w:type="gramEnd"/>
      <w:r w:rsidRPr="00BC2BFF">
        <w:t xml:space="preserve"> mises à jour et changements de version des logiciels de pilotage, </w:t>
      </w:r>
    </w:p>
    <w:p w14:paraId="64037E3B" w14:textId="2422FCCB" w:rsidR="00E1299C" w:rsidRPr="00BC2BFF" w:rsidRDefault="00E1299C" w:rsidP="003946F1">
      <w:pPr>
        <w:pStyle w:val="Paragraphedeliste"/>
        <w:numPr>
          <w:ilvl w:val="0"/>
          <w:numId w:val="8"/>
        </w:numPr>
      </w:pPr>
      <w:proofErr w:type="gramStart"/>
      <w:r w:rsidRPr="00BC2BFF">
        <w:t>les</w:t>
      </w:r>
      <w:proofErr w:type="gramEnd"/>
      <w:r w:rsidRPr="00BC2BFF">
        <w:t xml:space="preserve"> mises à jour des logiciels de traitement des données</w:t>
      </w:r>
      <w:r w:rsidR="00727CA5">
        <w:t xml:space="preserve"> gratuites pendant une durée de 24 mois minimum</w:t>
      </w:r>
      <w:r w:rsidRPr="00BC2BFF">
        <w:t>.</w:t>
      </w:r>
    </w:p>
    <w:p w14:paraId="750E80C9" w14:textId="77777777" w:rsidR="00E1299C" w:rsidRPr="00BC2BFF" w:rsidRDefault="00E1299C" w:rsidP="009E36D1">
      <w:r w:rsidRPr="00BC2BFF">
        <w:lastRenderedPageBreak/>
        <w:t xml:space="preserve">La mise à jour s’entend comme une évolution dans une même version du logiciel (passage d’une version </w:t>
      </w:r>
      <w:r w:rsidR="00FA5961">
        <w:t>3</w:t>
      </w:r>
      <w:r w:rsidRPr="00BC2BFF">
        <w:t xml:space="preserve">.0 à </w:t>
      </w:r>
      <w:r w:rsidR="00FA5961">
        <w:t>3</w:t>
      </w:r>
      <w:r w:rsidRPr="00BC2BFF">
        <w:t>.1 par exemple).</w:t>
      </w:r>
    </w:p>
    <w:p w14:paraId="486F99AD" w14:textId="77777777" w:rsidR="00E1299C" w:rsidRPr="00BC2BFF" w:rsidRDefault="00E1299C" w:rsidP="00E1299C">
      <w:r w:rsidRPr="00BC2BFF">
        <w:t xml:space="preserve">Le changement de version s’entend comme le passage d’une version </w:t>
      </w:r>
      <w:r w:rsidR="00FA5961">
        <w:t>3</w:t>
      </w:r>
      <w:r w:rsidRPr="00BC2BFF">
        <w:t xml:space="preserve">.1 à </w:t>
      </w:r>
      <w:r w:rsidR="00FA5961">
        <w:t>4</w:t>
      </w:r>
      <w:r w:rsidRPr="00BC2BFF">
        <w:t>.0 par exemple.</w:t>
      </w:r>
    </w:p>
    <w:p w14:paraId="7C676905" w14:textId="574E7100" w:rsidR="00E1299C" w:rsidRDefault="00E1299C" w:rsidP="00E1299C">
      <w:r w:rsidRPr="00BC2BFF">
        <w:t xml:space="preserve">La compatibilité entre les logiciels de pilotage et de traitement des données doit être assurée. </w:t>
      </w:r>
    </w:p>
    <w:p w14:paraId="7751EF27" w14:textId="6336CBDD" w:rsidR="00216003" w:rsidRDefault="00216003" w:rsidP="00E1299C">
      <w:r>
        <w:t>Le titulaire doit permettre l’enregistrement des données récoltées sous un format d’échange de données.</w:t>
      </w:r>
    </w:p>
    <w:p w14:paraId="4837BB78" w14:textId="57D76038" w:rsidR="00216003" w:rsidRDefault="00216003" w:rsidP="00E1299C">
      <w:r>
        <w:t>Les autres engagements du titulaire concernant les logiciels figurent dans son offre.</w:t>
      </w:r>
    </w:p>
    <w:p w14:paraId="306FB911" w14:textId="6E097928" w:rsidR="00E1299C" w:rsidRPr="003E1C48" w:rsidRDefault="003E1C48" w:rsidP="003E1C48">
      <w:pPr>
        <w:keepNext/>
        <w:spacing w:before="240" w:after="240"/>
        <w:ind w:firstLine="1559"/>
        <w:outlineLvl w:val="1"/>
        <w:rPr>
          <w:rFonts w:cs="Arial"/>
          <w:i/>
          <w:iCs/>
          <w:color w:val="00A6A3"/>
        </w:rPr>
      </w:pPr>
      <w:bookmarkStart w:id="140" w:name="_Toc135996196"/>
      <w:r>
        <w:rPr>
          <w:rFonts w:cs="Arial"/>
          <w:i/>
          <w:iCs/>
          <w:color w:val="00A6A3"/>
        </w:rPr>
        <w:t>11.2.</w:t>
      </w:r>
      <w:r w:rsidR="00216003">
        <w:rPr>
          <w:rFonts w:cs="Arial"/>
          <w:i/>
          <w:iCs/>
          <w:color w:val="00A6A3"/>
        </w:rPr>
        <w:t>2</w:t>
      </w:r>
      <w:r>
        <w:rPr>
          <w:rFonts w:cs="Arial"/>
          <w:i/>
          <w:iCs/>
          <w:color w:val="00A6A3"/>
        </w:rPr>
        <w:t xml:space="preserve"> - </w:t>
      </w:r>
      <w:r w:rsidR="00E1299C" w:rsidRPr="003E1C48">
        <w:rPr>
          <w:rFonts w:cs="Arial"/>
          <w:i/>
          <w:iCs/>
          <w:color w:val="00A6A3"/>
        </w:rPr>
        <w:t>Délais d’intervention en cas de panne</w:t>
      </w:r>
      <w:bookmarkEnd w:id="140"/>
    </w:p>
    <w:p w14:paraId="491B9C4A" w14:textId="62264902" w:rsidR="00E1299C" w:rsidRDefault="00E1299C" w:rsidP="00E1299C">
      <w:pPr>
        <w:rPr>
          <w:bCs/>
        </w:rPr>
      </w:pPr>
      <w:r w:rsidRPr="00BC2BFF">
        <w:rPr>
          <w:bCs/>
        </w:rPr>
        <w:t xml:space="preserve">Pendant toute la période de garantie, le titulaire a une obligation de résultat concernant le respect des délais d’intervention sur site en cas de panne </w:t>
      </w:r>
      <w:r w:rsidR="00C83BB5">
        <w:rPr>
          <w:bCs/>
        </w:rPr>
        <w:t xml:space="preserve">du ou </w:t>
      </w:r>
      <w:r w:rsidRPr="00BC2BFF">
        <w:rPr>
          <w:bCs/>
        </w:rPr>
        <w:t xml:space="preserve">des </w:t>
      </w:r>
      <w:r w:rsidR="00C83BB5">
        <w:rPr>
          <w:bCs/>
        </w:rPr>
        <w:t>équipement</w:t>
      </w:r>
      <w:r w:rsidRPr="00BC2BFF">
        <w:rPr>
          <w:bCs/>
        </w:rPr>
        <w:t xml:space="preserve">s achetés en application du présent </w:t>
      </w:r>
      <w:r w:rsidR="00CC5CE8" w:rsidRPr="00BC2BFF">
        <w:rPr>
          <w:bCs/>
        </w:rPr>
        <w:t>marché</w:t>
      </w:r>
      <w:r w:rsidRPr="00BC2BFF">
        <w:rPr>
          <w:bCs/>
        </w:rPr>
        <w:t>.</w:t>
      </w:r>
    </w:p>
    <w:p w14:paraId="25E11C7C" w14:textId="12CAAAF0" w:rsidR="00FE23EE" w:rsidRPr="00BC2BFF" w:rsidRDefault="00FE23EE" w:rsidP="00E1299C">
      <w:pPr>
        <w:rPr>
          <w:bCs/>
        </w:rPr>
      </w:pPr>
      <w:r>
        <w:t>Ce délai s’entend en jours calendaires à compter de la demande d’intervention. Il prend en compte la localisation du site d’implantation de l’instrument objet du présent marché. Ce délai est obligatoirement inférieur ou égal à 4 jours calendaires</w:t>
      </w:r>
      <w:r w:rsidR="00881C9D">
        <w:t>.</w:t>
      </w:r>
    </w:p>
    <w:p w14:paraId="2C9C3F28" w14:textId="4DB121AD" w:rsidR="00E1299C" w:rsidRPr="00A76EDA" w:rsidRDefault="00E1299C" w:rsidP="00FE23EE">
      <w:pPr>
        <w:rPr>
          <w:bCs/>
        </w:rPr>
      </w:pPr>
      <w:r w:rsidRPr="00A76EDA">
        <w:rPr>
          <w:bCs/>
        </w:rPr>
        <w:t xml:space="preserve">La demande d’intervention par le représentant </w:t>
      </w:r>
      <w:r w:rsidR="00CC5CE8" w:rsidRPr="00A76EDA">
        <w:rPr>
          <w:bCs/>
        </w:rPr>
        <w:t>d’INRAE</w:t>
      </w:r>
      <w:r w:rsidRPr="00A76EDA">
        <w:rPr>
          <w:bCs/>
        </w:rPr>
        <w:t xml:space="preserve"> peut être effectuée par téléphone, confirmée par voie électronique.</w:t>
      </w:r>
    </w:p>
    <w:p w14:paraId="012FB621" w14:textId="77777777" w:rsidR="00E1299C" w:rsidRPr="00A76EDA" w:rsidRDefault="00E1299C" w:rsidP="003946F1">
      <w:pPr>
        <w:pStyle w:val="Paragraphedeliste"/>
        <w:numPr>
          <w:ilvl w:val="0"/>
          <w:numId w:val="9"/>
        </w:numPr>
        <w:rPr>
          <w:bCs/>
        </w:rPr>
      </w:pPr>
      <w:r w:rsidRPr="00A76EDA">
        <w:rPr>
          <w:bCs/>
        </w:rPr>
        <w:t>L’enregistrement de la demande d’intervention doit faire l’objet d’une confirmation écrite (courriel) par le titulaire.</w:t>
      </w:r>
    </w:p>
    <w:p w14:paraId="1E6AC63D" w14:textId="77777777" w:rsidR="00E1299C" w:rsidRPr="00A76EDA" w:rsidRDefault="00E1299C" w:rsidP="003946F1">
      <w:pPr>
        <w:pStyle w:val="Paragraphedeliste"/>
        <w:numPr>
          <w:ilvl w:val="0"/>
          <w:numId w:val="9"/>
        </w:numPr>
        <w:rPr>
          <w:bCs/>
        </w:rPr>
      </w:pPr>
      <w:r w:rsidRPr="00A76EDA">
        <w:rPr>
          <w:bCs/>
        </w:rPr>
        <w:t xml:space="preserve">Le délai d’intervention commence dès l’enregistrement de la demande d’intervention du représentant </w:t>
      </w:r>
      <w:r w:rsidR="00967103" w:rsidRPr="00A76EDA">
        <w:rPr>
          <w:bCs/>
        </w:rPr>
        <w:t xml:space="preserve">d’INRAE </w:t>
      </w:r>
      <w:r w:rsidRPr="00A76EDA">
        <w:rPr>
          <w:bCs/>
        </w:rPr>
        <w:t>par le titulaire.</w:t>
      </w:r>
    </w:p>
    <w:p w14:paraId="0143D91F" w14:textId="77777777" w:rsidR="00E1299C" w:rsidRPr="00BC2BFF" w:rsidRDefault="00E1299C" w:rsidP="00E1299C">
      <w:pPr>
        <w:rPr>
          <w:bCs/>
        </w:rPr>
      </w:pPr>
      <w:r w:rsidRPr="00BC2BFF">
        <w:rPr>
          <w:bCs/>
        </w:rPr>
        <w:t xml:space="preserve">Dans le cas du non-respect de ce délai, le titulaire encourt une pénalité telle que décrite à l’article </w:t>
      </w:r>
      <w:r w:rsidR="00967103">
        <w:rPr>
          <w:bCs/>
        </w:rPr>
        <w:t xml:space="preserve">9.2 </w:t>
      </w:r>
      <w:r w:rsidRPr="00BC2BFF">
        <w:rPr>
          <w:bCs/>
        </w:rPr>
        <w:t xml:space="preserve">du présent </w:t>
      </w:r>
      <w:r w:rsidR="00967103">
        <w:rPr>
          <w:bCs/>
        </w:rPr>
        <w:t>AE</w:t>
      </w:r>
      <w:r w:rsidRPr="00BC2BFF">
        <w:rPr>
          <w:bCs/>
        </w:rPr>
        <w:t>CCP.</w:t>
      </w:r>
    </w:p>
    <w:p w14:paraId="22ED39C4" w14:textId="4799644C" w:rsidR="00E1299C" w:rsidRPr="003E1C48" w:rsidRDefault="003E1C48" w:rsidP="003E1C48">
      <w:pPr>
        <w:keepNext/>
        <w:spacing w:before="240" w:after="240"/>
        <w:ind w:firstLine="1559"/>
        <w:outlineLvl w:val="1"/>
        <w:rPr>
          <w:rFonts w:cs="Arial"/>
          <w:i/>
          <w:iCs/>
          <w:color w:val="00A6A3"/>
        </w:rPr>
      </w:pPr>
      <w:bookmarkStart w:id="141" w:name="_Toc135996197"/>
      <w:r>
        <w:rPr>
          <w:rFonts w:cs="Arial"/>
          <w:i/>
          <w:iCs/>
          <w:color w:val="00A6A3"/>
        </w:rPr>
        <w:t>11.2.</w:t>
      </w:r>
      <w:r w:rsidR="007E6DC3">
        <w:rPr>
          <w:rFonts w:cs="Arial"/>
          <w:i/>
          <w:iCs/>
          <w:color w:val="00A6A3"/>
        </w:rPr>
        <w:t>3</w:t>
      </w:r>
      <w:r>
        <w:rPr>
          <w:rFonts w:cs="Arial"/>
          <w:i/>
          <w:iCs/>
          <w:color w:val="00A6A3"/>
        </w:rPr>
        <w:t xml:space="preserve"> - </w:t>
      </w:r>
      <w:r w:rsidR="00E1299C" w:rsidRPr="003E1C48">
        <w:rPr>
          <w:rFonts w:cs="Arial"/>
          <w:i/>
          <w:iCs/>
          <w:color w:val="00A6A3"/>
        </w:rPr>
        <w:t>Délais de mise au point ou de réparation en cas de panne</w:t>
      </w:r>
      <w:bookmarkEnd w:id="141"/>
    </w:p>
    <w:p w14:paraId="01CDD895" w14:textId="71CBB1EF" w:rsidR="00E1299C" w:rsidRPr="00251F30" w:rsidRDefault="00E1299C" w:rsidP="00251F30">
      <w:r w:rsidRPr="00251F30">
        <w:t xml:space="preserve">Pendant toute la période de garantie, le titulaire a une obligation de résultat et de délai concernant la remise en état de fonctionnement opérationnel de </w:t>
      </w:r>
      <w:r w:rsidR="00CC5CE8" w:rsidRPr="00251F30">
        <w:t xml:space="preserve">l’équipement </w:t>
      </w:r>
      <w:r w:rsidRPr="00251F30">
        <w:t>en conformité avec les performances techniques et fonctionnelles prévues dans le marché.</w:t>
      </w:r>
    </w:p>
    <w:p w14:paraId="50FA6E38" w14:textId="77777777" w:rsidR="00E1299C" w:rsidRPr="00251F30" w:rsidRDefault="00E1299C" w:rsidP="00251F30">
      <w:r w:rsidRPr="00251F30">
        <w:t xml:space="preserve">Conformément aux stipulations de l’article </w:t>
      </w:r>
      <w:r w:rsidR="00D869CD">
        <w:t>33.3</w:t>
      </w:r>
      <w:r w:rsidRPr="00251F30">
        <w:t xml:space="preserve"> du CCAG</w:t>
      </w:r>
      <w:r w:rsidR="00CC5CE8" w:rsidRPr="00251F30">
        <w:t>-</w:t>
      </w:r>
      <w:r w:rsidRPr="00251F30">
        <w:t xml:space="preserve">FCS, le délai dont dispose le titulaire pour effectuer une mise au point ou une réparation qui lui est demandée est celui qui est fixé par décision </w:t>
      </w:r>
      <w:r w:rsidR="007F74B9">
        <w:t>d’INRAE</w:t>
      </w:r>
      <w:r w:rsidRPr="00251F30">
        <w:t xml:space="preserve">, après consultation du titulaire. </w:t>
      </w:r>
    </w:p>
    <w:p w14:paraId="32634CFD" w14:textId="77777777" w:rsidR="00E1299C" w:rsidRPr="00251F30" w:rsidRDefault="00E1299C" w:rsidP="00251F30">
      <w:r w:rsidRPr="00251F30">
        <w:t xml:space="preserve">Sauf décision écrite expresse </w:t>
      </w:r>
      <w:r w:rsidR="007F74B9">
        <w:t>d’INRAE</w:t>
      </w:r>
      <w:r w:rsidRPr="00251F30">
        <w:t>, ce délai est inférieur au délai figurant dans le tableau ci-dessous.</w:t>
      </w:r>
    </w:p>
    <w:p w14:paraId="268D4CF2" w14:textId="59704B0D" w:rsidR="00E1299C" w:rsidRDefault="00E1299C" w:rsidP="00251F30">
      <w:r w:rsidRPr="00251F30">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4909"/>
      </w:tblGrid>
      <w:tr w:rsidR="00B7002F" w:rsidRPr="00123D4B" w14:paraId="539290D4" w14:textId="77777777" w:rsidTr="00C2654F">
        <w:tc>
          <w:tcPr>
            <w:tcW w:w="4442" w:type="dxa"/>
          </w:tcPr>
          <w:p w14:paraId="0BBBA812" w14:textId="77777777" w:rsidR="00B7002F" w:rsidRPr="00DC1686" w:rsidRDefault="00B7002F" w:rsidP="00FE7F6E">
            <w:pPr>
              <w:rPr>
                <w:rFonts w:cs="Arial"/>
                <w:b/>
              </w:rPr>
            </w:pPr>
            <w:r w:rsidRPr="00DC1686">
              <w:rPr>
                <w:rFonts w:cs="Arial"/>
                <w:b/>
              </w:rPr>
              <w:t>Catégorie d’équipement / type pannes</w:t>
            </w:r>
          </w:p>
        </w:tc>
        <w:tc>
          <w:tcPr>
            <w:tcW w:w="4909" w:type="dxa"/>
          </w:tcPr>
          <w:p w14:paraId="392B7775" w14:textId="77777777" w:rsidR="00B7002F" w:rsidRPr="00DC1686" w:rsidRDefault="00B7002F" w:rsidP="00AD1B16">
            <w:pPr>
              <w:rPr>
                <w:rFonts w:cs="Arial"/>
                <w:b/>
              </w:rPr>
            </w:pPr>
            <w:r w:rsidRPr="00DC1686">
              <w:rPr>
                <w:rFonts w:cs="Arial"/>
                <w:b/>
              </w:rPr>
              <w:t>Délai maximum pour effectuer une mise au point ou une réparation (en jours calendaires)</w:t>
            </w:r>
          </w:p>
        </w:tc>
      </w:tr>
      <w:tr w:rsidR="00326D41" w:rsidRPr="00123D4B" w14:paraId="00C0B11B" w14:textId="77777777" w:rsidTr="00C2654F">
        <w:tc>
          <w:tcPr>
            <w:tcW w:w="4442" w:type="dxa"/>
          </w:tcPr>
          <w:p w14:paraId="28027A3F" w14:textId="2A6C903B" w:rsidR="00326D41" w:rsidRPr="00881C9D" w:rsidRDefault="00326D41" w:rsidP="00AD1B16">
            <w:pPr>
              <w:rPr>
                <w:rFonts w:cs="Arial"/>
              </w:rPr>
            </w:pPr>
            <w:r w:rsidRPr="00881C9D">
              <w:rPr>
                <w:rFonts w:cs="Arial"/>
              </w:rPr>
              <w:t>Equipement acquis</w:t>
            </w:r>
          </w:p>
        </w:tc>
        <w:tc>
          <w:tcPr>
            <w:tcW w:w="4909" w:type="dxa"/>
          </w:tcPr>
          <w:p w14:paraId="02187EAF" w14:textId="073D9D8B" w:rsidR="00326D41" w:rsidRPr="00881C9D" w:rsidRDefault="00881C9D" w:rsidP="00D869CD">
            <w:pPr>
              <w:jc w:val="center"/>
              <w:rPr>
                <w:rFonts w:cs="Arial"/>
              </w:rPr>
            </w:pPr>
            <w:r>
              <w:rPr>
                <w:rFonts w:cs="Arial"/>
              </w:rPr>
              <w:t>20</w:t>
            </w:r>
            <w:r w:rsidR="00326D41" w:rsidRPr="00881C9D">
              <w:rPr>
                <w:rFonts w:cs="Arial"/>
              </w:rPr>
              <w:t xml:space="preserve"> jours</w:t>
            </w:r>
          </w:p>
        </w:tc>
      </w:tr>
    </w:tbl>
    <w:p w14:paraId="4F7BE62C" w14:textId="77777777" w:rsidR="00E1299C" w:rsidRPr="00DC1686" w:rsidRDefault="00E1299C" w:rsidP="00FE7F6E">
      <w:pPr>
        <w:pStyle w:val="Corpsdetexte"/>
        <w:rPr>
          <w:rFonts w:cs="Arial"/>
        </w:rPr>
      </w:pPr>
      <w:bookmarkStart w:id="142" w:name="_Toc337045491"/>
      <w:r w:rsidRPr="00DC1686">
        <w:rPr>
          <w:rFonts w:cs="Arial"/>
        </w:rPr>
        <w:t xml:space="preserve">Passé ce délai, le titulaire encourt des pénalités telles que fixées à l’article </w:t>
      </w:r>
      <w:r w:rsidR="00D869CD" w:rsidRPr="00DC1686">
        <w:rPr>
          <w:rFonts w:cs="Arial"/>
        </w:rPr>
        <w:t>9.2</w:t>
      </w:r>
      <w:r w:rsidRPr="00DC1686">
        <w:rPr>
          <w:rFonts w:cs="Arial"/>
        </w:rPr>
        <w:t xml:space="preserve"> du présent </w:t>
      </w:r>
      <w:r w:rsidR="00D869CD" w:rsidRPr="00DC1686">
        <w:rPr>
          <w:rFonts w:cs="Arial"/>
        </w:rPr>
        <w:t>AE</w:t>
      </w:r>
      <w:r w:rsidRPr="00DC1686">
        <w:rPr>
          <w:rFonts w:cs="Arial"/>
        </w:rPr>
        <w:t>CCP.</w:t>
      </w:r>
      <w:bookmarkEnd w:id="142"/>
    </w:p>
    <w:p w14:paraId="5F3A0C69" w14:textId="79D0E6B1" w:rsidR="00E1299C" w:rsidRPr="00AF2305" w:rsidRDefault="00AF2305" w:rsidP="00AF2305">
      <w:pPr>
        <w:keepNext/>
        <w:spacing w:before="240" w:after="240"/>
        <w:ind w:firstLine="1559"/>
        <w:outlineLvl w:val="1"/>
        <w:rPr>
          <w:rFonts w:cs="Arial"/>
          <w:i/>
          <w:iCs/>
          <w:color w:val="00A6A3"/>
        </w:rPr>
      </w:pPr>
      <w:bookmarkStart w:id="143" w:name="_Toc135996198"/>
      <w:r>
        <w:rPr>
          <w:rFonts w:cs="Arial"/>
          <w:i/>
          <w:iCs/>
          <w:color w:val="00A6A3"/>
        </w:rPr>
        <w:lastRenderedPageBreak/>
        <w:t>11.2.</w:t>
      </w:r>
      <w:r w:rsidR="007E6DC3">
        <w:rPr>
          <w:rFonts w:cs="Arial"/>
          <w:i/>
          <w:iCs/>
          <w:color w:val="00A6A3"/>
        </w:rPr>
        <w:t>4</w:t>
      </w:r>
      <w:r>
        <w:rPr>
          <w:rFonts w:cs="Arial"/>
          <w:i/>
          <w:iCs/>
          <w:color w:val="00A6A3"/>
        </w:rPr>
        <w:t xml:space="preserve"> - </w:t>
      </w:r>
      <w:r w:rsidR="00E1299C" w:rsidRPr="00AF2305">
        <w:rPr>
          <w:rFonts w:cs="Arial"/>
          <w:i/>
          <w:iCs/>
          <w:color w:val="00A6A3"/>
        </w:rPr>
        <w:t>Obligation relative aux pièces détachées et consommables captifs</w:t>
      </w:r>
      <w:bookmarkEnd w:id="143"/>
    </w:p>
    <w:p w14:paraId="50FAFD99" w14:textId="56ECE573" w:rsidR="00E1299C" w:rsidRPr="00123D4B" w:rsidRDefault="00E1299C" w:rsidP="00E1299C">
      <w:pPr>
        <w:pStyle w:val="Corpsdetexte"/>
        <w:rPr>
          <w:rFonts w:cs="Arial"/>
          <w:color w:val="E36C0A" w:themeColor="accent6" w:themeShade="BF"/>
        </w:rPr>
      </w:pPr>
      <w:r w:rsidRPr="00BC2BFF">
        <w:rPr>
          <w:rFonts w:cs="Arial"/>
        </w:rPr>
        <w:t xml:space="preserve">Le titulaire s’engage à remplacer les pièces détachées usagées et à fournir les consommables captifs correspondants, pendant une </w:t>
      </w:r>
      <w:r w:rsidRPr="009D6FEF">
        <w:rPr>
          <w:rFonts w:cs="Arial"/>
          <w:b/>
        </w:rPr>
        <w:t xml:space="preserve">durée minimale de </w:t>
      </w:r>
      <w:r w:rsidR="009D6FEF">
        <w:rPr>
          <w:rFonts w:cs="Arial"/>
          <w:b/>
        </w:rPr>
        <w:t>huit (</w:t>
      </w:r>
      <w:r w:rsidR="00A451A9" w:rsidRPr="009D6FEF">
        <w:rPr>
          <w:rFonts w:cs="Arial"/>
          <w:b/>
        </w:rPr>
        <w:t>8</w:t>
      </w:r>
      <w:r w:rsidR="009D6FEF">
        <w:rPr>
          <w:rFonts w:cs="Arial"/>
          <w:b/>
        </w:rPr>
        <w:t>)</w:t>
      </w:r>
      <w:r w:rsidR="009D6FEF" w:rsidRPr="009D6FEF">
        <w:rPr>
          <w:rFonts w:cs="Arial"/>
          <w:b/>
          <w:color w:val="E36C0A" w:themeColor="accent6" w:themeShade="BF"/>
        </w:rPr>
        <w:t xml:space="preserve"> </w:t>
      </w:r>
      <w:r w:rsidRPr="009D6FEF">
        <w:rPr>
          <w:rFonts w:cs="Arial"/>
          <w:b/>
        </w:rPr>
        <w:t>ans</w:t>
      </w:r>
      <w:r w:rsidRPr="00760980">
        <w:rPr>
          <w:rFonts w:cs="Arial"/>
        </w:rPr>
        <w:t xml:space="preserve"> </w:t>
      </w:r>
      <w:r w:rsidRPr="00BC2BFF">
        <w:rPr>
          <w:rFonts w:cs="Arial"/>
        </w:rPr>
        <w:t xml:space="preserve">à compter de la date d’admission de </w:t>
      </w:r>
      <w:r w:rsidR="00FE7F6E" w:rsidRPr="00BC2BFF">
        <w:rPr>
          <w:rFonts w:cs="Arial"/>
        </w:rPr>
        <w:t>l’équipement</w:t>
      </w:r>
      <w:r w:rsidRPr="00BC2BFF">
        <w:rPr>
          <w:rFonts w:cs="Arial"/>
        </w:rPr>
        <w:t xml:space="preserve"> acheté en application du présent </w:t>
      </w:r>
      <w:r w:rsidR="00FE7F6E" w:rsidRPr="00BC2BFF">
        <w:rPr>
          <w:rFonts w:cs="Arial"/>
        </w:rPr>
        <w:t>marché</w:t>
      </w:r>
      <w:r w:rsidRPr="00BC2BFF">
        <w:rPr>
          <w:rFonts w:cs="Arial"/>
        </w:rPr>
        <w:t xml:space="preserve">. </w:t>
      </w:r>
    </w:p>
    <w:p w14:paraId="47DFAE2C" w14:textId="77777777" w:rsidR="00E1299C" w:rsidRDefault="00E1299C" w:rsidP="00E1299C">
      <w:pPr>
        <w:rPr>
          <w:rFonts w:cs="Arial"/>
        </w:rPr>
      </w:pPr>
      <w:r w:rsidRPr="00BC2BFF">
        <w:rPr>
          <w:rFonts w:cs="Arial"/>
        </w:rPr>
        <w:t xml:space="preserve">Dans le cas contraire le titulaire encourt une pénalité telle que décrite à l’article </w:t>
      </w:r>
      <w:r w:rsidR="00797BB0">
        <w:rPr>
          <w:rFonts w:cs="Arial"/>
        </w:rPr>
        <w:t>9.3.</w:t>
      </w:r>
    </w:p>
    <w:p w14:paraId="6B29B4C9" w14:textId="77777777" w:rsidR="00B24359" w:rsidRPr="00B24359" w:rsidRDefault="00B24359" w:rsidP="009D115A">
      <w:pPr>
        <w:pStyle w:val="Titre2"/>
      </w:pPr>
      <w:bookmarkStart w:id="144" w:name="_Toc135996199"/>
      <w:r>
        <w:t>Maintenance</w:t>
      </w:r>
      <w:bookmarkEnd w:id="144"/>
    </w:p>
    <w:p w14:paraId="3A0964F4" w14:textId="77777777" w:rsidR="00123D4B" w:rsidRPr="00C67E16" w:rsidRDefault="00123D4B" w:rsidP="00E1299C">
      <w:pPr>
        <w:rPr>
          <w:rFonts w:cs="Arial"/>
        </w:rPr>
      </w:pPr>
      <w:r w:rsidRPr="00C67E16">
        <w:rPr>
          <w:rFonts w:cs="Arial"/>
        </w:rPr>
        <w:t>Sans objet.</w:t>
      </w:r>
    </w:p>
    <w:p w14:paraId="07560AAE" w14:textId="72636C90" w:rsidR="003946F1" w:rsidRPr="003946F1" w:rsidRDefault="003946F1" w:rsidP="003946F1">
      <w:pPr>
        <w:pStyle w:val="Titre1"/>
        <w:spacing w:after="240"/>
        <w:ind w:left="357" w:hanging="357"/>
        <w:rPr>
          <w:rFonts w:ascii="AvenirNext LT Pro Cn" w:hAnsi="AvenirNext LT Pro Cn"/>
        </w:rPr>
      </w:pPr>
      <w:bookmarkStart w:id="145" w:name="_Toc135996200"/>
      <w:r w:rsidRPr="003946F1">
        <w:rPr>
          <w:rFonts w:ascii="AvenirNext LT Pro Cn" w:hAnsi="AvenirNext LT Pro Cn"/>
        </w:rPr>
        <w:t>ASSURANCE</w:t>
      </w:r>
      <w:bookmarkEnd w:id="145"/>
    </w:p>
    <w:p w14:paraId="503DBA2E" w14:textId="7AB5F0FA" w:rsidR="003946F1" w:rsidRDefault="003946F1" w:rsidP="003946F1">
      <w:pPr>
        <w:autoSpaceDE w:val="0"/>
        <w:autoSpaceDN w:val="0"/>
        <w:adjustRightInd w:val="0"/>
        <w:spacing w:before="240"/>
        <w:rPr>
          <w:rFonts w:ascii="AvenirNext LT Pro LightCn" w:eastAsiaTheme="minorEastAsia" w:hAnsi="AvenirNext LT Pro LightCn" w:cs="Arial"/>
          <w:sz w:val="24"/>
          <w:szCs w:val="24"/>
        </w:rPr>
      </w:pPr>
      <w:r>
        <w:rPr>
          <w:rFonts w:ascii="AvenirNext LT Pro LightCn" w:hAnsi="AvenirNext LT Pro LightCn" w:cs="Arial"/>
          <w:sz w:val="24"/>
          <w:szCs w:val="24"/>
        </w:rPr>
        <w:t>Le titulaire et ses sous-traitants doivent contracter les assurances permettant de garantir leur responsabilité à l'égard d’INRAE et des tiers, victimes d'accidents ou de dommages causés par l'exécution du marché.</w:t>
      </w:r>
    </w:p>
    <w:p w14:paraId="6B1C5DBC" w14:textId="080D9FF3" w:rsidR="003946F1" w:rsidRDefault="001D1A5D" w:rsidP="003946F1">
      <w:pPr>
        <w:keepLines/>
        <w:widowControl w:val="0"/>
        <w:autoSpaceDE w:val="0"/>
        <w:autoSpaceDN w:val="0"/>
        <w:adjustRightInd w:val="0"/>
        <w:rPr>
          <w:rFonts w:ascii="AvenirNext LT Pro LightCn" w:hAnsi="AvenirNext LT Pro LightCn" w:cs="Arial"/>
          <w:sz w:val="24"/>
          <w:szCs w:val="24"/>
        </w:rPr>
      </w:pPr>
      <w:r>
        <w:rPr>
          <w:rFonts w:ascii="AvenirNext LT Pro LightCn" w:hAnsi="AvenirNext LT Pro LightCn" w:cs="Arial"/>
          <w:sz w:val="24"/>
          <w:szCs w:val="24"/>
        </w:rPr>
        <w:t>Conformément</w:t>
      </w:r>
      <w:r w:rsidR="003946F1">
        <w:rPr>
          <w:rFonts w:ascii="AvenirNext LT Pro LightCn" w:hAnsi="AvenirNext LT Pro LightCn" w:cs="Arial"/>
          <w:sz w:val="24"/>
          <w:szCs w:val="24"/>
        </w:rPr>
        <w:t xml:space="preserve"> à l’article 9.2 du CCAG-FCS, il doit justifier </w:t>
      </w:r>
      <w:r>
        <w:rPr>
          <w:rFonts w:ascii="AvenirNext LT Pro LightCn" w:hAnsi="AvenirNext LT Pro LightCn" w:cs="Arial"/>
          <w:sz w:val="24"/>
          <w:szCs w:val="24"/>
        </w:rPr>
        <w:t>dans un délai de quinze jours à compter de la notification du marché et avant tout début d’exécution de celui-ci, qu’il est titulaire de ces contrats d’assurances, au moyen d’une attestation établissant l’étendue de la responsabilité garantie.</w:t>
      </w:r>
    </w:p>
    <w:p w14:paraId="0DBDCFF9" w14:textId="16C85A0D" w:rsidR="001D1A5D" w:rsidRDefault="001D1A5D" w:rsidP="003946F1">
      <w:pPr>
        <w:keepLines/>
        <w:widowControl w:val="0"/>
        <w:autoSpaceDE w:val="0"/>
        <w:autoSpaceDN w:val="0"/>
        <w:adjustRightInd w:val="0"/>
        <w:rPr>
          <w:rFonts w:ascii="AvenirNext LT Pro LightCn" w:hAnsi="AvenirNext LT Pro LightCn" w:cs="Arial"/>
          <w:sz w:val="24"/>
          <w:szCs w:val="24"/>
        </w:rPr>
      </w:pPr>
      <w:proofErr w:type="gramStart"/>
      <w:r>
        <w:rPr>
          <w:rFonts w:ascii="AvenirNext LT Pro LightCn" w:hAnsi="AvenirNext LT Pro LightCn" w:cs="Arial"/>
          <w:sz w:val="24"/>
          <w:szCs w:val="24"/>
        </w:rPr>
        <w:t>A tout moment</w:t>
      </w:r>
      <w:proofErr w:type="gramEnd"/>
      <w:r w:rsidR="00733CE9">
        <w:rPr>
          <w:rFonts w:ascii="AvenirNext LT Pro LightCn" w:hAnsi="AvenirNext LT Pro LightCn" w:cs="Arial"/>
          <w:sz w:val="24"/>
          <w:szCs w:val="24"/>
        </w:rPr>
        <w:t>,</w:t>
      </w:r>
      <w:r>
        <w:rPr>
          <w:rFonts w:ascii="AvenirNext LT Pro LightCn" w:hAnsi="AvenirNext LT Pro LightCn" w:cs="Arial"/>
          <w:sz w:val="24"/>
          <w:szCs w:val="24"/>
        </w:rPr>
        <w:t xml:space="preserve"> durant l’exécution du marché, le titulaire doit être en mesure de produire cette attestation, sur demande de l’acheteur et dans un délai de quinze jours à compter de la réception de la demande.</w:t>
      </w:r>
    </w:p>
    <w:p w14:paraId="0EB7E85B" w14:textId="77777777" w:rsidR="00B3398C" w:rsidRPr="00BC2BFF" w:rsidRDefault="00B3398C" w:rsidP="00760980">
      <w:pPr>
        <w:pStyle w:val="Titre1"/>
        <w:spacing w:after="240"/>
        <w:ind w:left="357" w:hanging="357"/>
        <w:rPr>
          <w:rFonts w:ascii="AvenirNext LT Pro Cn" w:hAnsi="AvenirNext LT Pro Cn"/>
          <w:i/>
          <w:iCs/>
        </w:rPr>
      </w:pPr>
      <w:bookmarkStart w:id="146" w:name="_Toc135996201"/>
      <w:r w:rsidRPr="00BC2BFF">
        <w:rPr>
          <w:rFonts w:ascii="AvenirNext LT Pro Cn" w:hAnsi="AvenirNext LT Pro Cn"/>
        </w:rPr>
        <w:t>LITIGES</w:t>
      </w:r>
      <w:bookmarkEnd w:id="146"/>
    </w:p>
    <w:p w14:paraId="4866137A" w14:textId="7A769D1A" w:rsidR="00911DB8" w:rsidRDefault="006D028A" w:rsidP="00760980">
      <w:pPr>
        <w:rPr>
          <w:bCs/>
        </w:rPr>
      </w:pPr>
      <w:r w:rsidRPr="00760980">
        <w:rPr>
          <w:bCs/>
        </w:rPr>
        <w:t xml:space="preserve">Si </w:t>
      </w:r>
      <w:r w:rsidR="007B63E7">
        <w:rPr>
          <w:bCs/>
        </w:rPr>
        <w:t>un désaccord</w:t>
      </w:r>
      <w:r w:rsidR="00B3398C" w:rsidRPr="00760980">
        <w:rPr>
          <w:bCs/>
        </w:rPr>
        <w:t xml:space="preserve"> n</w:t>
      </w:r>
      <w:r w:rsidR="007B63E7">
        <w:rPr>
          <w:bCs/>
        </w:rPr>
        <w:t>ait</w:t>
      </w:r>
      <w:r w:rsidR="00B3398C" w:rsidRPr="00760980">
        <w:rPr>
          <w:bCs/>
        </w:rPr>
        <w:t xml:space="preserve"> à l’occasion de l’exécution du présent marché, les parties s’efforceront de trouver un accord amiable à leur litige.</w:t>
      </w:r>
      <w:r w:rsidR="00C2654F">
        <w:rPr>
          <w:bCs/>
        </w:rPr>
        <w:t xml:space="preserve"> </w:t>
      </w:r>
      <w:r w:rsidR="00B3398C" w:rsidRPr="00760980">
        <w:rPr>
          <w:bCs/>
        </w:rPr>
        <w:t>A défaut d’accord</w:t>
      </w:r>
      <w:r w:rsidRPr="00760980">
        <w:rPr>
          <w:bCs/>
        </w:rPr>
        <w:t xml:space="preserve"> amiable</w:t>
      </w:r>
      <w:r w:rsidR="00B3398C" w:rsidRPr="00760980">
        <w:rPr>
          <w:bCs/>
        </w:rPr>
        <w:t>, le tribunal administratif</w:t>
      </w:r>
      <w:r w:rsidR="00A70B76">
        <w:rPr>
          <w:bCs/>
        </w:rPr>
        <w:t xml:space="preserve"> de</w:t>
      </w:r>
      <w:r w:rsidR="00394191">
        <w:rPr>
          <w:bCs/>
        </w:rPr>
        <w:t xml:space="preserve"> </w:t>
      </w:r>
      <w:sdt>
        <w:sdtPr>
          <w:rPr>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E23015">
            <w:rPr>
              <w:bCs/>
            </w:rPr>
            <w:t>Versailles</w:t>
          </w:r>
        </w:sdtContent>
      </w:sdt>
      <w:r w:rsidR="00394191">
        <w:rPr>
          <w:bCs/>
        </w:rPr>
        <w:t xml:space="preserve"> est le </w:t>
      </w:r>
      <w:r w:rsidR="00B3398C" w:rsidRPr="00760980">
        <w:rPr>
          <w:bCs/>
        </w:rPr>
        <w:t>seul compétent.</w:t>
      </w:r>
    </w:p>
    <w:p w14:paraId="0F061AC5" w14:textId="77777777" w:rsidR="00642C9F" w:rsidRPr="00BC2BFF" w:rsidRDefault="00642C9F" w:rsidP="0004041A">
      <w:pPr>
        <w:pStyle w:val="Titre1"/>
        <w:spacing w:before="360"/>
        <w:ind w:left="357" w:hanging="357"/>
        <w:rPr>
          <w:rFonts w:ascii="AvenirNext LT Pro Cn" w:hAnsi="AvenirNext LT Pro Cn"/>
          <w:i/>
          <w:iCs/>
        </w:rPr>
      </w:pPr>
      <w:bookmarkStart w:id="147" w:name="_Toc135996202"/>
      <w:r w:rsidRPr="00BC2BFF">
        <w:rPr>
          <w:rFonts w:ascii="AvenirNext LT Pro Cn" w:hAnsi="AvenirNext LT Pro Cn"/>
        </w:rPr>
        <w:t>DEROGATIONS AU CCAG-FCS</w:t>
      </w:r>
      <w:bookmarkEnd w:id="147"/>
    </w:p>
    <w:p w14:paraId="783DBD2C" w14:textId="77777777" w:rsidR="00760980" w:rsidRDefault="00760980" w:rsidP="008630D8">
      <w:pPr>
        <w:spacing w:before="0" w:after="0"/>
      </w:pPr>
    </w:p>
    <w:tbl>
      <w:tblPr>
        <w:tblStyle w:val="Grilledutableau"/>
        <w:tblW w:w="9776" w:type="dxa"/>
        <w:tblLook w:val="04A0" w:firstRow="1" w:lastRow="0" w:firstColumn="1" w:lastColumn="0" w:noHBand="0" w:noVBand="1"/>
      </w:tblPr>
      <w:tblGrid>
        <w:gridCol w:w="5665"/>
        <w:gridCol w:w="4111"/>
      </w:tblGrid>
      <w:tr w:rsidR="00797BB0" w14:paraId="7936FBF5" w14:textId="77777777" w:rsidTr="00C2654F">
        <w:tc>
          <w:tcPr>
            <w:tcW w:w="5665" w:type="dxa"/>
          </w:tcPr>
          <w:p w14:paraId="738F375E" w14:textId="77777777" w:rsidR="00797BB0" w:rsidRPr="0004041A" w:rsidRDefault="00797BB0" w:rsidP="00967E74">
            <w:pPr>
              <w:jc w:val="center"/>
              <w:rPr>
                <w:b/>
                <w:sz w:val="24"/>
                <w:szCs w:val="24"/>
              </w:rPr>
            </w:pPr>
            <w:r w:rsidRPr="0004041A">
              <w:rPr>
                <w:b/>
                <w:sz w:val="24"/>
                <w:szCs w:val="24"/>
              </w:rPr>
              <w:t>Articles du CCAG-FCS auxquels il est dérogé</w:t>
            </w:r>
          </w:p>
        </w:tc>
        <w:tc>
          <w:tcPr>
            <w:tcW w:w="4111" w:type="dxa"/>
          </w:tcPr>
          <w:p w14:paraId="584C110D" w14:textId="77777777" w:rsidR="00797BB0" w:rsidRPr="0004041A" w:rsidRDefault="00967E74" w:rsidP="00967E74">
            <w:pPr>
              <w:jc w:val="center"/>
              <w:rPr>
                <w:b/>
                <w:sz w:val="24"/>
                <w:szCs w:val="24"/>
              </w:rPr>
            </w:pPr>
            <w:r w:rsidRPr="0004041A">
              <w:rPr>
                <w:b/>
                <w:sz w:val="24"/>
                <w:szCs w:val="24"/>
              </w:rPr>
              <w:t>Articles de l’AECCP dérogeant au CCAG-FCS</w:t>
            </w:r>
          </w:p>
        </w:tc>
      </w:tr>
      <w:tr w:rsidR="00797BB0" w14:paraId="027861A6" w14:textId="77777777" w:rsidTr="00C2654F">
        <w:tc>
          <w:tcPr>
            <w:tcW w:w="5665" w:type="dxa"/>
          </w:tcPr>
          <w:p w14:paraId="4D6CD6D8" w14:textId="616540E9" w:rsidR="00797BB0" w:rsidRPr="0004041A" w:rsidRDefault="00967E74" w:rsidP="00C2654F">
            <w:pPr>
              <w:spacing w:before="0" w:after="0"/>
              <w:jc w:val="left"/>
              <w:rPr>
                <w:sz w:val="24"/>
                <w:szCs w:val="24"/>
              </w:rPr>
            </w:pPr>
            <w:r w:rsidRPr="0004041A">
              <w:rPr>
                <w:sz w:val="24"/>
                <w:szCs w:val="24"/>
              </w:rPr>
              <w:t>4.1</w:t>
            </w:r>
            <w:r w:rsidR="001D1A5D">
              <w:rPr>
                <w:sz w:val="24"/>
                <w:szCs w:val="24"/>
              </w:rPr>
              <w:t xml:space="preserve"> (ordre de priorité des pièces)</w:t>
            </w:r>
          </w:p>
        </w:tc>
        <w:tc>
          <w:tcPr>
            <w:tcW w:w="4111" w:type="dxa"/>
          </w:tcPr>
          <w:p w14:paraId="637B0B96" w14:textId="77777777" w:rsidR="00797BB0" w:rsidRPr="0004041A" w:rsidRDefault="00967E74" w:rsidP="00FE7EAD">
            <w:pPr>
              <w:spacing w:before="60" w:after="60"/>
              <w:jc w:val="center"/>
              <w:rPr>
                <w:sz w:val="24"/>
                <w:szCs w:val="24"/>
              </w:rPr>
            </w:pPr>
            <w:r w:rsidRPr="0004041A">
              <w:rPr>
                <w:sz w:val="24"/>
                <w:szCs w:val="24"/>
              </w:rPr>
              <w:t>2</w:t>
            </w:r>
          </w:p>
        </w:tc>
      </w:tr>
      <w:tr w:rsidR="007B63E7" w14:paraId="04A031FF" w14:textId="77777777" w:rsidTr="00C2654F">
        <w:tc>
          <w:tcPr>
            <w:tcW w:w="5665" w:type="dxa"/>
          </w:tcPr>
          <w:p w14:paraId="5F46BCD9" w14:textId="680BE250" w:rsidR="007B63E7" w:rsidRPr="006B26F5" w:rsidRDefault="007B63E7" w:rsidP="00C2654F">
            <w:pPr>
              <w:spacing w:before="0" w:after="0"/>
              <w:jc w:val="left"/>
              <w:rPr>
                <w:sz w:val="24"/>
                <w:szCs w:val="24"/>
              </w:rPr>
            </w:pPr>
            <w:r w:rsidRPr="006B26F5">
              <w:rPr>
                <w:sz w:val="24"/>
                <w:szCs w:val="24"/>
              </w:rPr>
              <w:t>4.2.1</w:t>
            </w:r>
            <w:r w:rsidR="001D1A5D">
              <w:rPr>
                <w:sz w:val="24"/>
                <w:szCs w:val="24"/>
              </w:rPr>
              <w:t xml:space="preserve"> (pièces notification)</w:t>
            </w:r>
          </w:p>
        </w:tc>
        <w:tc>
          <w:tcPr>
            <w:tcW w:w="4111" w:type="dxa"/>
          </w:tcPr>
          <w:p w14:paraId="37C7BCBB" w14:textId="77777777" w:rsidR="007B63E7" w:rsidRPr="006B26F5" w:rsidRDefault="007B63E7" w:rsidP="00FE7EAD">
            <w:pPr>
              <w:spacing w:before="60" w:after="60"/>
              <w:jc w:val="center"/>
              <w:rPr>
                <w:sz w:val="24"/>
                <w:szCs w:val="24"/>
              </w:rPr>
            </w:pPr>
            <w:r w:rsidRPr="006B26F5">
              <w:rPr>
                <w:sz w:val="24"/>
                <w:szCs w:val="24"/>
              </w:rPr>
              <w:t>2.1</w:t>
            </w:r>
          </w:p>
        </w:tc>
      </w:tr>
      <w:tr w:rsidR="00731362" w14:paraId="13DAF2CC" w14:textId="77777777" w:rsidTr="00C2654F">
        <w:tc>
          <w:tcPr>
            <w:tcW w:w="5665" w:type="dxa"/>
          </w:tcPr>
          <w:p w14:paraId="41024B5B" w14:textId="44A40D7B" w:rsidR="00731362" w:rsidRPr="0004041A" w:rsidRDefault="00731362" w:rsidP="00C2654F">
            <w:pPr>
              <w:spacing w:before="0" w:after="0"/>
              <w:jc w:val="left"/>
              <w:rPr>
                <w:sz w:val="24"/>
                <w:szCs w:val="24"/>
              </w:rPr>
            </w:pPr>
            <w:r>
              <w:rPr>
                <w:sz w:val="24"/>
                <w:szCs w:val="24"/>
              </w:rPr>
              <w:t>14</w:t>
            </w:r>
            <w:r w:rsidR="001D1A5D">
              <w:rPr>
                <w:sz w:val="24"/>
                <w:szCs w:val="24"/>
              </w:rPr>
              <w:t xml:space="preserve"> – 14.1.1 </w:t>
            </w:r>
            <w:r w:rsidR="001D1A5D" w:rsidRPr="009D23D8">
              <w:rPr>
                <w:color w:val="000000" w:themeColor="text1"/>
                <w:sz w:val="24"/>
                <w:szCs w:val="24"/>
              </w:rPr>
              <w:t>– 14.1.3 (</w:t>
            </w:r>
            <w:r w:rsidR="001D1A5D">
              <w:rPr>
                <w:sz w:val="24"/>
                <w:szCs w:val="24"/>
              </w:rPr>
              <w:t>pénalités)</w:t>
            </w:r>
          </w:p>
        </w:tc>
        <w:tc>
          <w:tcPr>
            <w:tcW w:w="4111" w:type="dxa"/>
          </w:tcPr>
          <w:p w14:paraId="1011BF0C" w14:textId="525CEDC2" w:rsidR="00731362" w:rsidRPr="0004041A" w:rsidRDefault="00731362" w:rsidP="00FE7EAD">
            <w:pPr>
              <w:spacing w:before="60" w:after="60"/>
              <w:jc w:val="center"/>
              <w:rPr>
                <w:sz w:val="24"/>
                <w:szCs w:val="24"/>
              </w:rPr>
            </w:pPr>
            <w:r>
              <w:rPr>
                <w:sz w:val="24"/>
                <w:szCs w:val="24"/>
              </w:rPr>
              <w:t>9</w:t>
            </w:r>
          </w:p>
        </w:tc>
      </w:tr>
      <w:tr w:rsidR="00797BB0" w14:paraId="7D70C74B" w14:textId="77777777" w:rsidTr="00C2654F">
        <w:tc>
          <w:tcPr>
            <w:tcW w:w="5665" w:type="dxa"/>
          </w:tcPr>
          <w:p w14:paraId="10AAB1DF" w14:textId="0AFD81AF" w:rsidR="00797BB0" w:rsidRPr="0004041A" w:rsidRDefault="00967E74" w:rsidP="00C2654F">
            <w:pPr>
              <w:spacing w:before="0" w:after="0"/>
              <w:jc w:val="left"/>
              <w:rPr>
                <w:sz w:val="24"/>
                <w:szCs w:val="24"/>
              </w:rPr>
            </w:pPr>
            <w:r w:rsidRPr="0004041A">
              <w:rPr>
                <w:sz w:val="24"/>
                <w:szCs w:val="24"/>
              </w:rPr>
              <w:t>19</w:t>
            </w:r>
            <w:r w:rsidR="001D1A5D">
              <w:rPr>
                <w:sz w:val="24"/>
                <w:szCs w:val="24"/>
              </w:rPr>
              <w:t xml:space="preserve"> (aménagement des locaux)</w:t>
            </w:r>
          </w:p>
        </w:tc>
        <w:tc>
          <w:tcPr>
            <w:tcW w:w="4111" w:type="dxa"/>
          </w:tcPr>
          <w:p w14:paraId="7F766E42" w14:textId="77777777" w:rsidR="00797BB0" w:rsidRPr="0004041A" w:rsidRDefault="00967E74" w:rsidP="00FE7EAD">
            <w:pPr>
              <w:spacing w:before="60" w:after="60"/>
              <w:jc w:val="center"/>
              <w:rPr>
                <w:sz w:val="24"/>
                <w:szCs w:val="24"/>
              </w:rPr>
            </w:pPr>
            <w:r w:rsidRPr="0004041A">
              <w:rPr>
                <w:sz w:val="24"/>
                <w:szCs w:val="24"/>
              </w:rPr>
              <w:t>3.3</w:t>
            </w:r>
          </w:p>
        </w:tc>
      </w:tr>
      <w:tr w:rsidR="00797BB0" w14:paraId="1EE9C52A" w14:textId="77777777" w:rsidTr="00C2654F">
        <w:tc>
          <w:tcPr>
            <w:tcW w:w="5665" w:type="dxa"/>
          </w:tcPr>
          <w:p w14:paraId="6A9A890C" w14:textId="5C70A53D" w:rsidR="00797BB0" w:rsidRPr="0004041A" w:rsidRDefault="00967E74" w:rsidP="00C2654F">
            <w:pPr>
              <w:spacing w:before="0" w:after="0"/>
              <w:jc w:val="left"/>
              <w:rPr>
                <w:sz w:val="24"/>
                <w:szCs w:val="24"/>
              </w:rPr>
            </w:pPr>
            <w:r w:rsidRPr="0004041A">
              <w:rPr>
                <w:sz w:val="24"/>
                <w:szCs w:val="24"/>
              </w:rPr>
              <w:t>21.2</w:t>
            </w:r>
            <w:r w:rsidR="001D1A5D">
              <w:rPr>
                <w:sz w:val="24"/>
                <w:szCs w:val="24"/>
              </w:rPr>
              <w:t xml:space="preserve"> (bon de livraison)</w:t>
            </w:r>
          </w:p>
        </w:tc>
        <w:tc>
          <w:tcPr>
            <w:tcW w:w="4111" w:type="dxa"/>
          </w:tcPr>
          <w:p w14:paraId="4588747D" w14:textId="77777777" w:rsidR="00797BB0" w:rsidRPr="0004041A" w:rsidRDefault="00967E74" w:rsidP="00FE7EAD">
            <w:pPr>
              <w:spacing w:before="60" w:after="60"/>
              <w:jc w:val="center"/>
              <w:rPr>
                <w:sz w:val="24"/>
                <w:szCs w:val="24"/>
              </w:rPr>
            </w:pPr>
            <w:r w:rsidRPr="0004041A">
              <w:rPr>
                <w:sz w:val="24"/>
                <w:szCs w:val="24"/>
              </w:rPr>
              <w:t>3.3</w:t>
            </w:r>
          </w:p>
        </w:tc>
      </w:tr>
      <w:tr w:rsidR="00E41162" w14:paraId="474D780E" w14:textId="77777777" w:rsidTr="00C2654F">
        <w:tc>
          <w:tcPr>
            <w:tcW w:w="5665" w:type="dxa"/>
          </w:tcPr>
          <w:p w14:paraId="4C930F9E" w14:textId="2E348F54" w:rsidR="00E41162" w:rsidRPr="0004041A" w:rsidRDefault="00FE7EAD" w:rsidP="00C2654F">
            <w:pPr>
              <w:spacing w:before="0" w:after="0"/>
              <w:jc w:val="left"/>
              <w:rPr>
                <w:sz w:val="24"/>
                <w:szCs w:val="24"/>
              </w:rPr>
            </w:pPr>
            <w:r>
              <w:rPr>
                <w:sz w:val="24"/>
                <w:szCs w:val="24"/>
              </w:rPr>
              <w:t xml:space="preserve">28 - </w:t>
            </w:r>
            <w:r w:rsidR="00731362">
              <w:rPr>
                <w:sz w:val="24"/>
                <w:szCs w:val="24"/>
              </w:rPr>
              <w:t>28.</w:t>
            </w:r>
            <w:r>
              <w:rPr>
                <w:sz w:val="24"/>
                <w:szCs w:val="24"/>
              </w:rPr>
              <w:t xml:space="preserve">1 – 28.2 (opérations de vérification – délais VA et VSR) </w:t>
            </w:r>
          </w:p>
        </w:tc>
        <w:tc>
          <w:tcPr>
            <w:tcW w:w="4111" w:type="dxa"/>
          </w:tcPr>
          <w:p w14:paraId="40CB0361" w14:textId="77777777" w:rsidR="00E41162" w:rsidRPr="0004041A" w:rsidRDefault="00E41162" w:rsidP="00FE7EAD">
            <w:pPr>
              <w:spacing w:before="60" w:after="60"/>
              <w:jc w:val="center"/>
              <w:rPr>
                <w:sz w:val="24"/>
                <w:szCs w:val="24"/>
              </w:rPr>
            </w:pPr>
            <w:r w:rsidRPr="0004041A">
              <w:rPr>
                <w:sz w:val="24"/>
                <w:szCs w:val="24"/>
              </w:rPr>
              <w:t>5.2</w:t>
            </w:r>
          </w:p>
        </w:tc>
      </w:tr>
    </w:tbl>
    <w:p w14:paraId="53E94CDB" w14:textId="77777777" w:rsidR="00760980" w:rsidRDefault="00760980" w:rsidP="00C67E16">
      <w:pPr>
        <w:spacing w:before="0" w:after="0"/>
      </w:pPr>
    </w:p>
    <w:p w14:paraId="0985C3A7" w14:textId="247DBD8C" w:rsidR="00C75BE4" w:rsidRDefault="00C75BE4" w:rsidP="00C75BE4">
      <w:pPr>
        <w:pStyle w:val="Titre1"/>
        <w:spacing w:before="360"/>
        <w:ind w:left="357" w:hanging="357"/>
        <w:rPr>
          <w:rFonts w:ascii="AvenirNext LT Pro Cn" w:hAnsi="AvenirNext LT Pro Cn"/>
        </w:rPr>
      </w:pPr>
      <w:r>
        <w:rPr>
          <w:rFonts w:ascii="AvenirNext LT Pro Cn" w:hAnsi="AvenirNext LT Pro Cn"/>
        </w:rPr>
        <w:t>ANNEXES</w:t>
      </w:r>
    </w:p>
    <w:p w14:paraId="74F79E72" w14:textId="3BDC4C45" w:rsidR="00C75BE4" w:rsidRPr="00A06774" w:rsidRDefault="00C75BE4" w:rsidP="00C75BE4">
      <w:pPr>
        <w:pStyle w:val="Paragraphedeliste"/>
        <w:numPr>
          <w:ilvl w:val="0"/>
          <w:numId w:val="9"/>
        </w:numPr>
        <w:rPr>
          <w:rFonts w:cs="Arial"/>
        </w:rPr>
      </w:pPr>
      <w:r w:rsidRPr="00A06774">
        <w:rPr>
          <w:rFonts w:cs="Arial"/>
        </w:rPr>
        <w:t>Annexe 1</w:t>
      </w:r>
      <w:r w:rsidR="00A06774">
        <w:rPr>
          <w:rFonts w:cs="Arial"/>
        </w:rPr>
        <w:t xml:space="preserve"> : </w:t>
      </w:r>
      <w:r w:rsidRPr="00A06774">
        <w:rPr>
          <w:rFonts w:cs="Arial"/>
        </w:rPr>
        <w:t>PV de mise en ordre de marche (MOM)</w:t>
      </w:r>
    </w:p>
    <w:p w14:paraId="16077E19" w14:textId="77255DEA" w:rsidR="00100D66" w:rsidRPr="00A06774" w:rsidRDefault="00C75BE4" w:rsidP="00C75BE4">
      <w:pPr>
        <w:pStyle w:val="Paragraphedeliste"/>
        <w:numPr>
          <w:ilvl w:val="0"/>
          <w:numId w:val="9"/>
        </w:numPr>
        <w:rPr>
          <w:rFonts w:cs="Arial"/>
        </w:rPr>
      </w:pPr>
      <w:r w:rsidRPr="00A06774">
        <w:rPr>
          <w:rFonts w:cs="Arial"/>
        </w:rPr>
        <w:t>Annexe 2</w:t>
      </w:r>
      <w:r w:rsidR="00A06774">
        <w:rPr>
          <w:rFonts w:cs="Arial"/>
        </w:rPr>
        <w:t xml:space="preserve"> : </w:t>
      </w:r>
      <w:r w:rsidRPr="00A06774">
        <w:rPr>
          <w:rFonts w:cs="Arial"/>
        </w:rPr>
        <w:t>PV d’admission</w:t>
      </w:r>
      <w:r w:rsidR="009C0B67">
        <w:rPr>
          <w:rFonts w:cs="Arial"/>
        </w:rPr>
        <w:t>.</w:t>
      </w:r>
      <w:bookmarkStart w:id="148" w:name="_GoBack"/>
      <w:bookmarkEnd w:id="148"/>
    </w:p>
    <w:sectPr w:rsidR="00100D66" w:rsidRPr="00A06774" w:rsidSect="00C2654F">
      <w:pgSz w:w="11900" w:h="16840"/>
      <w:pgMar w:top="1418" w:right="1418" w:bottom="993"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C7B51" w14:textId="77777777" w:rsidR="00BA7FE8" w:rsidRDefault="00BA7FE8">
      <w:r>
        <w:separator/>
      </w:r>
    </w:p>
  </w:endnote>
  <w:endnote w:type="continuationSeparator" w:id="0">
    <w:p w14:paraId="1C1955EA" w14:textId="77777777" w:rsidR="00BA7FE8" w:rsidRDefault="00BA7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4D9B" w14:textId="77777777" w:rsidR="00BA7FE8" w:rsidRDefault="00BA7FE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BA7FE8" w:rsidRDefault="00BA7FE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803906"/>
      <w:docPartObj>
        <w:docPartGallery w:val="Page Numbers (Bottom of Page)"/>
        <w:docPartUnique/>
      </w:docPartObj>
    </w:sdtPr>
    <w:sdtEndPr/>
    <w:sdtContent>
      <w:sdt>
        <w:sdtPr>
          <w:id w:val="-1769616900"/>
          <w:docPartObj>
            <w:docPartGallery w:val="Page Numbers (Top of Page)"/>
            <w:docPartUnique/>
          </w:docPartObj>
        </w:sdtPr>
        <w:sdtEndPr/>
        <w:sdtContent>
          <w:p w14:paraId="0A2C567D" w14:textId="5716C3D2" w:rsidR="00BA7FE8" w:rsidRDefault="00BA7FE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20</w:t>
            </w:r>
            <w:r>
              <w:rPr>
                <w:b/>
                <w:bCs/>
                <w:sz w:val="24"/>
                <w:szCs w:val="24"/>
              </w:rPr>
              <w:fldChar w:fldCharType="end"/>
            </w:r>
          </w:p>
        </w:sdtContent>
      </w:sdt>
    </w:sdtContent>
  </w:sdt>
  <w:p w14:paraId="61FEA6E4" w14:textId="77777777" w:rsidR="00BA7FE8" w:rsidRDefault="00BA7FE8"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B6AAD" w14:textId="77777777" w:rsidR="00BA7FE8" w:rsidRDefault="00BA7FE8">
      <w:r>
        <w:separator/>
      </w:r>
    </w:p>
  </w:footnote>
  <w:footnote w:type="continuationSeparator" w:id="0">
    <w:p w14:paraId="7B7C758A" w14:textId="77777777" w:rsidR="00BA7FE8" w:rsidRDefault="00BA7FE8">
      <w:r>
        <w:continuationSeparator/>
      </w:r>
    </w:p>
  </w:footnote>
  <w:footnote w:id="1">
    <w:p w14:paraId="5277E3D0" w14:textId="77777777" w:rsidR="00BA7FE8" w:rsidRPr="00460E17" w:rsidRDefault="00BA7FE8"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5C6B86F7" w14:textId="77777777" w:rsidR="00BA7FE8" w:rsidRPr="00460E17" w:rsidRDefault="00BA7FE8"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F964AF"/>
    <w:multiLevelType w:val="hybridMultilevel"/>
    <w:tmpl w:val="A24250A2"/>
    <w:lvl w:ilvl="0" w:tplc="5BF07F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A10C28"/>
    <w:multiLevelType w:val="hybridMultilevel"/>
    <w:tmpl w:val="3CA0591A"/>
    <w:lvl w:ilvl="0" w:tplc="B3DC8B3E">
      <w:start w:val="1"/>
      <w:numFmt w:val="bullet"/>
      <w:lvlText w:val="-"/>
      <w:lvlJc w:val="left"/>
      <w:pPr>
        <w:ind w:left="720" w:hanging="360"/>
      </w:pPr>
      <w:rPr>
        <w:rFonts w:ascii="AvenirNext LT Pro Cn" w:eastAsiaTheme="minorHAnsi" w:hAnsi="AvenirNext LT Pro Cn" w:cstheme="minorHAns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F95879"/>
    <w:multiLevelType w:val="hybridMultilevel"/>
    <w:tmpl w:val="DED2C066"/>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3B5458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FC115C"/>
    <w:multiLevelType w:val="hybridMultilevel"/>
    <w:tmpl w:val="35683E26"/>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9E4807"/>
    <w:multiLevelType w:val="multilevel"/>
    <w:tmpl w:val="50AADF00"/>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1850"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6005F3"/>
    <w:multiLevelType w:val="hybridMultilevel"/>
    <w:tmpl w:val="D6C27D7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592FCF"/>
    <w:multiLevelType w:val="hybridMultilevel"/>
    <w:tmpl w:val="B45A8AC8"/>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6831E3"/>
    <w:multiLevelType w:val="hybridMultilevel"/>
    <w:tmpl w:val="0F92AE3A"/>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C40A46"/>
    <w:multiLevelType w:val="hybridMultilevel"/>
    <w:tmpl w:val="AA12220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99387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DC240DB"/>
    <w:multiLevelType w:val="hybridMultilevel"/>
    <w:tmpl w:val="8A2C5020"/>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23"/>
  </w:num>
  <w:num w:numId="4">
    <w:abstractNumId w:val="18"/>
  </w:num>
  <w:num w:numId="5">
    <w:abstractNumId w:val="15"/>
  </w:num>
  <w:num w:numId="6">
    <w:abstractNumId w:val="3"/>
  </w:num>
  <w:num w:numId="7">
    <w:abstractNumId w:val="13"/>
  </w:num>
  <w:num w:numId="8">
    <w:abstractNumId w:val="0"/>
  </w:num>
  <w:num w:numId="9">
    <w:abstractNumId w:val="27"/>
  </w:num>
  <w:num w:numId="10">
    <w:abstractNumId w:val="6"/>
  </w:num>
  <w:num w:numId="11">
    <w:abstractNumId w:val="11"/>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22"/>
  </w:num>
  <w:num w:numId="13">
    <w:abstractNumId w:val="11"/>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6"/>
  </w:num>
  <w:num w:numId="15">
    <w:abstractNumId w:val="1"/>
  </w:num>
  <w:num w:numId="16">
    <w:abstractNumId w:val="17"/>
  </w:num>
  <w:num w:numId="17">
    <w:abstractNumId w:val="5"/>
  </w:num>
  <w:num w:numId="18">
    <w:abstractNumId w:val="11"/>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1"/>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0"/>
  </w:num>
  <w:num w:numId="21">
    <w:abstractNumId w:val="8"/>
  </w:num>
  <w:num w:numId="22">
    <w:abstractNumId w:val="2"/>
  </w:num>
  <w:num w:numId="23">
    <w:abstractNumId w:val="9"/>
  </w:num>
  <w:num w:numId="24">
    <w:abstractNumId w:val="25"/>
  </w:num>
  <w:num w:numId="25">
    <w:abstractNumId w:val="14"/>
  </w:num>
  <w:num w:numId="26">
    <w:abstractNumId w:val="4"/>
  </w:num>
  <w:num w:numId="27">
    <w:abstractNumId w:val="26"/>
  </w:num>
  <w:num w:numId="28">
    <w:abstractNumId w:val="7"/>
  </w:num>
  <w:num w:numId="29">
    <w:abstractNumId w:val="19"/>
  </w:num>
  <w:num w:numId="30">
    <w:abstractNumId w:val="10"/>
  </w:num>
  <w:num w:numId="31">
    <w:abstractNumId w:val="24"/>
  </w:num>
  <w:num w:numId="32">
    <w:abstractNumId w:val="12"/>
  </w:num>
  <w:num w:numId="33">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4A13"/>
    <w:rsid w:val="00006538"/>
    <w:rsid w:val="00006BC9"/>
    <w:rsid w:val="00016E7E"/>
    <w:rsid w:val="000222BE"/>
    <w:rsid w:val="000225F6"/>
    <w:rsid w:val="00027351"/>
    <w:rsid w:val="000279E4"/>
    <w:rsid w:val="00036DFA"/>
    <w:rsid w:val="0003702D"/>
    <w:rsid w:val="0004041A"/>
    <w:rsid w:val="00042D7D"/>
    <w:rsid w:val="00050D7B"/>
    <w:rsid w:val="00063BE9"/>
    <w:rsid w:val="00065251"/>
    <w:rsid w:val="00066A89"/>
    <w:rsid w:val="00072C1C"/>
    <w:rsid w:val="000803CA"/>
    <w:rsid w:val="00085B75"/>
    <w:rsid w:val="000870A9"/>
    <w:rsid w:val="0009322A"/>
    <w:rsid w:val="00094D42"/>
    <w:rsid w:val="00096E84"/>
    <w:rsid w:val="000A0229"/>
    <w:rsid w:val="000A127B"/>
    <w:rsid w:val="000A175F"/>
    <w:rsid w:val="000A70CD"/>
    <w:rsid w:val="000A7225"/>
    <w:rsid w:val="000A7363"/>
    <w:rsid w:val="000B4AD3"/>
    <w:rsid w:val="000B7E1A"/>
    <w:rsid w:val="000C38BD"/>
    <w:rsid w:val="000D2752"/>
    <w:rsid w:val="000D76B3"/>
    <w:rsid w:val="000E0421"/>
    <w:rsid w:val="000E3328"/>
    <w:rsid w:val="000E5048"/>
    <w:rsid w:val="000E7690"/>
    <w:rsid w:val="000F09A7"/>
    <w:rsid w:val="000F47C2"/>
    <w:rsid w:val="00100D66"/>
    <w:rsid w:val="001051F5"/>
    <w:rsid w:val="00111E66"/>
    <w:rsid w:val="00116F23"/>
    <w:rsid w:val="00123D4B"/>
    <w:rsid w:val="001246BE"/>
    <w:rsid w:val="0013102B"/>
    <w:rsid w:val="001347E7"/>
    <w:rsid w:val="00134A5A"/>
    <w:rsid w:val="001434B3"/>
    <w:rsid w:val="0014659F"/>
    <w:rsid w:val="001514A5"/>
    <w:rsid w:val="00162225"/>
    <w:rsid w:val="001704DA"/>
    <w:rsid w:val="001723C6"/>
    <w:rsid w:val="00177F31"/>
    <w:rsid w:val="00186FA0"/>
    <w:rsid w:val="00191162"/>
    <w:rsid w:val="0019745F"/>
    <w:rsid w:val="001A72C8"/>
    <w:rsid w:val="001B303D"/>
    <w:rsid w:val="001B75C4"/>
    <w:rsid w:val="001C1C16"/>
    <w:rsid w:val="001C3695"/>
    <w:rsid w:val="001D1A5D"/>
    <w:rsid w:val="001D4D11"/>
    <w:rsid w:val="001D517B"/>
    <w:rsid w:val="001D73E9"/>
    <w:rsid w:val="001E21C7"/>
    <w:rsid w:val="001E35C4"/>
    <w:rsid w:val="001F1FFA"/>
    <w:rsid w:val="00200A87"/>
    <w:rsid w:val="00203E10"/>
    <w:rsid w:val="00216003"/>
    <w:rsid w:val="00220244"/>
    <w:rsid w:val="002217A4"/>
    <w:rsid w:val="002258B6"/>
    <w:rsid w:val="00226BDE"/>
    <w:rsid w:val="0023009D"/>
    <w:rsid w:val="00246557"/>
    <w:rsid w:val="00251F30"/>
    <w:rsid w:val="00256376"/>
    <w:rsid w:val="00260443"/>
    <w:rsid w:val="0026288D"/>
    <w:rsid w:val="00270346"/>
    <w:rsid w:val="00274965"/>
    <w:rsid w:val="002912A9"/>
    <w:rsid w:val="0029201B"/>
    <w:rsid w:val="0029378E"/>
    <w:rsid w:val="002A0CD4"/>
    <w:rsid w:val="002A5795"/>
    <w:rsid w:val="002B5C0D"/>
    <w:rsid w:val="002D535A"/>
    <w:rsid w:val="002E0B6F"/>
    <w:rsid w:val="0030025D"/>
    <w:rsid w:val="00303880"/>
    <w:rsid w:val="003055C7"/>
    <w:rsid w:val="00306FE6"/>
    <w:rsid w:val="003130CA"/>
    <w:rsid w:val="00326D41"/>
    <w:rsid w:val="0033233E"/>
    <w:rsid w:val="00334A01"/>
    <w:rsid w:val="003359DA"/>
    <w:rsid w:val="003362B0"/>
    <w:rsid w:val="00336617"/>
    <w:rsid w:val="003410D9"/>
    <w:rsid w:val="00354B34"/>
    <w:rsid w:val="003603A7"/>
    <w:rsid w:val="00361827"/>
    <w:rsid w:val="00372D4F"/>
    <w:rsid w:val="003732CE"/>
    <w:rsid w:val="003807F9"/>
    <w:rsid w:val="003824D0"/>
    <w:rsid w:val="00391DB4"/>
    <w:rsid w:val="00392D42"/>
    <w:rsid w:val="00394191"/>
    <w:rsid w:val="003946F1"/>
    <w:rsid w:val="003A190D"/>
    <w:rsid w:val="003A3142"/>
    <w:rsid w:val="003A62C4"/>
    <w:rsid w:val="003A6402"/>
    <w:rsid w:val="003A6A99"/>
    <w:rsid w:val="003A7354"/>
    <w:rsid w:val="003B0BDB"/>
    <w:rsid w:val="003B43E6"/>
    <w:rsid w:val="003B5365"/>
    <w:rsid w:val="003B629B"/>
    <w:rsid w:val="003C23D4"/>
    <w:rsid w:val="003C2CDB"/>
    <w:rsid w:val="003C2E90"/>
    <w:rsid w:val="003C4912"/>
    <w:rsid w:val="003D038F"/>
    <w:rsid w:val="003D5CB1"/>
    <w:rsid w:val="003D5F07"/>
    <w:rsid w:val="003E1C48"/>
    <w:rsid w:val="003E43FE"/>
    <w:rsid w:val="003E4F69"/>
    <w:rsid w:val="003F0E09"/>
    <w:rsid w:val="003F4F96"/>
    <w:rsid w:val="003F539D"/>
    <w:rsid w:val="003F688C"/>
    <w:rsid w:val="00400529"/>
    <w:rsid w:val="00411E7F"/>
    <w:rsid w:val="0042556F"/>
    <w:rsid w:val="00427EB8"/>
    <w:rsid w:val="004525CA"/>
    <w:rsid w:val="00453B41"/>
    <w:rsid w:val="00460E17"/>
    <w:rsid w:val="0046322C"/>
    <w:rsid w:val="00480118"/>
    <w:rsid w:val="00485CA6"/>
    <w:rsid w:val="00490EF9"/>
    <w:rsid w:val="00492C01"/>
    <w:rsid w:val="004968F7"/>
    <w:rsid w:val="004A4B26"/>
    <w:rsid w:val="004A769C"/>
    <w:rsid w:val="004B5016"/>
    <w:rsid w:val="004B692F"/>
    <w:rsid w:val="004C2431"/>
    <w:rsid w:val="004C49F1"/>
    <w:rsid w:val="004C650B"/>
    <w:rsid w:val="004C6762"/>
    <w:rsid w:val="004C6847"/>
    <w:rsid w:val="004D28CF"/>
    <w:rsid w:val="004D3DD3"/>
    <w:rsid w:val="004D53D4"/>
    <w:rsid w:val="004E4449"/>
    <w:rsid w:val="004F6C2A"/>
    <w:rsid w:val="00505F65"/>
    <w:rsid w:val="005074CD"/>
    <w:rsid w:val="00514090"/>
    <w:rsid w:val="005144E6"/>
    <w:rsid w:val="00517372"/>
    <w:rsid w:val="00522A5F"/>
    <w:rsid w:val="005244D7"/>
    <w:rsid w:val="00526614"/>
    <w:rsid w:val="005304C9"/>
    <w:rsid w:val="00531AF4"/>
    <w:rsid w:val="00532847"/>
    <w:rsid w:val="00535101"/>
    <w:rsid w:val="00541D44"/>
    <w:rsid w:val="005438B3"/>
    <w:rsid w:val="00546128"/>
    <w:rsid w:val="00551FE2"/>
    <w:rsid w:val="00571588"/>
    <w:rsid w:val="00581885"/>
    <w:rsid w:val="005853DD"/>
    <w:rsid w:val="00585A54"/>
    <w:rsid w:val="00587408"/>
    <w:rsid w:val="00591076"/>
    <w:rsid w:val="005A7E96"/>
    <w:rsid w:val="005B64CE"/>
    <w:rsid w:val="005C0D57"/>
    <w:rsid w:val="005C1753"/>
    <w:rsid w:val="005C3C3E"/>
    <w:rsid w:val="005C5233"/>
    <w:rsid w:val="005C5936"/>
    <w:rsid w:val="005D2AE1"/>
    <w:rsid w:val="005D4468"/>
    <w:rsid w:val="005E1719"/>
    <w:rsid w:val="005E2396"/>
    <w:rsid w:val="005E7AE7"/>
    <w:rsid w:val="005F000E"/>
    <w:rsid w:val="005F1A30"/>
    <w:rsid w:val="005F22FE"/>
    <w:rsid w:val="005F23CA"/>
    <w:rsid w:val="00601DE1"/>
    <w:rsid w:val="00605900"/>
    <w:rsid w:val="00606EB7"/>
    <w:rsid w:val="00607BA3"/>
    <w:rsid w:val="00611445"/>
    <w:rsid w:val="00616187"/>
    <w:rsid w:val="00623745"/>
    <w:rsid w:val="00626EDC"/>
    <w:rsid w:val="006275E0"/>
    <w:rsid w:val="00632595"/>
    <w:rsid w:val="00632DB7"/>
    <w:rsid w:val="00640AE1"/>
    <w:rsid w:val="00642A6F"/>
    <w:rsid w:val="00642C9F"/>
    <w:rsid w:val="006476D6"/>
    <w:rsid w:val="006547CD"/>
    <w:rsid w:val="00656A34"/>
    <w:rsid w:val="00663A2D"/>
    <w:rsid w:val="00672562"/>
    <w:rsid w:val="006835E1"/>
    <w:rsid w:val="00685621"/>
    <w:rsid w:val="00686AF1"/>
    <w:rsid w:val="0068702D"/>
    <w:rsid w:val="006A466F"/>
    <w:rsid w:val="006A54E2"/>
    <w:rsid w:val="006A5B59"/>
    <w:rsid w:val="006B26F5"/>
    <w:rsid w:val="006B58C5"/>
    <w:rsid w:val="006C52FC"/>
    <w:rsid w:val="006C5BAE"/>
    <w:rsid w:val="006D028A"/>
    <w:rsid w:val="006D08C0"/>
    <w:rsid w:val="006D0CC8"/>
    <w:rsid w:val="006D349D"/>
    <w:rsid w:val="006E267D"/>
    <w:rsid w:val="006E2779"/>
    <w:rsid w:val="006E6173"/>
    <w:rsid w:val="006F2DAE"/>
    <w:rsid w:val="006F4CB2"/>
    <w:rsid w:val="006F5C34"/>
    <w:rsid w:val="006F6952"/>
    <w:rsid w:val="0070058D"/>
    <w:rsid w:val="007006C1"/>
    <w:rsid w:val="00707B79"/>
    <w:rsid w:val="007145F3"/>
    <w:rsid w:val="00727A04"/>
    <w:rsid w:val="00727CA5"/>
    <w:rsid w:val="007304E1"/>
    <w:rsid w:val="0073069F"/>
    <w:rsid w:val="00731047"/>
    <w:rsid w:val="00731362"/>
    <w:rsid w:val="00731D4D"/>
    <w:rsid w:val="00733280"/>
    <w:rsid w:val="00733B4E"/>
    <w:rsid w:val="00733CE9"/>
    <w:rsid w:val="007341C3"/>
    <w:rsid w:val="0074183C"/>
    <w:rsid w:val="00750AA0"/>
    <w:rsid w:val="00755C79"/>
    <w:rsid w:val="007574F4"/>
    <w:rsid w:val="00760351"/>
    <w:rsid w:val="00760980"/>
    <w:rsid w:val="00762119"/>
    <w:rsid w:val="0076384B"/>
    <w:rsid w:val="00770F2B"/>
    <w:rsid w:val="0078617B"/>
    <w:rsid w:val="00795056"/>
    <w:rsid w:val="00796DA1"/>
    <w:rsid w:val="00797BB0"/>
    <w:rsid w:val="00797F98"/>
    <w:rsid w:val="007A4C41"/>
    <w:rsid w:val="007A7FB2"/>
    <w:rsid w:val="007B55D0"/>
    <w:rsid w:val="007B63E7"/>
    <w:rsid w:val="007D4058"/>
    <w:rsid w:val="007D692F"/>
    <w:rsid w:val="007E1427"/>
    <w:rsid w:val="007E232D"/>
    <w:rsid w:val="007E6DC3"/>
    <w:rsid w:val="007E77AF"/>
    <w:rsid w:val="007F511F"/>
    <w:rsid w:val="007F5545"/>
    <w:rsid w:val="007F5548"/>
    <w:rsid w:val="007F74B9"/>
    <w:rsid w:val="007F798C"/>
    <w:rsid w:val="008013EA"/>
    <w:rsid w:val="00804DB9"/>
    <w:rsid w:val="008063E1"/>
    <w:rsid w:val="00822B9D"/>
    <w:rsid w:val="008265AF"/>
    <w:rsid w:val="00834717"/>
    <w:rsid w:val="0084647A"/>
    <w:rsid w:val="008550CD"/>
    <w:rsid w:val="0085733E"/>
    <w:rsid w:val="008630D8"/>
    <w:rsid w:val="008771C6"/>
    <w:rsid w:val="0088106B"/>
    <w:rsid w:val="00881C9D"/>
    <w:rsid w:val="00890070"/>
    <w:rsid w:val="00892032"/>
    <w:rsid w:val="00892F5B"/>
    <w:rsid w:val="008A079C"/>
    <w:rsid w:val="008A3A2D"/>
    <w:rsid w:val="008B165D"/>
    <w:rsid w:val="008B3075"/>
    <w:rsid w:val="008B770F"/>
    <w:rsid w:val="008C1097"/>
    <w:rsid w:val="008C32FD"/>
    <w:rsid w:val="008D0D10"/>
    <w:rsid w:val="008E61B7"/>
    <w:rsid w:val="008F4404"/>
    <w:rsid w:val="008F4506"/>
    <w:rsid w:val="00900B07"/>
    <w:rsid w:val="0090131C"/>
    <w:rsid w:val="00904940"/>
    <w:rsid w:val="00905944"/>
    <w:rsid w:val="009101CC"/>
    <w:rsid w:val="00911DB8"/>
    <w:rsid w:val="00923D5F"/>
    <w:rsid w:val="0093000D"/>
    <w:rsid w:val="00933FED"/>
    <w:rsid w:val="00935797"/>
    <w:rsid w:val="00942412"/>
    <w:rsid w:val="00943F8C"/>
    <w:rsid w:val="009441CC"/>
    <w:rsid w:val="00947C2D"/>
    <w:rsid w:val="0095051E"/>
    <w:rsid w:val="00955D3E"/>
    <w:rsid w:val="009608F2"/>
    <w:rsid w:val="0096254D"/>
    <w:rsid w:val="00962958"/>
    <w:rsid w:val="00967103"/>
    <w:rsid w:val="00967E74"/>
    <w:rsid w:val="009720FB"/>
    <w:rsid w:val="00992133"/>
    <w:rsid w:val="009A1C79"/>
    <w:rsid w:val="009A7C35"/>
    <w:rsid w:val="009B2D4B"/>
    <w:rsid w:val="009B3DCF"/>
    <w:rsid w:val="009B72A2"/>
    <w:rsid w:val="009C0B67"/>
    <w:rsid w:val="009C3CDF"/>
    <w:rsid w:val="009D115A"/>
    <w:rsid w:val="009D23D8"/>
    <w:rsid w:val="009D6FEF"/>
    <w:rsid w:val="009E36D1"/>
    <w:rsid w:val="009F0C4E"/>
    <w:rsid w:val="009F23A3"/>
    <w:rsid w:val="009F36E7"/>
    <w:rsid w:val="009F4AD5"/>
    <w:rsid w:val="009F4D64"/>
    <w:rsid w:val="009F5ECE"/>
    <w:rsid w:val="00A006E3"/>
    <w:rsid w:val="00A0496B"/>
    <w:rsid w:val="00A064F9"/>
    <w:rsid w:val="00A06774"/>
    <w:rsid w:val="00A07D9A"/>
    <w:rsid w:val="00A15D8F"/>
    <w:rsid w:val="00A204B9"/>
    <w:rsid w:val="00A260E4"/>
    <w:rsid w:val="00A26305"/>
    <w:rsid w:val="00A3013B"/>
    <w:rsid w:val="00A33A99"/>
    <w:rsid w:val="00A363E4"/>
    <w:rsid w:val="00A451A9"/>
    <w:rsid w:val="00A455B4"/>
    <w:rsid w:val="00A56ED2"/>
    <w:rsid w:val="00A601E2"/>
    <w:rsid w:val="00A63192"/>
    <w:rsid w:val="00A70B76"/>
    <w:rsid w:val="00A710F6"/>
    <w:rsid w:val="00A7625A"/>
    <w:rsid w:val="00A76EDA"/>
    <w:rsid w:val="00A80F9F"/>
    <w:rsid w:val="00A80FD3"/>
    <w:rsid w:val="00A92860"/>
    <w:rsid w:val="00A95D4A"/>
    <w:rsid w:val="00AA070F"/>
    <w:rsid w:val="00AA1ADB"/>
    <w:rsid w:val="00AA3FDE"/>
    <w:rsid w:val="00AB562B"/>
    <w:rsid w:val="00AB563A"/>
    <w:rsid w:val="00AB580E"/>
    <w:rsid w:val="00AC5FB7"/>
    <w:rsid w:val="00AD1B16"/>
    <w:rsid w:val="00AD614E"/>
    <w:rsid w:val="00AD7197"/>
    <w:rsid w:val="00AE2B69"/>
    <w:rsid w:val="00AE4998"/>
    <w:rsid w:val="00AE509D"/>
    <w:rsid w:val="00AF0018"/>
    <w:rsid w:val="00AF2305"/>
    <w:rsid w:val="00AF5EF1"/>
    <w:rsid w:val="00AF5F40"/>
    <w:rsid w:val="00AF7ADE"/>
    <w:rsid w:val="00B06C5B"/>
    <w:rsid w:val="00B07A17"/>
    <w:rsid w:val="00B12B2C"/>
    <w:rsid w:val="00B1466D"/>
    <w:rsid w:val="00B152C6"/>
    <w:rsid w:val="00B206C9"/>
    <w:rsid w:val="00B24359"/>
    <w:rsid w:val="00B2715C"/>
    <w:rsid w:val="00B3398C"/>
    <w:rsid w:val="00B367C3"/>
    <w:rsid w:val="00B41895"/>
    <w:rsid w:val="00B50E28"/>
    <w:rsid w:val="00B51FA9"/>
    <w:rsid w:val="00B649EA"/>
    <w:rsid w:val="00B7002F"/>
    <w:rsid w:val="00B769AA"/>
    <w:rsid w:val="00B76FF0"/>
    <w:rsid w:val="00B77F94"/>
    <w:rsid w:val="00B96428"/>
    <w:rsid w:val="00B97AD2"/>
    <w:rsid w:val="00BA0B9C"/>
    <w:rsid w:val="00BA191F"/>
    <w:rsid w:val="00BA37A0"/>
    <w:rsid w:val="00BA6ADE"/>
    <w:rsid w:val="00BA7D7D"/>
    <w:rsid w:val="00BA7FE8"/>
    <w:rsid w:val="00BC2BFF"/>
    <w:rsid w:val="00BC3FCC"/>
    <w:rsid w:val="00BC575E"/>
    <w:rsid w:val="00BC6C36"/>
    <w:rsid w:val="00BE0EAA"/>
    <w:rsid w:val="00BE1770"/>
    <w:rsid w:val="00BE30DB"/>
    <w:rsid w:val="00BE518A"/>
    <w:rsid w:val="00BF0619"/>
    <w:rsid w:val="00C21452"/>
    <w:rsid w:val="00C2403F"/>
    <w:rsid w:val="00C2654F"/>
    <w:rsid w:val="00C27CC1"/>
    <w:rsid w:val="00C30000"/>
    <w:rsid w:val="00C31F9D"/>
    <w:rsid w:val="00C367B6"/>
    <w:rsid w:val="00C47E99"/>
    <w:rsid w:val="00C51553"/>
    <w:rsid w:val="00C649C5"/>
    <w:rsid w:val="00C64C12"/>
    <w:rsid w:val="00C64DD9"/>
    <w:rsid w:val="00C65CA6"/>
    <w:rsid w:val="00C67E16"/>
    <w:rsid w:val="00C75BE4"/>
    <w:rsid w:val="00C83BB5"/>
    <w:rsid w:val="00C83ED2"/>
    <w:rsid w:val="00C861BF"/>
    <w:rsid w:val="00C93B74"/>
    <w:rsid w:val="00C97352"/>
    <w:rsid w:val="00CA6331"/>
    <w:rsid w:val="00CB348C"/>
    <w:rsid w:val="00CB36E0"/>
    <w:rsid w:val="00CB3DAB"/>
    <w:rsid w:val="00CB41F2"/>
    <w:rsid w:val="00CB5923"/>
    <w:rsid w:val="00CC1566"/>
    <w:rsid w:val="00CC5CE8"/>
    <w:rsid w:val="00CC6995"/>
    <w:rsid w:val="00CD78E2"/>
    <w:rsid w:val="00CE046A"/>
    <w:rsid w:val="00CE15E0"/>
    <w:rsid w:val="00CE4B60"/>
    <w:rsid w:val="00CF12C4"/>
    <w:rsid w:val="00CF327B"/>
    <w:rsid w:val="00CF46C8"/>
    <w:rsid w:val="00D018BB"/>
    <w:rsid w:val="00D12347"/>
    <w:rsid w:val="00D14015"/>
    <w:rsid w:val="00D1440F"/>
    <w:rsid w:val="00D15E81"/>
    <w:rsid w:val="00D25A0C"/>
    <w:rsid w:val="00D27E8D"/>
    <w:rsid w:val="00D355F1"/>
    <w:rsid w:val="00D3645B"/>
    <w:rsid w:val="00D3747F"/>
    <w:rsid w:val="00D449F5"/>
    <w:rsid w:val="00D47F4D"/>
    <w:rsid w:val="00D66900"/>
    <w:rsid w:val="00D70D30"/>
    <w:rsid w:val="00D71F32"/>
    <w:rsid w:val="00D74584"/>
    <w:rsid w:val="00D74AB2"/>
    <w:rsid w:val="00D7753D"/>
    <w:rsid w:val="00D805D0"/>
    <w:rsid w:val="00D869CD"/>
    <w:rsid w:val="00D90F36"/>
    <w:rsid w:val="00D93310"/>
    <w:rsid w:val="00DA08FD"/>
    <w:rsid w:val="00DB3D98"/>
    <w:rsid w:val="00DB68A2"/>
    <w:rsid w:val="00DC1686"/>
    <w:rsid w:val="00DD04CD"/>
    <w:rsid w:val="00DD750C"/>
    <w:rsid w:val="00DE67AF"/>
    <w:rsid w:val="00DE76CE"/>
    <w:rsid w:val="00DF11EF"/>
    <w:rsid w:val="00E0436E"/>
    <w:rsid w:val="00E10464"/>
    <w:rsid w:val="00E1299C"/>
    <w:rsid w:val="00E1324A"/>
    <w:rsid w:val="00E15466"/>
    <w:rsid w:val="00E159D1"/>
    <w:rsid w:val="00E15A9B"/>
    <w:rsid w:val="00E2297B"/>
    <w:rsid w:val="00E23015"/>
    <w:rsid w:val="00E27125"/>
    <w:rsid w:val="00E34666"/>
    <w:rsid w:val="00E37210"/>
    <w:rsid w:val="00E41162"/>
    <w:rsid w:val="00E4467E"/>
    <w:rsid w:val="00E701E9"/>
    <w:rsid w:val="00E87150"/>
    <w:rsid w:val="00E87CDD"/>
    <w:rsid w:val="00EA21B3"/>
    <w:rsid w:val="00EB697A"/>
    <w:rsid w:val="00EC30B3"/>
    <w:rsid w:val="00EC3248"/>
    <w:rsid w:val="00EC5FC1"/>
    <w:rsid w:val="00ED3F60"/>
    <w:rsid w:val="00ED48FC"/>
    <w:rsid w:val="00ED4A77"/>
    <w:rsid w:val="00EE14EC"/>
    <w:rsid w:val="00EE3818"/>
    <w:rsid w:val="00EE5EA8"/>
    <w:rsid w:val="00EE7A2D"/>
    <w:rsid w:val="00EF4146"/>
    <w:rsid w:val="00EF7869"/>
    <w:rsid w:val="00F03112"/>
    <w:rsid w:val="00F0378C"/>
    <w:rsid w:val="00F11683"/>
    <w:rsid w:val="00F13852"/>
    <w:rsid w:val="00F23885"/>
    <w:rsid w:val="00F317F6"/>
    <w:rsid w:val="00F31C12"/>
    <w:rsid w:val="00F40616"/>
    <w:rsid w:val="00F421DB"/>
    <w:rsid w:val="00F53C59"/>
    <w:rsid w:val="00F6358A"/>
    <w:rsid w:val="00F65579"/>
    <w:rsid w:val="00F656C0"/>
    <w:rsid w:val="00F67895"/>
    <w:rsid w:val="00F7077A"/>
    <w:rsid w:val="00F73FDA"/>
    <w:rsid w:val="00F83BD0"/>
    <w:rsid w:val="00F84DE2"/>
    <w:rsid w:val="00F84EAF"/>
    <w:rsid w:val="00F85369"/>
    <w:rsid w:val="00F85B11"/>
    <w:rsid w:val="00F96DDC"/>
    <w:rsid w:val="00FA1958"/>
    <w:rsid w:val="00FA535A"/>
    <w:rsid w:val="00FA5961"/>
    <w:rsid w:val="00FA7924"/>
    <w:rsid w:val="00FB2BDC"/>
    <w:rsid w:val="00FB63C8"/>
    <w:rsid w:val="00FC3267"/>
    <w:rsid w:val="00FC3441"/>
    <w:rsid w:val="00FD1DD4"/>
    <w:rsid w:val="00FE23EE"/>
    <w:rsid w:val="00FE7EAD"/>
    <w:rsid w:val="00FE7F6E"/>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9D115A"/>
    <w:pPr>
      <w:numPr>
        <w:ilvl w:val="1"/>
      </w:numPr>
      <w:spacing w:before="360" w:after="24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9D115A"/>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 w:type="character" w:customStyle="1" w:styleId="w8qarf">
    <w:name w:val="w8qarf"/>
    <w:basedOn w:val="Policepardfaut"/>
    <w:rsid w:val="00950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156458173">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827750256">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7798542">
      <w:bodyDiv w:val="1"/>
      <w:marLeft w:val="0"/>
      <w:marRight w:val="0"/>
      <w:marTop w:val="0"/>
      <w:marBottom w:val="0"/>
      <w:divBdr>
        <w:top w:val="none" w:sz="0" w:space="0" w:color="auto"/>
        <w:left w:val="none" w:sz="0" w:space="0" w:color="auto"/>
        <w:bottom w:val="none" w:sz="0" w:space="0" w:color="auto"/>
        <w:right w:val="none" w:sz="0" w:space="0" w:color="auto"/>
      </w:divBdr>
      <w:divsChild>
        <w:div w:id="681012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aps/place/data=!4m2!3m1!1s0x47e676e2f0f0a97d:0xf77add62a870ba4f?sa=X&amp;ved=1t:8290&amp;ictx=1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horus-pro.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F4AF5"/>
    <w:rsid w:val="00217225"/>
    <w:rsid w:val="0025626B"/>
    <w:rsid w:val="00350F01"/>
    <w:rsid w:val="00380F5D"/>
    <w:rsid w:val="003D5BEF"/>
    <w:rsid w:val="003F69EB"/>
    <w:rsid w:val="004C59D0"/>
    <w:rsid w:val="005444AB"/>
    <w:rsid w:val="00752515"/>
    <w:rsid w:val="00770674"/>
    <w:rsid w:val="00884449"/>
    <w:rsid w:val="009A04D7"/>
    <w:rsid w:val="009F6DFD"/>
    <w:rsid w:val="00B06B50"/>
    <w:rsid w:val="00B941F8"/>
    <w:rsid w:val="00BC6F7C"/>
    <w:rsid w:val="00D5400C"/>
    <w:rsid w:val="00DE71F8"/>
    <w:rsid w:val="00F14CB3"/>
    <w:rsid w:val="00F66E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317231A287B04521BA88C21CB71518651">
    <w:name w:val="317231A287B04521BA88C21CB71518651"/>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ACE18AA-37F9-4E79-8AB3-C45DCC424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19</TotalTime>
  <Pages>19</Pages>
  <Words>6838</Words>
  <Characters>41238</Characters>
  <Application>Microsoft Office Word</Application>
  <DocSecurity>0</DocSecurity>
  <Lines>343</Lines>
  <Paragraphs>95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MAPA type</vt:lpstr>
      <vt:lpstr>MAPA type</vt:lpstr>
    </vt:vector>
  </TitlesOfParts>
  <Company>INRA</Company>
  <LinksUpToDate>false</LinksUpToDate>
  <CharactersWithSpaces>47981</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Corinne Berthezene</cp:lastModifiedBy>
  <cp:revision>11</cp:revision>
  <cp:lastPrinted>2021-11-22T15:07:00Z</cp:lastPrinted>
  <dcterms:created xsi:type="dcterms:W3CDTF">2025-01-15T15:11:00Z</dcterms:created>
  <dcterms:modified xsi:type="dcterms:W3CDTF">2025-01-15T16:01:00Z</dcterms:modified>
</cp:coreProperties>
</file>