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w:t>
      </w:r>
      <w:proofErr w:type="gramStart"/>
      <w:r>
        <w:rPr>
          <w:rFonts w:ascii="Arial" w:hAnsi="Arial" w:cs="Arial"/>
          <w:b w:val="0"/>
          <w:bCs w:val="0"/>
          <w:i/>
          <w:iCs/>
          <w:sz w:val="18"/>
          <w:szCs w:val="18"/>
        </w:rPr>
        <w:t>marchés</w:t>
      </w:r>
      <w:proofErr w:type="gramEnd"/>
      <w:r>
        <w:rPr>
          <w:rFonts w:ascii="Arial" w:hAnsi="Arial" w:cs="Arial"/>
          <w:b w:val="0"/>
          <w:bCs w:val="0"/>
          <w:i/>
          <w:iCs/>
          <w:sz w:val="18"/>
          <w:szCs w:val="18"/>
        </w:rPr>
        <w:t xml:space="preserve"> ou accords-cadres) pour présenter leur candidature.</w:t>
      </w:r>
    </w:p>
    <w:p w14:paraId="4DC57252" w14:textId="77777777" w:rsidR="00FF6F8F" w:rsidRPr="00062B95" w:rsidRDefault="00FF6F8F" w:rsidP="00110A5E">
      <w:pPr>
        <w:pStyle w:val="Titre2"/>
        <w:jc w:val="both"/>
        <w:rPr>
          <w:rFonts w:ascii="Arial" w:hAnsi="Arial" w:cs="Arial"/>
          <w:i/>
          <w:iCs/>
          <w:color w:val="FF0000"/>
          <w:sz w:val="18"/>
          <w:szCs w:val="18"/>
        </w:rPr>
      </w:pPr>
      <w:r w:rsidRPr="00062B95">
        <w:rPr>
          <w:rFonts w:ascii="Arial" w:hAnsi="Arial" w:cs="Arial"/>
          <w:i/>
          <w:iCs/>
          <w:color w:val="FF0000"/>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20322A"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D7788F" w:rsidRDefault="00D10752" w:rsidP="000F5A82">
      <w:pPr>
        <w:rPr>
          <w:rFonts w:ascii="Arial" w:hAnsi="Arial" w:cs="Arial"/>
          <w:b/>
          <w:bCs/>
          <w:sz w:val="12"/>
          <w:szCs w:val="12"/>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44FFAEDF" w14:textId="77777777"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p w14:paraId="1FE4742F" w14:textId="77777777" w:rsidR="00F941DA" w:rsidRPr="006C2B9A" w:rsidRDefault="00F941DA" w:rsidP="00F941DA">
      <w:pPr>
        <w:pStyle w:val="En-tte"/>
        <w:rPr>
          <w:rFonts w:ascii="Arial" w:hAnsi="Arial" w:cs="Arial"/>
          <w:b/>
        </w:rPr>
      </w:pPr>
      <w:r w:rsidRPr="006C2B9A">
        <w:rPr>
          <w:rFonts w:ascii="Arial" w:hAnsi="Arial" w:cs="Arial"/>
          <w:b/>
        </w:rPr>
        <w:t>Établissement public administratif de l’Etat.</w:t>
      </w:r>
    </w:p>
    <w:bookmarkEnd w:id="0"/>
    <w:bookmarkEnd w:id="2"/>
    <w:p w14:paraId="231723C5" w14:textId="77777777" w:rsidR="00F941DA" w:rsidRPr="00CA7F3E" w:rsidRDefault="00F941DA" w:rsidP="00F941DA">
      <w:pPr>
        <w:pStyle w:val="En-tte"/>
        <w:tabs>
          <w:tab w:val="clear" w:pos="4536"/>
          <w:tab w:val="clear" w:pos="9072"/>
        </w:tabs>
        <w:rPr>
          <w:rFonts w:ascii="Arial" w:hAnsi="Arial" w:cs="Arial"/>
          <w:sz w:val="12"/>
          <w:szCs w:val="12"/>
        </w:rPr>
      </w:pPr>
    </w:p>
    <w:p w14:paraId="546B0EF0" w14:textId="77777777" w:rsidR="000B5B32" w:rsidRDefault="000B5B32" w:rsidP="000B5B32">
      <w:pPr>
        <w:suppressAutoHyphens w:val="0"/>
        <w:ind w:left="1304" w:right="-201"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672CFC">
        <w:rPr>
          <w:rFonts w:ascii="Arial" w:hAnsi="Arial" w:cs="Arial"/>
          <w:b/>
          <w:bCs/>
        </w:rPr>
        <w:t xml:space="preserve">Procédure adaptée ouverte </w:t>
      </w:r>
      <w:r w:rsidRPr="007B2C08">
        <w:rPr>
          <w:rFonts w:ascii="Arial" w:hAnsi="Arial" w:cs="Arial"/>
          <w:color w:val="000000"/>
        </w:rPr>
        <w:t xml:space="preserve">en application des articles </w:t>
      </w:r>
      <w:r w:rsidRPr="009912FF">
        <w:rPr>
          <w:rFonts w:ascii="Arial" w:hAnsi="Arial" w:cs="Arial"/>
          <w:color w:val="000000"/>
        </w:rPr>
        <w:t xml:space="preserve">L.2123-1 et R.2123-1 3° </w:t>
      </w:r>
    </w:p>
    <w:p w14:paraId="2A28E7ED" w14:textId="77777777" w:rsidR="000B5B32" w:rsidRDefault="000B5B32" w:rsidP="000B5B32">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proofErr w:type="gramStart"/>
      <w:r w:rsidRPr="009912FF">
        <w:rPr>
          <w:rFonts w:ascii="Arial" w:hAnsi="Arial" w:cs="Arial"/>
          <w:color w:val="000000"/>
        </w:rPr>
        <w:t>du</w:t>
      </w:r>
      <w:proofErr w:type="gramEnd"/>
      <w:r w:rsidRPr="009912FF">
        <w:rPr>
          <w:rFonts w:ascii="Arial" w:hAnsi="Arial" w:cs="Arial"/>
          <w:color w:val="000000"/>
        </w:rPr>
        <w:t xml:space="preserve"> Code de la commande publique.</w:t>
      </w:r>
    </w:p>
    <w:p w14:paraId="7E5647A9" w14:textId="77777777" w:rsidR="000B5B32" w:rsidRPr="002C2A17" w:rsidRDefault="000B5B32" w:rsidP="000B5B32">
      <w:pPr>
        <w:suppressAutoHyphens w:val="0"/>
        <w:ind w:left="1304" w:right="-201" w:hanging="1304"/>
        <w:rPr>
          <w:b/>
          <w:bCs/>
        </w:rPr>
      </w:pPr>
    </w:p>
    <w:p w14:paraId="4F08130F" w14:textId="77777777" w:rsidR="000B5B32" w:rsidRDefault="000B5B32" w:rsidP="000B5B32">
      <w:pPr>
        <w:pStyle w:val="ParagrapheIndent2"/>
        <w:ind w:left="993" w:right="-484" w:hanging="993"/>
        <w:rPr>
          <w:b/>
          <w:bCs/>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Marché ordinaire</w:t>
      </w:r>
      <w:r w:rsidRPr="002C2A17">
        <w:rPr>
          <w:b/>
          <w:bCs/>
          <w:color w:val="000000"/>
          <w:lang w:val="fr-FR"/>
        </w:rPr>
        <w:t xml:space="preserve"> </w:t>
      </w:r>
    </w:p>
    <w:p w14:paraId="0C1708DA" w14:textId="77777777" w:rsidR="008E2F43" w:rsidRPr="00FF0F5A" w:rsidRDefault="008E2F43" w:rsidP="007B2C08">
      <w:pPr>
        <w:ind w:right="-58"/>
        <w:jc w:val="both"/>
        <w:rPr>
          <w:rFonts w:ascii="Arial" w:hAnsi="Arial" w:cs="Arial"/>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6F25F00" w14:textId="77777777" w:rsidR="00E64749" w:rsidRPr="00AE066D" w:rsidRDefault="00E64749" w:rsidP="00E64749">
      <w:pPr>
        <w:rPr>
          <w:rFonts w:ascii="Arial" w:hAnsi="Arial" w:cs="Arial"/>
        </w:rPr>
      </w:pPr>
    </w:p>
    <w:p w14:paraId="35B09188" w14:textId="77777777" w:rsidR="000B5B32" w:rsidRPr="000B5B32" w:rsidRDefault="000B5B32" w:rsidP="000B5B32">
      <w:pPr>
        <w:jc w:val="center"/>
        <w:rPr>
          <w:rFonts w:ascii="Arial" w:hAnsi="Arial" w:cs="Arial"/>
          <w:b/>
          <w:color w:val="0000FF"/>
          <w:sz w:val="28"/>
          <w:szCs w:val="28"/>
        </w:rPr>
      </w:pPr>
      <w:bookmarkStart w:id="3" w:name="_Hlk146898641"/>
      <w:bookmarkStart w:id="4" w:name="_Hlk164243497"/>
      <w:r w:rsidRPr="000B5B32">
        <w:rPr>
          <w:rFonts w:ascii="Arial" w:hAnsi="Arial" w:cs="Arial"/>
          <w:b/>
          <w:color w:val="0000FF"/>
          <w:sz w:val="28"/>
          <w:szCs w:val="28"/>
        </w:rPr>
        <w:t xml:space="preserve">Mission d’assistance à la définition </w:t>
      </w:r>
    </w:p>
    <w:p w14:paraId="51CBE77F" w14:textId="77777777" w:rsidR="000B5B32" w:rsidRPr="000B5B32" w:rsidRDefault="000B5B32" w:rsidP="000B5B32">
      <w:pPr>
        <w:jc w:val="center"/>
        <w:rPr>
          <w:rFonts w:ascii="Arial" w:hAnsi="Arial" w:cs="Arial"/>
          <w:b/>
          <w:color w:val="0000FF"/>
          <w:sz w:val="28"/>
          <w:szCs w:val="28"/>
        </w:rPr>
      </w:pPr>
      <w:proofErr w:type="gramStart"/>
      <w:r w:rsidRPr="000B5B32">
        <w:rPr>
          <w:rFonts w:ascii="Arial" w:hAnsi="Arial" w:cs="Arial"/>
          <w:b/>
          <w:color w:val="0000FF"/>
          <w:sz w:val="28"/>
          <w:szCs w:val="28"/>
        </w:rPr>
        <w:t>d’une</w:t>
      </w:r>
      <w:proofErr w:type="gramEnd"/>
      <w:r w:rsidRPr="000B5B32">
        <w:rPr>
          <w:rFonts w:ascii="Arial" w:hAnsi="Arial" w:cs="Arial"/>
          <w:b/>
          <w:color w:val="0000FF"/>
          <w:sz w:val="28"/>
          <w:szCs w:val="28"/>
        </w:rPr>
        <w:t xml:space="preserve"> stratégie relative à l’évolution des locaux </w:t>
      </w:r>
    </w:p>
    <w:p w14:paraId="167CCBDB" w14:textId="77777777" w:rsidR="000B5B32" w:rsidRPr="000B5B32" w:rsidRDefault="000B5B32" w:rsidP="000B5B32">
      <w:pPr>
        <w:jc w:val="center"/>
        <w:rPr>
          <w:rFonts w:ascii="Arial" w:hAnsi="Arial" w:cs="Arial"/>
          <w:b/>
          <w:color w:val="0000FF"/>
          <w:sz w:val="28"/>
          <w:szCs w:val="28"/>
        </w:rPr>
      </w:pPr>
      <w:proofErr w:type="gramStart"/>
      <w:r w:rsidRPr="000B5B32">
        <w:rPr>
          <w:rFonts w:ascii="Arial" w:hAnsi="Arial" w:cs="Arial"/>
          <w:b/>
          <w:color w:val="0000FF"/>
          <w:sz w:val="28"/>
          <w:szCs w:val="28"/>
        </w:rPr>
        <w:t>de</w:t>
      </w:r>
      <w:proofErr w:type="gramEnd"/>
      <w:r w:rsidRPr="000B5B32">
        <w:rPr>
          <w:rFonts w:ascii="Arial" w:hAnsi="Arial" w:cs="Arial"/>
          <w:b/>
          <w:color w:val="0000FF"/>
          <w:sz w:val="28"/>
          <w:szCs w:val="28"/>
        </w:rPr>
        <w:t xml:space="preserve"> la CCI Alsace Eurométropole </w:t>
      </w:r>
    </w:p>
    <w:p w14:paraId="327F543C" w14:textId="77777777" w:rsidR="000B5B32" w:rsidRDefault="000B5B32" w:rsidP="000B5B32">
      <w:pPr>
        <w:jc w:val="center"/>
        <w:rPr>
          <w:rFonts w:ascii="Arial" w:hAnsi="Arial" w:cs="Arial"/>
          <w:b/>
          <w:color w:val="0000FF"/>
          <w:sz w:val="28"/>
          <w:szCs w:val="28"/>
        </w:rPr>
      </w:pPr>
      <w:proofErr w:type="gramStart"/>
      <w:r w:rsidRPr="000B5B32">
        <w:rPr>
          <w:rFonts w:ascii="Arial" w:hAnsi="Arial" w:cs="Arial"/>
          <w:b/>
          <w:color w:val="0000FF"/>
          <w:sz w:val="28"/>
          <w:szCs w:val="28"/>
        </w:rPr>
        <w:t>sur</w:t>
      </w:r>
      <w:proofErr w:type="gramEnd"/>
      <w:r w:rsidRPr="000B5B32">
        <w:rPr>
          <w:rFonts w:ascii="Arial" w:hAnsi="Arial" w:cs="Arial"/>
          <w:b/>
          <w:color w:val="0000FF"/>
          <w:sz w:val="28"/>
          <w:szCs w:val="28"/>
        </w:rPr>
        <w:t xml:space="preserve"> les sites de Colmar et Mulhouse</w:t>
      </w:r>
    </w:p>
    <w:bookmarkEnd w:id="3"/>
    <w:p w14:paraId="109D881A" w14:textId="030A71CA" w:rsidR="00E9224A" w:rsidRDefault="000B5B32" w:rsidP="00E64749">
      <w:pPr>
        <w:ind w:left="1418" w:right="1398"/>
        <w:jc w:val="center"/>
        <w:rPr>
          <w:rFonts w:ascii="Arial" w:hAnsi="Arial" w:cs="Arial"/>
          <w:b/>
          <w:bCs/>
          <w:sz w:val="22"/>
          <w:szCs w:val="22"/>
        </w:rPr>
      </w:pPr>
      <w:r w:rsidRPr="000B5B32">
        <w:rPr>
          <w:rFonts w:ascii="Arial" w:hAnsi="Arial" w:cs="Arial"/>
          <w:b/>
          <w:bCs/>
          <w:sz w:val="22"/>
          <w:szCs w:val="22"/>
        </w:rPr>
        <w:t>Consultation n°2025/CONSU/04 du 16 janvier 2025</w:t>
      </w:r>
    </w:p>
    <w:p w14:paraId="4084AE41" w14:textId="77777777" w:rsidR="000B5B32" w:rsidRPr="00FF0F5A" w:rsidRDefault="000B5B32" w:rsidP="00E64749">
      <w:pPr>
        <w:ind w:left="1418" w:right="1398"/>
        <w:jc w:val="center"/>
        <w:rPr>
          <w:rFonts w:ascii="Arial" w:eastAsia="Trebuchet MS" w:hAnsi="Arial" w:cs="Arial"/>
          <w:b/>
          <w:color w:val="0000FF"/>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4"/>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5669E3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072B2DA5" w14:textId="77777777" w:rsidR="00062B95" w:rsidRPr="008E2F43" w:rsidRDefault="00062B95" w:rsidP="00062B95">
      <w:pPr>
        <w:pStyle w:val="Titre1"/>
        <w:ind w:left="0" w:hanging="432"/>
        <w:rPr>
          <w:rFonts w:ascii="Arial" w:hAnsi="Arial" w:cs="Arial"/>
          <w:b w:val="0"/>
          <w:bCs w:val="0"/>
          <w:sz w:val="14"/>
          <w:szCs w:val="14"/>
        </w:rPr>
      </w:pPr>
    </w:p>
    <w:p w14:paraId="1E82C538" w14:textId="77777777" w:rsidR="00062B95" w:rsidRDefault="00062B95" w:rsidP="00062B95">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9D4CA9D" w14:textId="77777777" w:rsidR="00062B95" w:rsidRPr="00D7788F" w:rsidRDefault="00062B95" w:rsidP="00062B95">
      <w:pPr>
        <w:pStyle w:val="En-tte"/>
        <w:tabs>
          <w:tab w:val="clear" w:pos="4536"/>
          <w:tab w:val="clear" w:pos="9072"/>
        </w:tabs>
        <w:rPr>
          <w:rFonts w:ascii="Arial" w:hAnsi="Arial" w:cs="Arial"/>
          <w:sz w:val="16"/>
          <w:szCs w:val="16"/>
        </w:rPr>
      </w:pPr>
    </w:p>
    <w:p w14:paraId="136DB7A3" w14:textId="77777777" w:rsidR="00062B95" w:rsidRDefault="00062B95" w:rsidP="00062B95">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de</w:t>
      </w:r>
      <w:proofErr w:type="gramEnd"/>
      <w:r>
        <w:rPr>
          <w:rFonts w:ascii="Arial" w:hAnsi="Arial" w:cs="Arial"/>
        </w:rPr>
        <w:t xml:space="preserve"> la procédure de passation du marché public </w:t>
      </w:r>
    </w:p>
    <w:p w14:paraId="732AB071" w14:textId="77777777" w:rsidR="00062B95" w:rsidRDefault="00062B95" w:rsidP="006B0D30">
      <w:pPr>
        <w:ind w:left="851" w:right="792"/>
        <w:jc w:val="both"/>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4B61CE5" w14:textId="77777777" w:rsidR="00B95DC6" w:rsidRDefault="00B95DC6">
      <w:pPr>
        <w:suppressAutoHyphens w:val="0"/>
      </w:pPr>
      <w:r>
        <w:br w:type="page"/>
      </w: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56463895" w14:textId="77777777" w:rsidR="00E551D6" w:rsidRPr="000F5A82" w:rsidRDefault="00E551D6" w:rsidP="00F06630">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670A700F"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4171FB06" w14:textId="77777777" w:rsidR="00772F7B" w:rsidRDefault="00772F7B" w:rsidP="00772F7B">
      <w:pPr>
        <w:rPr>
          <w:rFonts w:ascii="Arial" w:hAnsi="Arial" w:cs="Arial"/>
          <w:b/>
          <w:bCs/>
        </w:rPr>
      </w:pPr>
    </w:p>
    <w:p w14:paraId="4CB7F889" w14:textId="77777777" w:rsidR="00772F7B" w:rsidRDefault="00772F7B" w:rsidP="00110A5E">
      <w:pPr>
        <w:tabs>
          <w:tab w:val="left" w:pos="576"/>
        </w:tabs>
        <w:spacing w:before="80"/>
        <w:ind w:right="367"/>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48C67410" w14:textId="77777777" w:rsidR="00772F7B" w:rsidRDefault="00772F7B" w:rsidP="00FF6F8F">
      <w:pPr>
        <w:jc w:val="both"/>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59246079" w14:textId="77777777" w:rsidR="00FF6F8F" w:rsidRDefault="00FF6F8F" w:rsidP="00FF6F8F"/>
    <w:p w14:paraId="6395F26C" w14:textId="77777777" w:rsidR="00FF6F8F" w:rsidRDefault="00FF6F8F" w:rsidP="00FF6F8F"/>
    <w:p w14:paraId="0A820BBA" w14:textId="77777777" w:rsidR="00772F7B" w:rsidRDefault="00772F7B" w:rsidP="00FF6F8F"/>
    <w:p w14:paraId="3A08A707" w14:textId="77777777" w:rsidR="00772F7B" w:rsidRDefault="00772F7B" w:rsidP="00FF6F8F"/>
    <w:p w14:paraId="78FC83D1" w14:textId="77777777" w:rsidR="00772F7B" w:rsidRDefault="00772F7B" w:rsidP="00FF6F8F"/>
    <w:p w14:paraId="0A59E5AF" w14:textId="77777777" w:rsidR="00772F7B" w:rsidRDefault="00772F7B" w:rsidP="00FF6F8F"/>
    <w:p w14:paraId="35CD2EAF" w14:textId="77777777" w:rsidR="00772F7B" w:rsidRDefault="00772F7B" w:rsidP="00FF6F8F"/>
    <w:p w14:paraId="1B84CDB0" w14:textId="77777777" w:rsidR="00772F7B" w:rsidRDefault="00772F7B" w:rsidP="00FF6F8F"/>
    <w:p w14:paraId="50D391CF" w14:textId="77777777" w:rsidR="00772F7B" w:rsidRDefault="00772F7B" w:rsidP="00FF6F8F"/>
    <w:p w14:paraId="5F8D86DE" w14:textId="77777777" w:rsidR="00B95DC6" w:rsidRDefault="00005F08" w:rsidP="00FF6F8F">
      <w:r>
        <w:t>..</w:t>
      </w:r>
    </w:p>
    <w:sectPr w:rsidR="00B95DC6"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83B84" w14:textId="77777777" w:rsidR="00F941DA" w:rsidRDefault="00F941DA">
      <w:r>
        <w:separator/>
      </w:r>
    </w:p>
  </w:endnote>
  <w:endnote w:type="continuationSeparator" w:id="0">
    <w:p w14:paraId="2932A3AA" w14:textId="77777777" w:rsidR="00F941DA" w:rsidRDefault="00F9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45DCD138"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0B5B32">
      <w:rPr>
        <w:rFonts w:ascii="Arial" w:hAnsi="Arial" w:cs="Arial"/>
        <w:b/>
        <w:color w:val="FFFFFF"/>
      </w:rPr>
      <w:t>5</w:t>
    </w:r>
    <w:r>
      <w:rPr>
        <w:rFonts w:ascii="Arial" w:hAnsi="Arial" w:cs="Arial"/>
        <w:b/>
        <w:color w:val="FFFFFF"/>
      </w:rPr>
      <w:t>/CONSU/</w:t>
    </w:r>
    <w:r w:rsidR="00FF0F5A">
      <w:rPr>
        <w:rFonts w:ascii="Arial" w:hAnsi="Arial" w:cs="Arial"/>
        <w:b/>
        <w:color w:val="FFFFFF"/>
      </w:rPr>
      <w:t>0</w:t>
    </w:r>
    <w:r w:rsidR="000B5B32">
      <w:rPr>
        <w:rFonts w:ascii="Arial" w:hAnsi="Arial" w:cs="Arial"/>
        <w:b/>
        <w:color w:val="FFFFFF"/>
      </w:rPr>
      <w:t>4</w:t>
    </w:r>
    <w:r>
      <w:rPr>
        <w:rFonts w:ascii="Arial" w:hAnsi="Arial" w:cs="Arial"/>
        <w:b/>
        <w:color w:val="FFFFFF"/>
      </w:rPr>
      <w:t xml:space="preserve"> </w:t>
    </w:r>
    <w:r w:rsidRPr="00AE4460">
      <w:rPr>
        <w:rFonts w:ascii="Arial" w:hAnsi="Arial" w:cs="Arial"/>
        <w:b/>
        <w:color w:val="FFFFFF"/>
      </w:rPr>
      <w:t>du</w:t>
    </w:r>
    <w:r>
      <w:rPr>
        <w:rFonts w:ascii="Arial" w:hAnsi="Arial" w:cs="Arial"/>
        <w:b/>
        <w:color w:val="FFFFFF"/>
      </w:rPr>
      <w:t> </w:t>
    </w:r>
    <w:r w:rsidR="000B5B32">
      <w:rPr>
        <w:rFonts w:ascii="Arial" w:hAnsi="Arial" w:cs="Arial"/>
        <w:b/>
        <w:color w:val="FFFFFF"/>
      </w:rPr>
      <w:t>16 janvier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0A91" w14:textId="77777777" w:rsidR="00F941DA" w:rsidRDefault="00F941DA">
      <w:r>
        <w:separator/>
      </w:r>
    </w:p>
  </w:footnote>
  <w:footnote w:type="continuationSeparator" w:id="0">
    <w:p w14:paraId="48A856AA" w14:textId="77777777" w:rsidR="00F941DA" w:rsidRDefault="00F941DA">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9" type="#_x0000_t75" style="width:14.4pt;height:14.4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8"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5"/>
  </w:num>
  <w:num w:numId="12" w16cid:durableId="1835143130">
    <w:abstractNumId w:val="12"/>
  </w:num>
  <w:num w:numId="13" w16cid:durableId="1691569631">
    <w:abstractNumId w:val="8"/>
  </w:num>
  <w:num w:numId="14" w16cid:durableId="636909080">
    <w:abstractNumId w:val="7"/>
  </w:num>
  <w:num w:numId="15" w16cid:durableId="1394234416">
    <w:abstractNumId w:val="9"/>
  </w:num>
  <w:num w:numId="16" w16cid:durableId="252318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62B95"/>
    <w:rsid w:val="000B5B32"/>
    <w:rsid w:val="000C76B0"/>
    <w:rsid w:val="000E6FE4"/>
    <w:rsid w:val="000F5A82"/>
    <w:rsid w:val="00110A5E"/>
    <w:rsid w:val="00136E4B"/>
    <w:rsid w:val="00163E14"/>
    <w:rsid w:val="001A35E9"/>
    <w:rsid w:val="001A42E1"/>
    <w:rsid w:val="001C2556"/>
    <w:rsid w:val="001C3239"/>
    <w:rsid w:val="00267E53"/>
    <w:rsid w:val="0029536A"/>
    <w:rsid w:val="002A591A"/>
    <w:rsid w:val="002B4073"/>
    <w:rsid w:val="002C2A17"/>
    <w:rsid w:val="002D273A"/>
    <w:rsid w:val="003038BD"/>
    <w:rsid w:val="00353F38"/>
    <w:rsid w:val="003754EE"/>
    <w:rsid w:val="00386A8D"/>
    <w:rsid w:val="003C374B"/>
    <w:rsid w:val="003F7CC4"/>
    <w:rsid w:val="0041730E"/>
    <w:rsid w:val="00432D3C"/>
    <w:rsid w:val="0043601A"/>
    <w:rsid w:val="00457E83"/>
    <w:rsid w:val="00474C4C"/>
    <w:rsid w:val="004D44EB"/>
    <w:rsid w:val="0052778F"/>
    <w:rsid w:val="005F2F62"/>
    <w:rsid w:val="00633F9D"/>
    <w:rsid w:val="00682131"/>
    <w:rsid w:val="006B0D30"/>
    <w:rsid w:val="006E036E"/>
    <w:rsid w:val="00733342"/>
    <w:rsid w:val="00772F7B"/>
    <w:rsid w:val="00774652"/>
    <w:rsid w:val="00795050"/>
    <w:rsid w:val="007B2C08"/>
    <w:rsid w:val="007C10BB"/>
    <w:rsid w:val="008233BB"/>
    <w:rsid w:val="00843EA7"/>
    <w:rsid w:val="008538E7"/>
    <w:rsid w:val="00861860"/>
    <w:rsid w:val="008823C9"/>
    <w:rsid w:val="008E2F43"/>
    <w:rsid w:val="008F355B"/>
    <w:rsid w:val="00900632"/>
    <w:rsid w:val="009226E1"/>
    <w:rsid w:val="009252F7"/>
    <w:rsid w:val="00984C97"/>
    <w:rsid w:val="00990FBE"/>
    <w:rsid w:val="009A4F5F"/>
    <w:rsid w:val="009C2AF0"/>
    <w:rsid w:val="009D2BC4"/>
    <w:rsid w:val="00A019CF"/>
    <w:rsid w:val="00A0282E"/>
    <w:rsid w:val="00A10DE7"/>
    <w:rsid w:val="00A111F0"/>
    <w:rsid w:val="00AE4460"/>
    <w:rsid w:val="00AE6787"/>
    <w:rsid w:val="00B017BE"/>
    <w:rsid w:val="00B51008"/>
    <w:rsid w:val="00B77F18"/>
    <w:rsid w:val="00B83585"/>
    <w:rsid w:val="00B95DC6"/>
    <w:rsid w:val="00BB4365"/>
    <w:rsid w:val="00C9306D"/>
    <w:rsid w:val="00CA7F3E"/>
    <w:rsid w:val="00CB762A"/>
    <w:rsid w:val="00CB7919"/>
    <w:rsid w:val="00CC75B4"/>
    <w:rsid w:val="00CF037C"/>
    <w:rsid w:val="00D10752"/>
    <w:rsid w:val="00D43034"/>
    <w:rsid w:val="00D44BD8"/>
    <w:rsid w:val="00D474FB"/>
    <w:rsid w:val="00D6107C"/>
    <w:rsid w:val="00D61B9A"/>
    <w:rsid w:val="00D7788F"/>
    <w:rsid w:val="00D82B78"/>
    <w:rsid w:val="00D84AFF"/>
    <w:rsid w:val="00D92121"/>
    <w:rsid w:val="00DD135D"/>
    <w:rsid w:val="00DF7347"/>
    <w:rsid w:val="00E00AEC"/>
    <w:rsid w:val="00E07DDD"/>
    <w:rsid w:val="00E346FA"/>
    <w:rsid w:val="00E551D6"/>
    <w:rsid w:val="00E64749"/>
    <w:rsid w:val="00E87C56"/>
    <w:rsid w:val="00E9224A"/>
    <w:rsid w:val="00EB1971"/>
    <w:rsid w:val="00EE72DE"/>
    <w:rsid w:val="00F162BE"/>
    <w:rsid w:val="00F167AD"/>
    <w:rsid w:val="00F43BBC"/>
    <w:rsid w:val="00F71F12"/>
    <w:rsid w:val="00F85387"/>
    <w:rsid w:val="00F8648D"/>
    <w:rsid w:val="00F941DA"/>
    <w:rsid w:val="00FA25DC"/>
    <w:rsid w:val="00FF0F5A"/>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aliases w:val="destinatair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ParagraphedelisteCar">
    <w:name w:val="Paragraphe de liste Car"/>
    <w:basedOn w:val="Policepardfaut"/>
    <w:link w:val="Paragraphedeliste"/>
    <w:uiPriority w:val="34"/>
    <w:rsid w:val="008E2F43"/>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11</TotalTime>
  <Pages>5</Pages>
  <Words>2159</Words>
  <Characters>11877</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14008</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17</cp:revision>
  <cp:lastPrinted>2023-09-26T08:15:00Z</cp:lastPrinted>
  <dcterms:created xsi:type="dcterms:W3CDTF">2024-07-18T10:09:00Z</dcterms:created>
  <dcterms:modified xsi:type="dcterms:W3CDTF">2025-01-14T12:11:00Z</dcterms:modified>
</cp:coreProperties>
</file>