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A2172" w14:textId="70C3C072" w:rsidR="003114BE" w:rsidRDefault="003114BE"/>
    <w:sdt>
      <w:sdtPr>
        <w:id w:val="-2061236695"/>
        <w:docPartObj>
          <w:docPartGallery w:val="Cover Pages"/>
          <w:docPartUnique/>
        </w:docPartObj>
      </w:sdtPr>
      <w:sdtEndPr/>
      <w:sdtContent>
        <w:p w14:paraId="1B31E669" w14:textId="20BAD64B" w:rsidR="00F94A94" w:rsidRDefault="00233CBF">
          <w:r>
            <w:rPr>
              <w:noProof/>
              <w:lang w:eastAsia="fr-FR"/>
            </w:rPr>
            <mc:AlternateContent>
              <mc:Choice Requires="wps">
                <w:drawing>
                  <wp:anchor distT="0" distB="0" distL="114300" distR="114300" simplePos="0" relativeHeight="251661824" behindDoc="0" locked="0" layoutInCell="1" allowOverlap="1" wp14:anchorId="73677934" wp14:editId="52AE9FAF">
                    <wp:simplePos x="0" y="0"/>
                    <wp:positionH relativeFrom="margin">
                      <wp:posOffset>-553286</wp:posOffset>
                    </wp:positionH>
                    <wp:positionV relativeFrom="page">
                      <wp:posOffset>981777</wp:posOffset>
                    </wp:positionV>
                    <wp:extent cx="6959066" cy="1647190"/>
                    <wp:effectExtent l="19050" t="19050" r="13335" b="1016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9066" cy="1647190"/>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63191F56" w14:textId="77777777"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98102B">
                                  <w:rPr>
                                    <w:smallCaps/>
                                    <w:color w:val="FFFFFF" w:themeColor="background1"/>
                                    <w:sz w:val="28"/>
                                    <w:szCs w:val="28"/>
                                  </w:rPr>
                                  <w:t xml:space="preserve">fournitures </w:t>
                                </w:r>
                              </w:p>
                              <w:p w14:paraId="55D4191B" w14:textId="77777777"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44D40C1B" w14:textId="77777777" w:rsidR="00680BFB" w:rsidRDefault="00680BFB" w:rsidP="00AA493B">
                                <w:pPr>
                                  <w:pStyle w:val="Sansinterligne"/>
                                  <w:jc w:val="center"/>
                                </w:pPr>
                              </w:p>
                              <w:p w14:paraId="15E145D9" w14:textId="5D616CFE" w:rsidR="00680BFB" w:rsidRDefault="00B6170A" w:rsidP="00B6170A">
                                <w:pPr>
                                  <w:pStyle w:val="Sansinterligne"/>
                                  <w:jc w:val="center"/>
                                </w:pPr>
                                <w:r w:rsidRPr="00B6170A">
                                  <w:t>Passé selon la procédure d’appel d’offres ouvert en application de l’article R.2124-2-1° du code de la commande publique.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77934" id="_x0000_t202" coordsize="21600,21600" o:spt="202" path="m,l,21600r21600,l21600,xe">
                    <v:stroke joinstyle="miter"/>
                    <v:path gradientshapeok="t" o:connecttype="rect"/>
                  </v:shapetype>
                  <v:shape id="Text Box 6" o:spid="_x0000_s1026" type="#_x0000_t202" style="position:absolute;left:0;text-align:left;margin-left:-43.55pt;margin-top:77.3pt;width:547.95pt;height:129.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" fillcolor="#54849a [3208]" strokecolor="white [3201]" strokeweight="2.25pt">
                    <v:stroke endcap="round"/>
                    <v:textbox>
                      <w:txbxContent>
                        <w:p w14:paraId="63191F56" w14:textId="77777777"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98102B">
                            <w:rPr>
                              <w:smallCaps/>
                              <w:color w:val="FFFFFF" w:themeColor="background1"/>
                              <w:sz w:val="28"/>
                              <w:szCs w:val="28"/>
                            </w:rPr>
                            <w:t xml:space="preserve">fournitures </w:t>
                          </w:r>
                        </w:p>
                        <w:p w14:paraId="55D4191B" w14:textId="77777777"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44D40C1B" w14:textId="77777777" w:rsidR="00680BFB" w:rsidRDefault="00680BFB" w:rsidP="00AA493B">
                          <w:pPr>
                            <w:pStyle w:val="Sansinterligne"/>
                            <w:jc w:val="center"/>
                          </w:pPr>
                        </w:p>
                        <w:p w14:paraId="15E145D9" w14:textId="5D616CFE" w:rsidR="00680BFB" w:rsidRDefault="00B6170A" w:rsidP="00B6170A">
                          <w:pPr>
                            <w:pStyle w:val="Sansinterligne"/>
                            <w:jc w:val="center"/>
                          </w:pPr>
                          <w:r w:rsidRPr="00B6170A">
                            <w:t>Passé selon la procédure d’appel d’offres ouvert en application de l’article R.2124-2-1° du code de la commande publique.</w:t>
                          </w:r>
                        </w:p>
                      </w:txbxContent>
                    </v:textbox>
                    <w10:wrap anchorx="margin" anchory="page"/>
                  </v:shape>
                </w:pict>
              </mc:Fallback>
            </mc:AlternateContent>
          </w:r>
        </w:p>
        <w:p w14:paraId="6461155F" w14:textId="77777777" w:rsidR="00F94A94" w:rsidRDefault="00F94A94"/>
        <w:p w14:paraId="7B7DC56F" w14:textId="77777777" w:rsidR="00F94A94" w:rsidRDefault="00F94A94"/>
        <w:p w14:paraId="230C310E" w14:textId="77777777" w:rsidR="00F94A94" w:rsidRDefault="00F94A94"/>
        <w:p w14:paraId="25C2B822" w14:textId="77777777" w:rsidR="00F94A94" w:rsidRDefault="00F94A94"/>
        <w:p w14:paraId="3A1EC638" w14:textId="4AFB0C68" w:rsidR="00055BC9" w:rsidRDefault="00055BC9"/>
        <w:p w14:paraId="49A73254" w14:textId="77777777" w:rsidR="00055BC9" w:rsidRDefault="00055BC9"/>
        <w:p w14:paraId="2E428E25" w14:textId="77777777" w:rsidR="00055BC9" w:rsidRDefault="00055BC9"/>
        <w:p w14:paraId="0E248126" w14:textId="569B1390" w:rsidR="00055BC9" w:rsidRDefault="00055BC9"/>
        <w:p w14:paraId="061D1581"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52702687" w14:textId="77777777" w:rsidTr="00AA493B">
            <w:trPr>
              <w:trHeight w:val="1288"/>
            </w:trPr>
            <w:tc>
              <w:tcPr>
                <w:tcW w:w="10916" w:type="dxa"/>
                <w:gridSpan w:val="2"/>
                <w:vAlign w:val="center"/>
              </w:tcPr>
              <w:p w14:paraId="24CEB208" w14:textId="77777777" w:rsidR="00AA493B" w:rsidRDefault="00AA493B" w:rsidP="00AA493B">
                <w:pPr>
                  <w:pStyle w:val="Sous-titre"/>
                  <w:jc w:val="center"/>
                </w:pPr>
                <w:r>
                  <w:t>Établissement du service d’infrastructure de la défense de Lyon</w:t>
                </w:r>
              </w:p>
              <w:p w14:paraId="2890B147" w14:textId="77777777" w:rsidR="00AA493B" w:rsidRPr="005108C7" w:rsidRDefault="00AA493B" w:rsidP="00AA493B">
                <w:pPr>
                  <w:jc w:val="center"/>
                </w:pPr>
                <w:r w:rsidRPr="005108C7">
                  <w:t>BP 97423</w:t>
                </w:r>
              </w:p>
              <w:p w14:paraId="51EDB880" w14:textId="77777777" w:rsidR="00AA493B" w:rsidRPr="005108C7" w:rsidRDefault="00AA493B" w:rsidP="00AA493B">
                <w:pPr>
                  <w:jc w:val="center"/>
                </w:pPr>
                <w:r w:rsidRPr="005108C7">
                  <w:t>69347 LYON Cedex 07</w:t>
                </w:r>
              </w:p>
              <w:p w14:paraId="27CBD9D2" w14:textId="77777777" w:rsidR="00AA493B" w:rsidRDefault="00AA493B" w:rsidP="00AA493B">
                <w:pPr>
                  <w:jc w:val="center"/>
                </w:pPr>
                <w:r w:rsidRPr="005108C7">
                  <w:t>SIRET 13000190200274</w:t>
                </w:r>
              </w:p>
            </w:tc>
          </w:tr>
          <w:tr w:rsidR="00AA493B" w14:paraId="42C0459F" w14:textId="77777777" w:rsidTr="005108C7">
            <w:trPr>
              <w:trHeight w:val="969"/>
            </w:trPr>
            <w:tc>
              <w:tcPr>
                <w:tcW w:w="5387" w:type="dxa"/>
                <w:vAlign w:val="center"/>
              </w:tcPr>
              <w:p w14:paraId="3382EFB2" w14:textId="77777777" w:rsidR="00AA493B" w:rsidRPr="00AA493B" w:rsidRDefault="00AA493B" w:rsidP="00AA493B">
                <w:pPr>
                  <w:jc w:val="center"/>
                  <w:rPr>
                    <w:rStyle w:val="Emphaseple"/>
                    <w:sz w:val="16"/>
                    <w:szCs w:val="16"/>
                  </w:rPr>
                </w:pPr>
                <w:r w:rsidRPr="00AA493B">
                  <w:rPr>
                    <w:rStyle w:val="Emphaseple"/>
                    <w:sz w:val="16"/>
                    <w:szCs w:val="16"/>
                  </w:rPr>
                  <w:t>Personne publique habilitée par</w:t>
                </w:r>
                <w:r w:rsidR="00F8354A">
                  <w:rPr>
                    <w:rStyle w:val="Emphaseple"/>
                    <w:sz w:val="16"/>
                    <w:szCs w:val="16"/>
                  </w:rPr>
                  <w:t xml:space="preserve"> arrêté l’arrêté du 22 juin 2007</w:t>
                </w:r>
                <w:r w:rsidRPr="00AA493B">
                  <w:rPr>
                    <w:rStyle w:val="Emphaseple"/>
                    <w:sz w:val="16"/>
                    <w:szCs w:val="16"/>
                  </w:rPr>
                  <w:t xml:space="preserve"> modifié portant désignation des personnes n’appartenant pas à l’administration centrale signataires des marchés publics et accords-cadres du ministère de la défense</w:t>
                </w:r>
              </w:p>
            </w:tc>
            <w:tc>
              <w:tcPr>
                <w:tcW w:w="5529" w:type="dxa"/>
                <w:vAlign w:val="center"/>
              </w:tcPr>
              <w:p w14:paraId="413253A9" w14:textId="434E6361" w:rsidR="00AA493B" w:rsidRPr="005108C7" w:rsidRDefault="00AA493B" w:rsidP="009349A7">
                <w:pPr>
                  <w:jc w:val="center"/>
                  <w:rPr>
                    <w:sz w:val="18"/>
                    <w:szCs w:val="18"/>
                  </w:rPr>
                </w:pPr>
                <w:r w:rsidRPr="005108C7">
                  <w:rPr>
                    <w:sz w:val="18"/>
                    <w:szCs w:val="18"/>
                  </w:rPr>
                  <w:t xml:space="preserve">Monsieur le directeur </w:t>
                </w:r>
                <w:r w:rsidR="009349A7">
                  <w:rPr>
                    <w:sz w:val="18"/>
                    <w:szCs w:val="18"/>
                  </w:rPr>
                  <w:t>du Service d’Infrastructure de la Défense Sud-Est</w:t>
                </w:r>
              </w:p>
            </w:tc>
          </w:tr>
          <w:tr w:rsidR="009349A7" w14:paraId="2010A93C" w14:textId="77777777" w:rsidTr="005108C7">
            <w:trPr>
              <w:trHeight w:val="699"/>
            </w:trPr>
            <w:tc>
              <w:tcPr>
                <w:tcW w:w="5387" w:type="dxa"/>
                <w:vAlign w:val="center"/>
              </w:tcPr>
              <w:p w14:paraId="653BCCAF" w14:textId="77777777" w:rsidR="009349A7" w:rsidRPr="00AA493B" w:rsidRDefault="009349A7" w:rsidP="009349A7">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4228534E" w14:textId="58C44FB3" w:rsidR="009349A7" w:rsidRPr="005108C7" w:rsidRDefault="009349A7" w:rsidP="009349A7">
                <w:pPr>
                  <w:jc w:val="center"/>
                  <w:rPr>
                    <w:sz w:val="18"/>
                    <w:szCs w:val="18"/>
                  </w:rPr>
                </w:pPr>
                <w:r w:rsidRPr="005108C7">
                  <w:rPr>
                    <w:sz w:val="18"/>
                    <w:szCs w:val="18"/>
                  </w:rPr>
                  <w:t xml:space="preserve">Monsieur le directeur </w:t>
                </w:r>
                <w:r>
                  <w:rPr>
                    <w:sz w:val="18"/>
                    <w:szCs w:val="18"/>
                  </w:rPr>
                  <w:t>du Service d’Infrastructure de la Défense Sud-Est</w:t>
                </w:r>
              </w:p>
            </w:tc>
          </w:tr>
          <w:tr w:rsidR="00AA493B" w14:paraId="4769A3FC" w14:textId="77777777" w:rsidTr="005108C7">
            <w:trPr>
              <w:trHeight w:val="696"/>
            </w:trPr>
            <w:tc>
              <w:tcPr>
                <w:tcW w:w="5387" w:type="dxa"/>
                <w:vAlign w:val="center"/>
              </w:tcPr>
              <w:p w14:paraId="3A392ABB" w14:textId="77777777"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3E2909CC" w14:textId="6A91DB09" w:rsidR="00AA493B" w:rsidRPr="005108C7" w:rsidRDefault="00B4357A" w:rsidP="005108C7">
                <w:pPr>
                  <w:jc w:val="center"/>
                  <w:rPr>
                    <w:sz w:val="18"/>
                    <w:szCs w:val="18"/>
                  </w:rPr>
                </w:pPr>
                <w:r w:rsidRPr="005108C7">
                  <w:rPr>
                    <w:sz w:val="18"/>
                    <w:szCs w:val="18"/>
                  </w:rPr>
                  <w:t>U</w:t>
                </w:r>
                <w:r w:rsidR="005108C7" w:rsidRPr="005108C7">
                  <w:rPr>
                    <w:sz w:val="18"/>
                    <w:szCs w:val="18"/>
                  </w:rPr>
                  <w:t>nité de Soutien de l’Infrastructure de la Défense de Clermont-Ferrand</w:t>
                </w:r>
                <w:r w:rsidR="00907E0F">
                  <w:rPr>
                    <w:sz w:val="18"/>
                    <w:szCs w:val="18"/>
                  </w:rPr>
                  <w:t xml:space="preserve"> – Section Exploitation et Maintenance</w:t>
                </w:r>
              </w:p>
            </w:tc>
          </w:tr>
          <w:tr w:rsidR="00AA493B" w14:paraId="6A23E541" w14:textId="77777777" w:rsidTr="005108C7">
            <w:trPr>
              <w:trHeight w:val="989"/>
            </w:trPr>
            <w:tc>
              <w:tcPr>
                <w:tcW w:w="5387" w:type="dxa"/>
                <w:vAlign w:val="center"/>
              </w:tcPr>
              <w:p w14:paraId="3AC4E253" w14:textId="77777777"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2E2B5395" w14:textId="5B407F76" w:rsidR="00B4357A" w:rsidRPr="005108C7" w:rsidRDefault="00907E0F" w:rsidP="00B4357A">
                <w:pPr>
                  <w:jc w:val="center"/>
                  <w:rPr>
                    <w:sz w:val="18"/>
                    <w:szCs w:val="18"/>
                  </w:rPr>
                </w:pPr>
                <w:r>
                  <w:rPr>
                    <w:iCs/>
                    <w:sz w:val="18"/>
                    <w:szCs w:val="18"/>
                  </w:rPr>
                  <w:t>IMI Maxime KINDEL</w:t>
                </w:r>
              </w:p>
              <w:p w14:paraId="4F325544" w14:textId="2C64B8E9" w:rsidR="00B4357A" w:rsidRPr="005108C7" w:rsidRDefault="00B4357A" w:rsidP="00B4357A">
                <w:pPr>
                  <w:jc w:val="center"/>
                  <w:rPr>
                    <w:sz w:val="18"/>
                    <w:szCs w:val="18"/>
                  </w:rPr>
                </w:pPr>
                <w:r w:rsidRPr="005108C7">
                  <w:rPr>
                    <w:sz w:val="18"/>
                    <w:szCs w:val="18"/>
                  </w:rPr>
                  <w:t>Téléphone fixe</w:t>
                </w:r>
                <w:r w:rsidRPr="005108C7">
                  <w:rPr>
                    <w:rFonts w:ascii="Calibri" w:hAnsi="Calibri" w:cs="Calibri"/>
                    <w:sz w:val="18"/>
                    <w:szCs w:val="18"/>
                  </w:rPr>
                  <w:t> </w:t>
                </w:r>
                <w:r w:rsidRPr="005108C7">
                  <w:rPr>
                    <w:sz w:val="18"/>
                    <w:szCs w:val="18"/>
                  </w:rPr>
                  <w:t xml:space="preserve">: </w:t>
                </w:r>
                <w:r w:rsidR="00DA7CEE" w:rsidRPr="005108C7">
                  <w:rPr>
                    <w:iCs/>
                    <w:sz w:val="18"/>
                    <w:szCs w:val="18"/>
                  </w:rPr>
                  <w:t>04-</w:t>
                </w:r>
                <w:r w:rsidR="00907E0F">
                  <w:rPr>
                    <w:iCs/>
                    <w:sz w:val="18"/>
                    <w:szCs w:val="18"/>
                  </w:rPr>
                  <w:t>63-66-93-12</w:t>
                </w:r>
              </w:p>
              <w:p w14:paraId="58FDFF3F" w14:textId="2ABE88C6" w:rsidR="00B4357A" w:rsidRPr="005108C7" w:rsidRDefault="00B4357A" w:rsidP="00B4357A">
                <w:pPr>
                  <w:jc w:val="center"/>
                  <w:rPr>
                    <w:sz w:val="18"/>
                    <w:szCs w:val="18"/>
                  </w:rPr>
                </w:pPr>
                <w:r w:rsidRPr="005108C7">
                  <w:rPr>
                    <w:sz w:val="18"/>
                    <w:szCs w:val="18"/>
                  </w:rPr>
                  <w:t>Téléphone portable</w:t>
                </w:r>
                <w:r w:rsidRPr="005108C7">
                  <w:rPr>
                    <w:rFonts w:ascii="Calibri" w:hAnsi="Calibri" w:cs="Calibri"/>
                    <w:sz w:val="18"/>
                    <w:szCs w:val="18"/>
                  </w:rPr>
                  <w:t> </w:t>
                </w:r>
                <w:r w:rsidRPr="005108C7">
                  <w:rPr>
                    <w:sz w:val="18"/>
                    <w:szCs w:val="18"/>
                  </w:rPr>
                  <w:t xml:space="preserve">: </w:t>
                </w:r>
                <w:r w:rsidR="00DA7CEE" w:rsidRPr="005108C7">
                  <w:rPr>
                    <w:iCs/>
                    <w:sz w:val="18"/>
                    <w:szCs w:val="18"/>
                  </w:rPr>
                  <w:t>06-</w:t>
                </w:r>
                <w:r w:rsidR="00907E0F">
                  <w:rPr>
                    <w:iCs/>
                    <w:sz w:val="18"/>
                    <w:szCs w:val="18"/>
                  </w:rPr>
                  <w:t>81-19-10-90</w:t>
                </w:r>
              </w:p>
              <w:p w14:paraId="23360328" w14:textId="74617056" w:rsidR="00AA493B" w:rsidRPr="005108C7" w:rsidRDefault="00B4357A" w:rsidP="00907E0F">
                <w:pPr>
                  <w:jc w:val="center"/>
                  <w:rPr>
                    <w:sz w:val="18"/>
                    <w:szCs w:val="18"/>
                  </w:rPr>
                </w:pPr>
                <w:r w:rsidRPr="005108C7">
                  <w:rPr>
                    <w:sz w:val="18"/>
                    <w:szCs w:val="18"/>
                  </w:rPr>
                  <w:t>Mail</w:t>
                </w:r>
                <w:r w:rsidRPr="005108C7">
                  <w:rPr>
                    <w:rFonts w:ascii="Calibri" w:hAnsi="Calibri" w:cs="Calibri"/>
                    <w:sz w:val="18"/>
                    <w:szCs w:val="18"/>
                  </w:rPr>
                  <w:t> </w:t>
                </w:r>
                <w:r w:rsidRPr="005108C7">
                  <w:rPr>
                    <w:sz w:val="18"/>
                    <w:szCs w:val="18"/>
                  </w:rPr>
                  <w:t xml:space="preserve">: </w:t>
                </w:r>
                <w:hyperlink r:id="rId9" w:history="1">
                  <w:r w:rsidR="00907E0F" w:rsidRPr="00907E0F">
                    <w:rPr>
                      <w:rStyle w:val="Lienhypertexte"/>
                      <w:iCs/>
                      <w:color w:val="0070C0"/>
                      <w:sz w:val="18"/>
                      <w:szCs w:val="18"/>
                    </w:rPr>
                    <w:t>maxime.kindel@intradef.gouv.fr</w:t>
                  </w:r>
                </w:hyperlink>
                <w:r w:rsidR="00907E0F" w:rsidRPr="00907E0F">
                  <w:rPr>
                    <w:iCs/>
                    <w:color w:val="0070C0"/>
                    <w:sz w:val="18"/>
                    <w:szCs w:val="18"/>
                  </w:rPr>
                  <w:t xml:space="preserve"> </w:t>
                </w:r>
              </w:p>
            </w:tc>
          </w:tr>
          <w:tr w:rsidR="009349A7" w14:paraId="7DF1D53B" w14:textId="77777777" w:rsidTr="005108C7">
            <w:trPr>
              <w:trHeight w:val="563"/>
            </w:trPr>
            <w:tc>
              <w:tcPr>
                <w:tcW w:w="5387" w:type="dxa"/>
                <w:vAlign w:val="center"/>
              </w:tcPr>
              <w:p w14:paraId="7E1ED2A4" w14:textId="77777777" w:rsidR="009349A7" w:rsidRPr="00AA493B" w:rsidRDefault="009349A7" w:rsidP="009349A7">
                <w:pPr>
                  <w:jc w:val="center"/>
                  <w:rPr>
                    <w:rStyle w:val="Emphaseple"/>
                    <w:sz w:val="16"/>
                    <w:szCs w:val="16"/>
                  </w:rPr>
                </w:pPr>
                <w:r w:rsidRPr="00B4357A">
                  <w:rPr>
                    <w:rStyle w:val="Emphaseple"/>
                    <w:sz w:val="16"/>
                    <w:szCs w:val="16"/>
                  </w:rPr>
                  <w:t>Ordonnateur</w:t>
                </w:r>
              </w:p>
            </w:tc>
            <w:tc>
              <w:tcPr>
                <w:tcW w:w="5529" w:type="dxa"/>
                <w:vAlign w:val="center"/>
              </w:tcPr>
              <w:p w14:paraId="7F83CA38" w14:textId="3DF4E891" w:rsidR="009349A7" w:rsidRPr="005108C7" w:rsidRDefault="009349A7" w:rsidP="009349A7">
                <w:pPr>
                  <w:jc w:val="center"/>
                  <w:rPr>
                    <w:sz w:val="18"/>
                    <w:szCs w:val="18"/>
                  </w:rPr>
                </w:pPr>
                <w:r w:rsidRPr="005108C7">
                  <w:rPr>
                    <w:sz w:val="18"/>
                    <w:szCs w:val="18"/>
                  </w:rPr>
                  <w:t xml:space="preserve">Monsieur le directeur </w:t>
                </w:r>
                <w:r>
                  <w:rPr>
                    <w:sz w:val="18"/>
                    <w:szCs w:val="18"/>
                  </w:rPr>
                  <w:t>du Service d’Infrastructure de la Défense Sud-Est</w:t>
                </w:r>
              </w:p>
            </w:tc>
          </w:tr>
          <w:tr w:rsidR="00AA493B" w14:paraId="2B676478" w14:textId="77777777" w:rsidTr="005108C7">
            <w:trPr>
              <w:trHeight w:val="1125"/>
            </w:trPr>
            <w:tc>
              <w:tcPr>
                <w:tcW w:w="5387" w:type="dxa"/>
                <w:vAlign w:val="center"/>
              </w:tcPr>
              <w:p w14:paraId="418E2142" w14:textId="77777777"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49EBF51" w14:textId="77777777" w:rsidR="00B4357A" w:rsidRPr="005108C7" w:rsidRDefault="00B4357A" w:rsidP="00B4357A">
                <w:pPr>
                  <w:jc w:val="center"/>
                  <w:rPr>
                    <w:sz w:val="18"/>
                    <w:szCs w:val="18"/>
                  </w:rPr>
                </w:pPr>
                <w:r w:rsidRPr="005108C7">
                  <w:rPr>
                    <w:sz w:val="18"/>
                    <w:szCs w:val="18"/>
                  </w:rPr>
                  <w:t>Direction Départementale</w:t>
                </w:r>
              </w:p>
              <w:p w14:paraId="591E2DD6" w14:textId="77777777" w:rsidR="00B4357A" w:rsidRPr="005108C7" w:rsidRDefault="00B4357A" w:rsidP="00B4357A">
                <w:pPr>
                  <w:jc w:val="center"/>
                  <w:rPr>
                    <w:sz w:val="18"/>
                    <w:szCs w:val="18"/>
                  </w:rPr>
                </w:pPr>
                <w:proofErr w:type="gramStart"/>
                <w:r w:rsidRPr="005108C7">
                  <w:rPr>
                    <w:sz w:val="18"/>
                    <w:szCs w:val="18"/>
                  </w:rPr>
                  <w:t>des</w:t>
                </w:r>
                <w:proofErr w:type="gramEnd"/>
                <w:r w:rsidRPr="005108C7">
                  <w:rPr>
                    <w:sz w:val="18"/>
                    <w:szCs w:val="18"/>
                  </w:rPr>
                  <w:t xml:space="preserve"> Finances Publiques des Landes</w:t>
                </w:r>
              </w:p>
              <w:p w14:paraId="75D15969" w14:textId="77777777" w:rsidR="00B4357A" w:rsidRPr="005108C7" w:rsidRDefault="00B4357A" w:rsidP="00B4357A">
                <w:pPr>
                  <w:jc w:val="center"/>
                  <w:rPr>
                    <w:sz w:val="18"/>
                    <w:szCs w:val="18"/>
                  </w:rPr>
                </w:pPr>
                <w:r w:rsidRPr="005108C7">
                  <w:rPr>
                    <w:sz w:val="18"/>
                    <w:szCs w:val="18"/>
                  </w:rPr>
                  <w:t>BP 20 175</w:t>
                </w:r>
              </w:p>
              <w:p w14:paraId="7B5FF5D8" w14:textId="77777777" w:rsidR="00AA493B" w:rsidRPr="005108C7" w:rsidRDefault="00B4357A" w:rsidP="00B4357A">
                <w:pPr>
                  <w:jc w:val="center"/>
                  <w:rPr>
                    <w:sz w:val="18"/>
                    <w:szCs w:val="18"/>
                  </w:rPr>
                </w:pPr>
                <w:r w:rsidRPr="005108C7">
                  <w:rPr>
                    <w:sz w:val="18"/>
                    <w:szCs w:val="18"/>
                  </w:rPr>
                  <w:t>40 003 MONT DE MARSAN CEDEX</w:t>
                </w:r>
              </w:p>
            </w:tc>
          </w:tr>
          <w:tr w:rsidR="00B4357A" w14:paraId="3E39C5F0" w14:textId="77777777" w:rsidTr="005108C7">
            <w:trPr>
              <w:trHeight w:val="546"/>
            </w:trPr>
            <w:tc>
              <w:tcPr>
                <w:tcW w:w="5387" w:type="dxa"/>
                <w:vAlign w:val="center"/>
              </w:tcPr>
              <w:p w14:paraId="388612F4" w14:textId="777777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0A91FFCC" w14:textId="77777777" w:rsidR="00A027A0" w:rsidRPr="005108C7" w:rsidRDefault="00A027A0" w:rsidP="00A027A0">
                <w:pPr>
                  <w:jc w:val="center"/>
                  <w:rPr>
                    <w:sz w:val="18"/>
                    <w:szCs w:val="18"/>
                  </w:rPr>
                </w:pPr>
                <w:r w:rsidRPr="005108C7">
                  <w:rPr>
                    <w:sz w:val="18"/>
                    <w:szCs w:val="18"/>
                  </w:rPr>
                  <w:t>Madame la chef du bureau exécution de la dépense</w:t>
                </w:r>
              </w:p>
              <w:p w14:paraId="1E0EF0D4" w14:textId="77777777" w:rsidR="00B4357A" w:rsidRPr="005108C7" w:rsidRDefault="00A027A0" w:rsidP="00A027A0">
                <w:pPr>
                  <w:jc w:val="center"/>
                  <w:rPr>
                    <w:sz w:val="18"/>
                    <w:szCs w:val="18"/>
                  </w:rPr>
                </w:pPr>
                <w:r w:rsidRPr="005108C7">
                  <w:rPr>
                    <w:sz w:val="18"/>
                    <w:szCs w:val="18"/>
                  </w:rPr>
                  <w:t>04.37.27.23.20</w:t>
                </w:r>
              </w:p>
            </w:tc>
          </w:tr>
        </w:tbl>
        <w:p w14:paraId="496B689F" w14:textId="1C4B4187" w:rsidR="008B4C0A" w:rsidRDefault="008B4C0A"/>
        <w:p w14:paraId="38996CD6" w14:textId="0E1DAC57" w:rsidR="008B4C0A" w:rsidRDefault="008B27AC">
          <w:r>
            <w:rPr>
              <w:noProof/>
              <w:lang w:eastAsia="fr-FR"/>
            </w:rPr>
            <mc:AlternateContent>
              <mc:Choice Requires="wps">
                <w:drawing>
                  <wp:anchor distT="0" distB="0" distL="114300" distR="114300" simplePos="0" relativeHeight="251666944" behindDoc="0" locked="0" layoutInCell="1" allowOverlap="1" wp14:anchorId="4D59413A" wp14:editId="346680DF">
                    <wp:simplePos x="0" y="0"/>
                    <wp:positionH relativeFrom="column">
                      <wp:posOffset>-511606</wp:posOffset>
                    </wp:positionH>
                    <wp:positionV relativeFrom="paragraph">
                      <wp:posOffset>161865</wp:posOffset>
                    </wp:positionV>
                    <wp:extent cx="6831845" cy="1500996"/>
                    <wp:effectExtent l="0" t="0" r="26670" b="23495"/>
                    <wp:wrapNone/>
                    <wp:docPr id="38" name="Zone de texte 38"/>
                    <wp:cNvGraphicFramePr/>
                    <a:graphic xmlns:a="http://schemas.openxmlformats.org/drawingml/2006/main">
                      <a:graphicData uri="http://schemas.microsoft.com/office/word/2010/wordprocessingShape">
                        <wps:wsp>
                          <wps:cNvSpPr txBox="1"/>
                          <wps:spPr>
                            <a:xfrm>
                              <a:off x="0" y="0"/>
                              <a:ext cx="6831845" cy="1500996"/>
                            </a:xfrm>
                            <a:prstGeom prst="rect">
                              <a:avLst/>
                            </a:prstGeom>
                            <a:ln/>
                          </wps:spPr>
                          <wps:style>
                            <a:lnRef idx="2">
                              <a:schemeClr val="dk1"/>
                            </a:lnRef>
                            <a:fillRef idx="1">
                              <a:schemeClr val="lt1"/>
                            </a:fillRef>
                            <a:effectRef idx="0">
                              <a:schemeClr val="dk1"/>
                            </a:effectRef>
                            <a:fontRef idx="minor">
                              <a:schemeClr val="dk1"/>
                            </a:fontRef>
                          </wps:style>
                          <wps:txbx>
                            <w:txbxContent>
                              <w:p w14:paraId="2969D017" w14:textId="77777777" w:rsidR="00680BFB" w:rsidRDefault="00680BFB">
                                <w:pPr>
                                  <w:rPr>
                                    <w:rFonts w:cs="Arial"/>
                                    <w:sz w:val="22"/>
                                    <w:szCs w:val="22"/>
                                  </w:rPr>
                                </w:pPr>
                                <w:r w:rsidRPr="00395BCD">
                                  <w:rPr>
                                    <w:rFonts w:cs="Arial"/>
                                    <w:sz w:val="22"/>
                                    <w:szCs w:val="22"/>
                                  </w:rPr>
                                  <w:t xml:space="preserve">Objet </w:t>
                                </w:r>
                                <w:r w:rsidR="00767AB9">
                                  <w:rPr>
                                    <w:rFonts w:cs="Arial"/>
                                    <w:sz w:val="22"/>
                                    <w:szCs w:val="22"/>
                                  </w:rPr>
                                  <w:t>du marché</w:t>
                                </w:r>
                                <w:r w:rsidR="00767AB9">
                                  <w:rPr>
                                    <w:rFonts w:ascii="Calibri" w:hAnsi="Calibri" w:cs="Calibri"/>
                                    <w:sz w:val="22"/>
                                    <w:szCs w:val="22"/>
                                  </w:rPr>
                                  <w:t> </w:t>
                                </w:r>
                                <w:r w:rsidR="00767AB9">
                                  <w:rPr>
                                    <w:rFonts w:cs="Arial"/>
                                    <w:sz w:val="22"/>
                                    <w:szCs w:val="22"/>
                                  </w:rPr>
                                  <w:t>:</w:t>
                                </w:r>
                              </w:p>
                              <w:p w14:paraId="5B60BF45" w14:textId="77777777" w:rsidR="00767AB9" w:rsidRDefault="00767AB9">
                                <w:pPr>
                                  <w:rPr>
                                    <w:rFonts w:cs="Arial"/>
                                    <w:sz w:val="22"/>
                                    <w:szCs w:val="22"/>
                                  </w:rPr>
                                </w:pPr>
                              </w:p>
                              <w:p w14:paraId="221A440E" w14:textId="77777777" w:rsidR="008B27AC" w:rsidRPr="008B27AC" w:rsidRDefault="008B27AC" w:rsidP="008B27AC">
                                <w:pPr>
                                  <w:jc w:val="center"/>
                                  <w:rPr>
                                    <w:rFonts w:cs="Arial"/>
                                    <w:b/>
                                    <w:sz w:val="22"/>
                                    <w:szCs w:val="22"/>
                                  </w:rPr>
                                </w:pPr>
                                <w:r w:rsidRPr="008B27AC">
                                  <w:rPr>
                                    <w:rFonts w:cs="Arial"/>
                                    <w:b/>
                                    <w:sz w:val="22"/>
                                    <w:szCs w:val="22"/>
                                  </w:rPr>
                                  <w:t>YZEURE (03) – Quartier Le Fournier – 13</w:t>
                                </w:r>
                                <w:r w:rsidRPr="008B27AC">
                                  <w:rPr>
                                    <w:rFonts w:cs="Arial"/>
                                    <w:b/>
                                    <w:sz w:val="22"/>
                                    <w:szCs w:val="22"/>
                                    <w:vertAlign w:val="superscript"/>
                                  </w:rPr>
                                  <w:t>e</w:t>
                                </w:r>
                                <w:r w:rsidRPr="008B27AC">
                                  <w:rPr>
                                    <w:rFonts w:cs="Arial"/>
                                    <w:b/>
                                    <w:sz w:val="22"/>
                                    <w:szCs w:val="22"/>
                                  </w:rPr>
                                  <w:t xml:space="preserve"> BSMAT – Bâtiment 099</w:t>
                                </w:r>
                              </w:p>
                              <w:p w14:paraId="64B199E3" w14:textId="08D0C8A2" w:rsidR="008B27AC" w:rsidRPr="008B27AC" w:rsidRDefault="008B27AC" w:rsidP="008B27AC">
                                <w:pPr>
                                  <w:jc w:val="center"/>
                                  <w:rPr>
                                    <w:rFonts w:cs="Arial"/>
                                    <w:b/>
                                    <w:bCs/>
                                    <w:sz w:val="22"/>
                                    <w:szCs w:val="22"/>
                                  </w:rPr>
                                </w:pPr>
                                <w:r w:rsidRPr="008B27AC">
                                  <w:rPr>
                                    <w:rFonts w:cs="Arial"/>
                                    <w:b/>
                                    <w:bCs/>
                                    <w:sz w:val="22"/>
                                    <w:szCs w:val="22"/>
                                  </w:rPr>
                                  <w:t>Fourniture et pose de barrières de rétention des eaux d’incendie</w:t>
                                </w:r>
                              </w:p>
                              <w:p w14:paraId="273DAA50" w14:textId="4CAD9DD5" w:rsidR="00680BFB" w:rsidRPr="00395BCD" w:rsidRDefault="008B27AC" w:rsidP="008B27AC">
                                <w:pPr>
                                  <w:jc w:val="center"/>
                                  <w:rPr>
                                    <w:rFonts w:cs="Arial"/>
                                    <w:sz w:val="22"/>
                                    <w:szCs w:val="22"/>
                                  </w:rPr>
                                </w:pPr>
                                <w:proofErr w:type="gramStart"/>
                                <w:r w:rsidRPr="008B27AC">
                                  <w:rPr>
                                    <w:rFonts w:cs="Arial"/>
                                    <w:b/>
                                    <w:bCs/>
                                    <w:sz w:val="22"/>
                                    <w:szCs w:val="22"/>
                                  </w:rPr>
                                  <w:t>pour</w:t>
                                </w:r>
                                <w:proofErr w:type="gramEnd"/>
                                <w:r w:rsidRPr="008B27AC">
                                  <w:rPr>
                                    <w:rFonts w:cs="Arial"/>
                                    <w:b/>
                                    <w:bCs/>
                                    <w:sz w:val="22"/>
                                    <w:szCs w:val="22"/>
                                  </w:rPr>
                                  <w:t xml:space="preserve"> la mise en conformité ICPE 1510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9413A" id="Zone de texte 38" o:spid="_x0000_s1027" type="#_x0000_t202" style="position:absolute;left:0;text-align:left;margin-left:-40.3pt;margin-top:12.75pt;width:537.95pt;height:118.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" fillcolor="white [3201]" strokecolor="black [3200]" strokeweight="1.5pt">
                    <v:stroke endcap="round"/>
                    <v:textbox>
                      <w:txbxContent>
                        <w:p w14:paraId="2969D017" w14:textId="77777777" w:rsidR="00680BFB" w:rsidRDefault="00680BFB">
                          <w:pPr>
                            <w:rPr>
                              <w:rFonts w:cs="Arial"/>
                              <w:sz w:val="22"/>
                              <w:szCs w:val="22"/>
                            </w:rPr>
                          </w:pPr>
                          <w:r w:rsidRPr="00395BCD">
                            <w:rPr>
                              <w:rFonts w:cs="Arial"/>
                              <w:sz w:val="22"/>
                              <w:szCs w:val="22"/>
                            </w:rPr>
                            <w:t xml:space="preserve">Objet </w:t>
                          </w:r>
                          <w:r w:rsidR="00767AB9">
                            <w:rPr>
                              <w:rFonts w:cs="Arial"/>
                              <w:sz w:val="22"/>
                              <w:szCs w:val="22"/>
                            </w:rPr>
                            <w:t>du marché</w:t>
                          </w:r>
                          <w:r w:rsidR="00767AB9">
                            <w:rPr>
                              <w:rFonts w:ascii="Calibri" w:hAnsi="Calibri" w:cs="Calibri"/>
                              <w:sz w:val="22"/>
                              <w:szCs w:val="22"/>
                            </w:rPr>
                            <w:t> </w:t>
                          </w:r>
                          <w:r w:rsidR="00767AB9">
                            <w:rPr>
                              <w:rFonts w:cs="Arial"/>
                              <w:sz w:val="22"/>
                              <w:szCs w:val="22"/>
                            </w:rPr>
                            <w:t>:</w:t>
                          </w:r>
                        </w:p>
                        <w:p w14:paraId="5B60BF45" w14:textId="77777777" w:rsidR="00767AB9" w:rsidRDefault="00767AB9">
                          <w:pPr>
                            <w:rPr>
                              <w:rFonts w:cs="Arial"/>
                              <w:sz w:val="22"/>
                              <w:szCs w:val="22"/>
                            </w:rPr>
                          </w:pPr>
                        </w:p>
                        <w:p w14:paraId="221A440E" w14:textId="77777777" w:rsidR="008B27AC" w:rsidRPr="008B27AC" w:rsidRDefault="008B27AC" w:rsidP="008B27AC">
                          <w:pPr>
                            <w:jc w:val="center"/>
                            <w:rPr>
                              <w:rFonts w:cs="Arial"/>
                              <w:b/>
                              <w:sz w:val="22"/>
                              <w:szCs w:val="22"/>
                            </w:rPr>
                          </w:pPr>
                          <w:r w:rsidRPr="008B27AC">
                            <w:rPr>
                              <w:rFonts w:cs="Arial"/>
                              <w:b/>
                              <w:sz w:val="22"/>
                              <w:szCs w:val="22"/>
                            </w:rPr>
                            <w:t>YZEURE (03) – Quartier Le Fournier – 13</w:t>
                          </w:r>
                          <w:r w:rsidRPr="008B27AC">
                            <w:rPr>
                              <w:rFonts w:cs="Arial"/>
                              <w:b/>
                              <w:sz w:val="22"/>
                              <w:szCs w:val="22"/>
                              <w:vertAlign w:val="superscript"/>
                            </w:rPr>
                            <w:t>e</w:t>
                          </w:r>
                          <w:r w:rsidRPr="008B27AC">
                            <w:rPr>
                              <w:rFonts w:cs="Arial"/>
                              <w:b/>
                              <w:sz w:val="22"/>
                              <w:szCs w:val="22"/>
                            </w:rPr>
                            <w:t xml:space="preserve"> BSMAT – Bâtiment 099</w:t>
                          </w:r>
                        </w:p>
                        <w:p w14:paraId="64B199E3" w14:textId="08D0C8A2" w:rsidR="008B27AC" w:rsidRPr="008B27AC" w:rsidRDefault="008B27AC" w:rsidP="008B27AC">
                          <w:pPr>
                            <w:jc w:val="center"/>
                            <w:rPr>
                              <w:rFonts w:cs="Arial"/>
                              <w:b/>
                              <w:bCs/>
                              <w:sz w:val="22"/>
                              <w:szCs w:val="22"/>
                            </w:rPr>
                          </w:pPr>
                          <w:r w:rsidRPr="008B27AC">
                            <w:rPr>
                              <w:rFonts w:cs="Arial"/>
                              <w:b/>
                              <w:bCs/>
                              <w:sz w:val="22"/>
                              <w:szCs w:val="22"/>
                            </w:rPr>
                            <w:t>Fourniture et pose de barrières de rétention des eaux d’incendie</w:t>
                          </w:r>
                        </w:p>
                        <w:p w14:paraId="273DAA50" w14:textId="4CAD9DD5" w:rsidR="00680BFB" w:rsidRPr="00395BCD" w:rsidRDefault="008B27AC" w:rsidP="008B27AC">
                          <w:pPr>
                            <w:jc w:val="center"/>
                            <w:rPr>
                              <w:rFonts w:cs="Arial"/>
                              <w:sz w:val="22"/>
                              <w:szCs w:val="22"/>
                            </w:rPr>
                          </w:pPr>
                          <w:proofErr w:type="gramStart"/>
                          <w:r w:rsidRPr="008B27AC">
                            <w:rPr>
                              <w:rFonts w:cs="Arial"/>
                              <w:b/>
                              <w:bCs/>
                              <w:sz w:val="22"/>
                              <w:szCs w:val="22"/>
                            </w:rPr>
                            <w:t>pour</w:t>
                          </w:r>
                          <w:proofErr w:type="gramEnd"/>
                          <w:r w:rsidRPr="008B27AC">
                            <w:rPr>
                              <w:rFonts w:cs="Arial"/>
                              <w:b/>
                              <w:bCs/>
                              <w:sz w:val="22"/>
                              <w:szCs w:val="22"/>
                            </w:rPr>
                            <w:t xml:space="preserve"> la mise en conformité ICPE 1510</w:t>
                          </w:r>
                        </w:p>
                      </w:txbxContent>
                    </v:textbox>
                  </v:shape>
                </w:pict>
              </mc:Fallback>
            </mc:AlternateContent>
          </w:r>
        </w:p>
        <w:p w14:paraId="70F115BF" w14:textId="77777777" w:rsidR="008B4C0A" w:rsidRDefault="008B4C0A"/>
        <w:p w14:paraId="6BDC2F94" w14:textId="77777777" w:rsidR="008B4C0A" w:rsidRDefault="008B4C0A"/>
        <w:p w14:paraId="791A2FE2" w14:textId="77777777" w:rsidR="008B4C0A" w:rsidRDefault="008B4C0A"/>
        <w:p w14:paraId="7CABD953" w14:textId="77777777" w:rsidR="008B4C0A" w:rsidRDefault="008B4C0A"/>
        <w:p w14:paraId="67BD3877" w14:textId="77777777" w:rsidR="008B4C0A" w:rsidRDefault="008B4C0A"/>
        <w:p w14:paraId="612C1C0C" w14:textId="77777777" w:rsidR="008B4C0A" w:rsidRDefault="008B4C0A"/>
        <w:p w14:paraId="743CEAFF" w14:textId="77777777" w:rsidR="008B4C0A" w:rsidRDefault="008B4C0A"/>
        <w:p w14:paraId="60103564" w14:textId="77777777" w:rsidR="00B4357A" w:rsidRDefault="00B4357A">
          <w:pPr>
            <w:jc w:val="left"/>
            <w:rPr>
              <w:rFonts w:eastAsiaTheme="majorEastAsia" w:cstheme="majorBidi"/>
              <w:b/>
              <w:color w:val="764673" w:themeColor="accent6" w:themeShade="BF"/>
              <w:sz w:val="40"/>
              <w:szCs w:val="40"/>
            </w:rPr>
          </w:pPr>
          <w:r>
            <w:br w:type="page"/>
          </w:r>
        </w:p>
        <w:p w14:paraId="68DD27CD" w14:textId="77777777" w:rsidR="00B4357A" w:rsidRDefault="00B4357A" w:rsidP="00B4357A">
          <w:pPr>
            <w:pStyle w:val="Titre1"/>
          </w:pPr>
          <w:r>
            <w:lastRenderedPageBreak/>
            <w:t>Déclaration du titulaire</w:t>
          </w:r>
        </w:p>
        <w:p w14:paraId="074CC196" w14:textId="77777777" w:rsidR="00B4357A" w:rsidRDefault="00B4357A" w:rsidP="00B4357A">
          <w:r w:rsidRPr="00484A78">
            <w:rPr>
              <w:rStyle w:val="lev"/>
            </w:rPr>
            <w:t>Je, soussigné</w:t>
          </w:r>
          <w:r>
            <w:t xml:space="preserve">, </w:t>
          </w:r>
        </w:p>
        <w:p w14:paraId="26AB505D"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6D475"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38149B8"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1F6010B" w14:textId="77777777" w:rsidR="00B4357A" w:rsidRPr="00484A78" w:rsidRDefault="00B4357A" w:rsidP="00B4357A">
          <w:pPr>
            <w:spacing w:line="360" w:lineRule="auto"/>
            <w:rPr>
              <w:rFonts w:eastAsia="Calibri" w:cs="Arial"/>
            </w:rPr>
          </w:pPr>
          <w:r w:rsidRPr="00484A78">
            <w:rPr>
              <w:rFonts w:eastAsia="Calibri" w:cs="Arial"/>
            </w:rPr>
            <w:t>Représentée par :</w:t>
          </w:r>
        </w:p>
        <w:p w14:paraId="1592DDBD"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3E514DDD"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024E59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Représentant légal de l’entreprise.</w:t>
          </w:r>
          <w:r>
            <w:tab/>
          </w:r>
          <w:r>
            <w:tab/>
          </w:r>
        </w:p>
        <w:p w14:paraId="32887E37"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Ayant reçu pouvoir du représentant légal de l’entreprise.</w:t>
          </w:r>
        </w:p>
        <w:p w14:paraId="395ECBD6" w14:textId="77777777" w:rsidR="00B4357A" w:rsidRDefault="00B4357A" w:rsidP="00B4357A">
          <w:pPr>
            <w:rPr>
              <w:lang w:eastAsia="ar-SA"/>
            </w:rPr>
          </w:pPr>
        </w:p>
        <w:p w14:paraId="04BEB201"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22BF7B00"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Par le siège.</w:t>
          </w:r>
          <w:r>
            <w:tab/>
          </w:r>
          <w:r>
            <w:tab/>
          </w:r>
        </w:p>
        <w:p w14:paraId="26DE700A"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Par l’établissement suivant</w:t>
          </w:r>
          <w:r>
            <w:rPr>
              <w:rFonts w:ascii="Calibri" w:hAnsi="Calibri" w:cs="Calibri"/>
            </w:rPr>
            <w:t> </w:t>
          </w:r>
          <w:r>
            <w:t>:</w:t>
          </w:r>
        </w:p>
        <w:p w14:paraId="3E7CFC96"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BF2CEDF"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F72CB0"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7A1017"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2C80604" w14:textId="77777777" w:rsidR="00B4357A" w:rsidRDefault="00B4357A" w:rsidP="00B4357A"/>
        <w:p w14:paraId="0E9BA21F"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Non</w:t>
          </w:r>
        </w:p>
        <w:p w14:paraId="03A735F7" w14:textId="77777777" w:rsidR="00B4357A" w:rsidRDefault="00B4357A" w:rsidP="00B4357A"/>
        <w:p w14:paraId="40CDE8C5" w14:textId="77777777" w:rsidR="00B4357A" w:rsidRDefault="00B4357A" w:rsidP="00B4357A"/>
        <w:p w14:paraId="3667B591" w14:textId="77777777" w:rsidR="00B4357A" w:rsidRDefault="00B4357A" w:rsidP="00B4357A"/>
        <w:p w14:paraId="43AD5A03" w14:textId="77777777" w:rsidR="00B4357A" w:rsidRPr="001F02B6" w:rsidRDefault="00B4357A" w:rsidP="00B4357A">
          <w:pPr>
            <w:rPr>
              <w:rStyle w:val="Emphaseintense"/>
            </w:rPr>
          </w:pPr>
          <w:proofErr w:type="gramStart"/>
          <w:r w:rsidRPr="001F02B6">
            <w:rPr>
              <w:rStyle w:val="Emphaseintense"/>
            </w:rPr>
            <w:t>OU</w:t>
          </w:r>
          <w:proofErr w:type="gramEnd"/>
        </w:p>
        <w:p w14:paraId="6C62F2DD" w14:textId="77777777" w:rsidR="00B4357A" w:rsidRDefault="00B4357A" w:rsidP="00B4357A"/>
        <w:p w14:paraId="2B0BF6F5" w14:textId="77777777" w:rsidR="00B4357A" w:rsidRDefault="00B4357A" w:rsidP="00B4357A"/>
        <w:p w14:paraId="050DD36C"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7E749578" w14:textId="77777777" w:rsidR="00B4357A" w:rsidRDefault="00B4357A" w:rsidP="00B4357A">
          <w:pPr>
            <w:spacing w:line="360" w:lineRule="auto"/>
            <w:rPr>
              <w:b/>
            </w:rPr>
          </w:pPr>
        </w:p>
        <w:p w14:paraId="5997287C"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16F8FBAF"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DC2BDC"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18B751B" w14:textId="77777777" w:rsidR="00B4357A" w:rsidRDefault="00B4357A" w:rsidP="00B4357A">
          <w:pPr>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E18730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4B010AA3"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lastRenderedPageBreak/>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0201F32C"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1FDA9E4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Représentant légal de l’entreprise.</w:t>
          </w:r>
          <w:r>
            <w:tab/>
          </w:r>
          <w:r>
            <w:tab/>
          </w:r>
        </w:p>
        <w:p w14:paraId="20F7B6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Ayant reçu pouvoir du représentant légal de l’entreprise.</w:t>
          </w:r>
        </w:p>
        <w:p w14:paraId="5A121B40" w14:textId="77777777" w:rsidR="00B4357A" w:rsidRDefault="00B4357A" w:rsidP="00B4357A">
          <w:pPr>
            <w:rPr>
              <w:lang w:eastAsia="ar-SA"/>
            </w:rPr>
          </w:pPr>
        </w:p>
        <w:p w14:paraId="03AC403E"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022943C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Par le siège.</w:t>
          </w:r>
          <w:r>
            <w:tab/>
          </w:r>
          <w:r>
            <w:tab/>
          </w:r>
        </w:p>
        <w:p w14:paraId="0419ADB8"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Par l’établissement suivant</w:t>
          </w:r>
          <w:r>
            <w:rPr>
              <w:rFonts w:ascii="Calibri" w:hAnsi="Calibri" w:cs="Calibri"/>
            </w:rPr>
            <w:t> </w:t>
          </w:r>
          <w:r>
            <w:t>:</w:t>
          </w:r>
        </w:p>
        <w:p w14:paraId="682A1475"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15FA835"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C4D065"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27B960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A381EA8" w14:textId="77777777" w:rsidR="00B4357A" w:rsidRDefault="00B4357A" w:rsidP="00B4357A"/>
        <w:p w14:paraId="75FCD3C4"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Non</w:t>
          </w:r>
        </w:p>
        <w:p w14:paraId="7F550401" w14:textId="77777777" w:rsidR="00B4357A" w:rsidRDefault="00B4357A" w:rsidP="00B4357A"/>
        <w:p w14:paraId="7B8799AA"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1C1EFFFA" w14:textId="77777777" w:rsidR="00B4357A" w:rsidRDefault="00B4357A" w:rsidP="00B4357A">
          <w:pPr>
            <w:rPr>
              <w:rFonts w:cs="Arial"/>
            </w:rPr>
          </w:pPr>
        </w:p>
        <w:p w14:paraId="6C4EDEFA"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28CD0FC3"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DE277E4"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41E4DAE"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996DC9C"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1B9A22B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0331A7DD"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2301684F"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Représentant légal de l’entreprise.</w:t>
          </w:r>
          <w:r>
            <w:tab/>
          </w:r>
          <w:r>
            <w:tab/>
          </w:r>
        </w:p>
        <w:p w14:paraId="080B59D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Ayant reçu pouvoir du représentant légal de l’entreprise.</w:t>
          </w:r>
        </w:p>
        <w:p w14:paraId="3681A3D5" w14:textId="77777777" w:rsidR="00B4357A" w:rsidRDefault="00B4357A" w:rsidP="00B4357A">
          <w:pPr>
            <w:rPr>
              <w:lang w:eastAsia="ar-SA"/>
            </w:rPr>
          </w:pPr>
        </w:p>
        <w:p w14:paraId="2676F45A" w14:textId="77777777" w:rsidR="00B4357A" w:rsidRDefault="00B4357A" w:rsidP="00B4357A">
          <w:pPr>
            <w:rPr>
              <w:rFonts w:cs="Arial"/>
            </w:rPr>
          </w:pPr>
          <w:r w:rsidRPr="00484A78">
            <w:rPr>
              <w:lang w:eastAsia="ar-SA"/>
            </w:rPr>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3C88EF98"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Par le siège.</w:t>
          </w:r>
          <w:r>
            <w:tab/>
          </w:r>
          <w:r>
            <w:tab/>
          </w:r>
        </w:p>
        <w:p w14:paraId="6C5C7E5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rsidRPr="007401C5">
            <w:tab/>
          </w:r>
          <w:r>
            <w:t>Par l’établissement suivant</w:t>
          </w:r>
          <w:r>
            <w:rPr>
              <w:rFonts w:ascii="Calibri" w:hAnsi="Calibri" w:cs="Calibri"/>
            </w:rPr>
            <w:t> </w:t>
          </w:r>
          <w:r>
            <w:t>:</w:t>
          </w:r>
        </w:p>
        <w:p w14:paraId="33670368"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FA6AC0" w14:textId="77777777" w:rsidR="00B4357A" w:rsidRPr="00484A78" w:rsidRDefault="00B4357A" w:rsidP="00B4357A">
          <w:pPr>
            <w:spacing w:line="360" w:lineRule="auto"/>
            <w:rPr>
              <w:rFonts w:ascii="Times New Roman" w:eastAsia="Calibri" w:hAnsi="Times New Roman"/>
              <w:sz w:val="22"/>
              <w:szCs w:val="22"/>
            </w:rPr>
          </w:pPr>
          <w:r>
            <w:lastRenderedPageBreak/>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EDE038B"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63AC363"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668948" w14:textId="77777777" w:rsidR="00B4357A" w:rsidRDefault="00B4357A" w:rsidP="00B4357A"/>
        <w:p w14:paraId="03AD3A3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Non</w:t>
          </w:r>
        </w:p>
        <w:p w14:paraId="27A02102" w14:textId="77777777" w:rsidR="00B4357A" w:rsidRDefault="00B4357A" w:rsidP="00B4357A"/>
        <w:p w14:paraId="451F2451" w14:textId="77777777" w:rsidR="00B4357A" w:rsidRDefault="00B4357A" w:rsidP="00B4357A"/>
        <w:p w14:paraId="56C1020E" w14:textId="77777777" w:rsidR="00B4357A" w:rsidRPr="00125A4C" w:rsidRDefault="00B4357A" w:rsidP="00B4357A">
          <w:pPr>
            <w:rPr>
              <w:rStyle w:val="lev"/>
            </w:rPr>
          </w:pPr>
          <w:r w:rsidRPr="00125A4C">
            <w:rPr>
              <w:rStyle w:val="lev"/>
            </w:rPr>
            <w:t>Répartition des prestations (en cas de groupement conjoint) :</w:t>
          </w:r>
        </w:p>
        <w:p w14:paraId="4578A9A1"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0DE7D2F4"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41105776" w14:textId="77777777" w:rsidR="00B4357A" w:rsidRPr="00B65F34" w:rsidRDefault="00B4357A" w:rsidP="00680BFB">
                <w:pPr>
                  <w:jc w:val="center"/>
                  <w:rPr>
                    <w:color w:val="auto"/>
                  </w:rPr>
                </w:pPr>
                <w:r w:rsidRPr="00B65F34">
                  <w:rPr>
                    <w:color w:val="auto"/>
                  </w:rPr>
                  <w:t xml:space="preserve">Désignation des membres </w:t>
                </w:r>
              </w:p>
              <w:p w14:paraId="2AF818C5"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ADAFB50"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1244FE60"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11949889" w14:textId="77777777" w:rsidR="00B4357A" w:rsidRPr="00B65F34" w:rsidRDefault="00B4357A" w:rsidP="00680BFB"/>
            </w:tc>
            <w:tc>
              <w:tcPr>
                <w:tcW w:w="3921" w:type="dxa"/>
                <w:shd w:val="clear" w:color="auto" w:fill="auto"/>
                <w:vAlign w:val="center"/>
              </w:tcPr>
              <w:p w14:paraId="0CAC7499"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4F01C73B"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180DC0D"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BDF577A"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422BE2C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28A79EB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12DE1B2"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786A51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5377DF9C"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8CA3A5D"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27062137"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18383053"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3EA29EA5"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7FACE625"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4E2A68F5" w14:textId="77777777" w:rsidR="00F94A94" w:rsidRDefault="00D417AA" w:rsidP="00F94A94"/>
      </w:sdtContent>
    </w:sdt>
    <w:p w14:paraId="4C096C2D" w14:textId="77777777"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2087C6C7" w14:textId="77777777" w:rsidR="00F94A94" w:rsidRDefault="00F94A94" w:rsidP="00F94A94"/>
    <w:p w14:paraId="13E17E43" w14:textId="77777777" w:rsidR="00F94A94" w:rsidRPr="006C455A" w:rsidRDefault="00F94A94" w:rsidP="00F94A94">
      <w:pPr>
        <w:rPr>
          <w:b/>
          <w:u w:val="single"/>
        </w:rPr>
      </w:pPr>
      <w:r w:rsidRPr="006C455A">
        <w:rPr>
          <w:b/>
          <w:u w:val="single"/>
        </w:rPr>
        <w:t>Le titulaire :</w:t>
      </w:r>
    </w:p>
    <w:p w14:paraId="4CB58C22"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BCDCC3D" w14:textId="77777777" w:rsidR="00F94A94" w:rsidRDefault="00F94A94" w:rsidP="00F94A94">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0DDD31" w14:textId="0B3A4B6F" w:rsidR="0041762E" w:rsidRDefault="0041762E" w:rsidP="00F94A94"/>
    <w:p w14:paraId="22EB654A" w14:textId="77777777" w:rsidR="00F94A94" w:rsidRPr="006C455A" w:rsidRDefault="00F94A94" w:rsidP="00F94A94">
      <w:pPr>
        <w:rPr>
          <w:b/>
          <w:u w:val="single"/>
        </w:rPr>
      </w:pPr>
      <w:r w:rsidRPr="006C455A">
        <w:rPr>
          <w:b/>
          <w:u w:val="single"/>
        </w:rPr>
        <w:t>Avance :</w:t>
      </w:r>
    </w:p>
    <w:p w14:paraId="3B997C1C" w14:textId="754D3C54" w:rsidR="00F94A94" w:rsidRDefault="00F94A94" w:rsidP="00F94A94">
      <w:r>
        <w:t xml:space="preserve">Conformément aux articles R.2191-16 </w:t>
      </w:r>
      <w:r w:rsidR="005D6E3B">
        <w:t xml:space="preserve">et suivants </w:t>
      </w:r>
      <w:r>
        <w:t xml:space="preserve">du code de la commande publique, une avance sera versée au titulaire (sauf refus de ce dernier) dans les conditions décrites dans ces dispositions. Le montant de cette avance est égal à </w:t>
      </w:r>
      <w:r w:rsidR="00767AB9">
        <w:t>3</w:t>
      </w:r>
      <w:r>
        <w:t xml:space="preserve">0% du montant du </w:t>
      </w:r>
      <w:r w:rsidR="0041762E">
        <w:t>marché</w:t>
      </w:r>
      <w:r w:rsidR="00BE3C00">
        <w:t xml:space="preserve"> ou de la tranche affermie</w:t>
      </w:r>
      <w:r>
        <w:t>. Cette avance n’est due au titulaire du marché que sur la part du marché qui ne fait pas l’objet de sous-traitance.</w:t>
      </w:r>
    </w:p>
    <w:p w14:paraId="0A3B08CE" w14:textId="77777777" w:rsidR="005D6E3B" w:rsidRDefault="00F94A94" w:rsidP="00F94A94">
      <w:r>
        <w:t>L’avance sera remboursée dans les conditions prévues à l’article R.2191-19 du code de la commande publique.</w:t>
      </w:r>
    </w:p>
    <w:p w14:paraId="15CD7705" w14:textId="77777777" w:rsidR="00F94A94" w:rsidRDefault="00F94A94" w:rsidP="00F94A94">
      <w:pPr>
        <w:rPr>
          <w:b/>
        </w:rPr>
      </w:pPr>
      <w:r w:rsidRPr="006C455A">
        <w:lastRenderedPageBreak/>
        <w:t>Le titulaire refuse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D417AA">
        <w:fldChar w:fldCharType="separate"/>
      </w:r>
      <w:r w:rsidRPr="007401C5">
        <w:fldChar w:fldCharType="end"/>
      </w:r>
      <w:r>
        <w:t xml:space="preserve"> </w:t>
      </w:r>
      <w:r w:rsidRPr="006C455A">
        <w:rPr>
          <w:b/>
        </w:rPr>
        <w:t>Non</w:t>
      </w:r>
    </w:p>
    <w:p w14:paraId="065BA66E" w14:textId="77777777" w:rsidR="005D6E3B" w:rsidRPr="006C455A" w:rsidRDefault="005D6E3B" w:rsidP="00F94A94">
      <w:r>
        <w:rPr>
          <w:b/>
        </w:rPr>
        <w:t xml:space="preserve">En cas d’acceptation de l’avance, elle est versée dans un délai de 30 jours à compter de la notification </w:t>
      </w:r>
      <w:r w:rsidR="00F8354A">
        <w:rPr>
          <w:b/>
        </w:rPr>
        <w:t>du marché</w:t>
      </w:r>
      <w:r>
        <w:rPr>
          <w:b/>
        </w:rPr>
        <w:t>.</w:t>
      </w:r>
    </w:p>
    <w:p w14:paraId="050C7280" w14:textId="77777777"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4991563E" w14:textId="77777777" w:rsidR="00410AFD" w:rsidRDefault="00A55631" w:rsidP="00A55631">
      <w:pPr>
        <w:pStyle w:val="Titre1"/>
      </w:pPr>
      <w:r>
        <w:t>Offre de prix</w:t>
      </w:r>
    </w:p>
    <w:p w14:paraId="67A655C6" w14:textId="77777777" w:rsidR="00B65F34" w:rsidRDefault="00680BFB" w:rsidP="00680BFB">
      <w:pPr>
        <w:pStyle w:val="Titre2"/>
      </w:pPr>
      <w:r>
        <w:t>Variation des prix</w:t>
      </w:r>
    </w:p>
    <w:p w14:paraId="7335712E" w14:textId="77777777" w:rsidR="00680BFB" w:rsidRDefault="00680BFB" w:rsidP="00680BFB">
      <w:r w:rsidRPr="00680BFB">
        <w:t xml:space="preserve">Les modalités de variation des prix sont fixées à l'article </w:t>
      </w:r>
      <w:r w:rsidR="00767AB9">
        <w:t>3.1.4</w:t>
      </w:r>
      <w:r>
        <w:t xml:space="preserve"> </w:t>
      </w:r>
      <w:r w:rsidRPr="00680BFB">
        <w:t>du CC</w:t>
      </w:r>
      <w:r>
        <w:t>A</w:t>
      </w:r>
      <w:r w:rsidRPr="00680BFB">
        <w:t>P.</w:t>
      </w:r>
    </w:p>
    <w:p w14:paraId="6443F343" w14:textId="77777777" w:rsidR="00F8354A" w:rsidRPr="007A31C9" w:rsidRDefault="00F8354A" w:rsidP="00F8354A">
      <w:pPr>
        <w:pStyle w:val="Titre2"/>
      </w:pPr>
      <w:r w:rsidRPr="007A31C9">
        <w:t>Montant du marché</w:t>
      </w:r>
    </w:p>
    <w:p w14:paraId="5F637361" w14:textId="77777777" w:rsidR="009349A7" w:rsidRDefault="009349A7" w:rsidP="00680BFB">
      <w:bookmarkStart w:id="0" w:name="Type_prix"/>
      <w:bookmarkEnd w:id="0"/>
    </w:p>
    <w:p w14:paraId="1DD82D6E" w14:textId="0206F14B" w:rsidR="00F8354A" w:rsidRPr="007A31C9" w:rsidRDefault="00F8354A" w:rsidP="00680BFB">
      <w:r w:rsidRPr="007A31C9">
        <w:t>Le marché est conclu pour un prix global et forfaitaire de</w:t>
      </w:r>
      <w:r w:rsidRPr="007A31C9">
        <w:rPr>
          <w:rFonts w:ascii="Calibri" w:hAnsi="Calibri" w:cs="Calibri"/>
        </w:rPr>
        <w:t> </w:t>
      </w:r>
      <w:r w:rsidRPr="007A31C9">
        <w:t xml:space="preserve">: </w:t>
      </w:r>
    </w:p>
    <w:p w14:paraId="747E5E8D" w14:textId="12799D7F" w:rsidR="00137D4A" w:rsidRPr="00AE1682" w:rsidRDefault="009349A7" w:rsidP="00680BFB">
      <w:pPr>
        <w:rPr>
          <w:b/>
        </w:rPr>
      </w:pPr>
      <w:r w:rsidRPr="00AE1682">
        <w:rPr>
          <w:b/>
        </w:rPr>
        <w:t xml:space="preserve">TRANCHE FERME </w:t>
      </w:r>
      <w:r w:rsidR="00137D4A" w:rsidRPr="00AE1682">
        <w:rPr>
          <w:b/>
        </w:rPr>
        <w:t>:</w:t>
      </w:r>
    </w:p>
    <w:p w14:paraId="280E67C5" w14:textId="77777777" w:rsidR="009349A7" w:rsidRPr="007A31C9" w:rsidRDefault="009349A7" w:rsidP="009349A7">
      <w:r>
        <w:rPr>
          <w:i/>
        </w:rPr>
        <w:t xml:space="preserve">Section technique 1 – Barrières de rétention :  </w:t>
      </w:r>
      <w:r w:rsidRPr="007A31C9">
        <w:t>Montant € HT</w:t>
      </w:r>
      <w:r w:rsidRPr="007A31C9">
        <w:rPr>
          <w:rFonts w:ascii="Calibri" w:hAnsi="Calibri" w:cs="Calibri"/>
        </w:rPr>
        <w:t> </w:t>
      </w:r>
      <w:r w:rsidRPr="007A31C9">
        <w:t>:               €</w:t>
      </w:r>
    </w:p>
    <w:p w14:paraId="2CBAD741" w14:textId="67C1CE15" w:rsidR="009349A7" w:rsidRDefault="009349A7" w:rsidP="00680BFB">
      <w:pPr>
        <w:rPr>
          <w:i/>
        </w:rPr>
      </w:pPr>
    </w:p>
    <w:p w14:paraId="122890D9" w14:textId="398BEF9F" w:rsidR="009349A7" w:rsidRDefault="009349A7" w:rsidP="009349A7">
      <w:r>
        <w:rPr>
          <w:i/>
        </w:rPr>
        <w:t>Section technique 2 – Electricit</w:t>
      </w:r>
      <w:r>
        <w:rPr>
          <w:rFonts w:ascii="Calibri" w:hAnsi="Calibri" w:cs="Calibri"/>
          <w:i/>
        </w:rPr>
        <w:t xml:space="preserve">é :      </w:t>
      </w:r>
      <w:r w:rsidRPr="007A31C9">
        <w:t>Montant € HT</w:t>
      </w:r>
      <w:r w:rsidRPr="007A31C9">
        <w:rPr>
          <w:rFonts w:ascii="Calibri" w:hAnsi="Calibri" w:cs="Calibri"/>
        </w:rPr>
        <w:t> </w:t>
      </w:r>
      <w:r w:rsidRPr="007A31C9">
        <w:t>:               €</w:t>
      </w:r>
    </w:p>
    <w:p w14:paraId="48747FED" w14:textId="385C86C8" w:rsidR="009349A7" w:rsidRDefault="009349A7" w:rsidP="009349A7"/>
    <w:p w14:paraId="35D05F27" w14:textId="5EC8C035" w:rsidR="009349A7" w:rsidRPr="007A31C9" w:rsidRDefault="009349A7" w:rsidP="009349A7">
      <w:r>
        <w:t>Section technique 3 – Prestations annexes</w:t>
      </w:r>
      <w:r>
        <w:rPr>
          <w:rFonts w:ascii="Calibri" w:hAnsi="Calibri" w:cs="Calibri"/>
        </w:rPr>
        <w:t> </w:t>
      </w:r>
      <w:r>
        <w:t xml:space="preserve">:    </w:t>
      </w:r>
      <w:r w:rsidRPr="007A31C9">
        <w:t>Montant € HT</w:t>
      </w:r>
      <w:r w:rsidRPr="007A31C9">
        <w:rPr>
          <w:rFonts w:ascii="Calibri" w:hAnsi="Calibri" w:cs="Calibri"/>
        </w:rPr>
        <w:t> </w:t>
      </w:r>
      <w:r w:rsidRPr="007A31C9">
        <w:t>:               €</w:t>
      </w:r>
    </w:p>
    <w:p w14:paraId="50AB7EC5" w14:textId="053AA4C9" w:rsidR="009349A7" w:rsidRPr="007A31C9" w:rsidRDefault="009349A7" w:rsidP="009349A7"/>
    <w:p w14:paraId="110BF9A9" w14:textId="7BCD6855" w:rsidR="009349A7" w:rsidRPr="00AE1682" w:rsidRDefault="009349A7" w:rsidP="00680BFB">
      <w:pPr>
        <w:rPr>
          <w:i/>
        </w:rPr>
      </w:pPr>
    </w:p>
    <w:p w14:paraId="4278FCDA" w14:textId="5DCDD6F2" w:rsidR="009349A7" w:rsidRDefault="009349A7" w:rsidP="00680BFB">
      <w:r>
        <w:t>Soit un montant total € HT</w:t>
      </w:r>
      <w:r>
        <w:rPr>
          <w:rFonts w:ascii="Calibri" w:hAnsi="Calibri" w:cs="Calibri"/>
        </w:rPr>
        <w:t> </w:t>
      </w:r>
      <w:r>
        <w:t>:</w:t>
      </w:r>
    </w:p>
    <w:p w14:paraId="6601D2B5" w14:textId="77777777" w:rsidR="00F8354A" w:rsidRPr="007A31C9" w:rsidRDefault="00F8354A" w:rsidP="00680BFB">
      <w:r w:rsidRPr="007A31C9">
        <w:t>Montant TVA</w:t>
      </w:r>
      <w:r w:rsidRPr="007A31C9">
        <w:rPr>
          <w:rFonts w:ascii="Calibri" w:hAnsi="Calibri" w:cs="Calibri"/>
        </w:rPr>
        <w:t> </w:t>
      </w:r>
      <w:r w:rsidRPr="007A31C9">
        <w:t>:            €</w:t>
      </w:r>
    </w:p>
    <w:p w14:paraId="6EFD6994" w14:textId="77777777" w:rsidR="00F8354A" w:rsidRPr="007A31C9" w:rsidRDefault="00F8354A" w:rsidP="00680BFB">
      <w:r w:rsidRPr="007A31C9">
        <w:t>Montant TTC</w:t>
      </w:r>
      <w:r w:rsidRPr="007A31C9">
        <w:rPr>
          <w:rFonts w:ascii="Calibri" w:hAnsi="Calibri" w:cs="Calibri"/>
        </w:rPr>
        <w:t> </w:t>
      </w:r>
      <w:r w:rsidRPr="007A31C9">
        <w:t xml:space="preserve">:  </w:t>
      </w:r>
      <w:r w:rsidR="00954B66">
        <w:t xml:space="preserve">           </w:t>
      </w:r>
      <w:r w:rsidRPr="007A31C9">
        <w:t>€</w:t>
      </w:r>
    </w:p>
    <w:p w14:paraId="0AC84E53" w14:textId="6089B1CA" w:rsidR="00F8354A" w:rsidRDefault="00F8354A" w:rsidP="00680BFB">
      <w:r w:rsidRPr="007A31C9">
        <w:t>Soit en lettres</w:t>
      </w:r>
      <w:r w:rsidR="007A31C9" w:rsidRPr="007A31C9">
        <w:rPr>
          <w:rFonts w:ascii="Calibri" w:hAnsi="Calibri" w:cs="Calibri"/>
        </w:rPr>
        <w:t> </w:t>
      </w:r>
      <w:r w:rsidR="007A31C9" w:rsidRPr="007A31C9">
        <w:t>:</w:t>
      </w:r>
      <w:r w:rsidRPr="007A31C9">
        <w:t xml:space="preserve">             toutes taxes comprises</w:t>
      </w:r>
    </w:p>
    <w:p w14:paraId="1D768EFE" w14:textId="68585C5F" w:rsidR="00137D4A" w:rsidRDefault="00137D4A" w:rsidP="00680BFB"/>
    <w:p w14:paraId="61C8A119" w14:textId="35058803" w:rsidR="00137D4A" w:rsidRDefault="009349A7" w:rsidP="00137D4A">
      <w:pPr>
        <w:rPr>
          <w:b/>
        </w:rPr>
      </w:pPr>
      <w:r w:rsidRPr="00AE1682">
        <w:rPr>
          <w:b/>
        </w:rPr>
        <w:t>TRANCHE OPTIONNELLE 1</w:t>
      </w:r>
    </w:p>
    <w:p w14:paraId="79C01FB6" w14:textId="1A5C3860" w:rsidR="009349A7" w:rsidRPr="00AE1682" w:rsidRDefault="009349A7" w:rsidP="00137D4A">
      <w:pPr>
        <w:rPr>
          <w:i/>
        </w:rPr>
      </w:pPr>
      <w:r>
        <w:rPr>
          <w:i/>
        </w:rPr>
        <w:t xml:space="preserve">Section technique 4 – Maintenance </w:t>
      </w:r>
    </w:p>
    <w:p w14:paraId="68D91C10" w14:textId="77777777" w:rsidR="00137D4A" w:rsidRPr="007A31C9" w:rsidRDefault="00137D4A" w:rsidP="00137D4A">
      <w:r w:rsidRPr="007A31C9">
        <w:t>Montant € HT</w:t>
      </w:r>
      <w:r w:rsidRPr="007A31C9">
        <w:rPr>
          <w:rFonts w:ascii="Calibri" w:hAnsi="Calibri" w:cs="Calibri"/>
        </w:rPr>
        <w:t> </w:t>
      </w:r>
      <w:r w:rsidRPr="007A31C9">
        <w:t>:               €</w:t>
      </w:r>
    </w:p>
    <w:p w14:paraId="6C1685CD" w14:textId="77777777" w:rsidR="00137D4A" w:rsidRPr="007A31C9" w:rsidRDefault="00137D4A" w:rsidP="00137D4A">
      <w:r w:rsidRPr="007A31C9">
        <w:t>Montant TVA</w:t>
      </w:r>
      <w:r w:rsidRPr="007A31C9">
        <w:rPr>
          <w:rFonts w:ascii="Calibri" w:hAnsi="Calibri" w:cs="Calibri"/>
        </w:rPr>
        <w:t> </w:t>
      </w:r>
      <w:r w:rsidRPr="007A31C9">
        <w:t>:            €</w:t>
      </w:r>
    </w:p>
    <w:p w14:paraId="3717EA35" w14:textId="77777777" w:rsidR="00137D4A" w:rsidRPr="007A31C9" w:rsidRDefault="00137D4A" w:rsidP="00137D4A">
      <w:r w:rsidRPr="007A31C9">
        <w:t>Montant TTC</w:t>
      </w:r>
      <w:r w:rsidRPr="007A31C9">
        <w:rPr>
          <w:rFonts w:ascii="Calibri" w:hAnsi="Calibri" w:cs="Calibri"/>
        </w:rPr>
        <w:t> </w:t>
      </w:r>
      <w:r w:rsidRPr="007A31C9">
        <w:t xml:space="preserve">:  </w:t>
      </w:r>
      <w:r>
        <w:t xml:space="preserve">           </w:t>
      </w:r>
      <w:r w:rsidRPr="007A31C9">
        <w:t>€</w:t>
      </w:r>
    </w:p>
    <w:p w14:paraId="2B80B9EA" w14:textId="77777777" w:rsidR="00137D4A" w:rsidRDefault="00137D4A" w:rsidP="00137D4A">
      <w:r w:rsidRPr="007A31C9">
        <w:t>Soit en lettres</w:t>
      </w:r>
      <w:r w:rsidRPr="007A31C9">
        <w:rPr>
          <w:rFonts w:ascii="Calibri" w:hAnsi="Calibri" w:cs="Calibri"/>
        </w:rPr>
        <w:t> </w:t>
      </w:r>
      <w:r w:rsidRPr="007A31C9">
        <w:t>:             toutes taxes comprises</w:t>
      </w:r>
    </w:p>
    <w:p w14:paraId="20DC87E6" w14:textId="2C73EF2C" w:rsidR="00137D4A" w:rsidRDefault="00137D4A" w:rsidP="00680BFB"/>
    <w:p w14:paraId="201AEB41" w14:textId="01BDD1C6" w:rsidR="00137D4A" w:rsidRPr="00AE1682" w:rsidRDefault="009349A7" w:rsidP="00137D4A">
      <w:pPr>
        <w:rPr>
          <w:b/>
        </w:rPr>
      </w:pPr>
      <w:r w:rsidRPr="00AE1682">
        <w:rPr>
          <w:b/>
        </w:rPr>
        <w:t xml:space="preserve">MONTANT TOTAL DU MARCHE </w:t>
      </w:r>
    </w:p>
    <w:p w14:paraId="43BFDC87" w14:textId="77777777" w:rsidR="00137D4A" w:rsidRPr="007A31C9" w:rsidRDefault="00137D4A" w:rsidP="00137D4A">
      <w:r w:rsidRPr="007A31C9">
        <w:t>Montant € HT</w:t>
      </w:r>
      <w:r w:rsidRPr="007A31C9">
        <w:rPr>
          <w:rFonts w:ascii="Calibri" w:hAnsi="Calibri" w:cs="Calibri"/>
        </w:rPr>
        <w:t> </w:t>
      </w:r>
      <w:r w:rsidRPr="007A31C9">
        <w:t>:               €</w:t>
      </w:r>
    </w:p>
    <w:p w14:paraId="327BFE8F" w14:textId="77777777" w:rsidR="00137D4A" w:rsidRPr="007A31C9" w:rsidRDefault="00137D4A" w:rsidP="00137D4A">
      <w:r w:rsidRPr="007A31C9">
        <w:t>Montant TVA</w:t>
      </w:r>
      <w:r w:rsidRPr="007A31C9">
        <w:rPr>
          <w:rFonts w:ascii="Calibri" w:hAnsi="Calibri" w:cs="Calibri"/>
        </w:rPr>
        <w:t> </w:t>
      </w:r>
      <w:r w:rsidRPr="007A31C9">
        <w:t>:            €</w:t>
      </w:r>
    </w:p>
    <w:p w14:paraId="59E193C8" w14:textId="77777777" w:rsidR="00137D4A" w:rsidRPr="007A31C9" w:rsidRDefault="00137D4A" w:rsidP="00137D4A">
      <w:r w:rsidRPr="007A31C9">
        <w:t>Montant TTC</w:t>
      </w:r>
      <w:r w:rsidRPr="007A31C9">
        <w:rPr>
          <w:rFonts w:ascii="Calibri" w:hAnsi="Calibri" w:cs="Calibri"/>
        </w:rPr>
        <w:t> </w:t>
      </w:r>
      <w:r w:rsidRPr="007A31C9">
        <w:t xml:space="preserve">:  </w:t>
      </w:r>
      <w:r>
        <w:t xml:space="preserve">           </w:t>
      </w:r>
      <w:r w:rsidRPr="007A31C9">
        <w:t>€</w:t>
      </w:r>
    </w:p>
    <w:p w14:paraId="76AB2E44" w14:textId="6ABF0584" w:rsidR="00137D4A" w:rsidRDefault="00137D4A" w:rsidP="00680BFB">
      <w:r w:rsidRPr="007A31C9">
        <w:t>Soit en lettres</w:t>
      </w:r>
      <w:r w:rsidRPr="007A31C9">
        <w:rPr>
          <w:rFonts w:ascii="Calibri" w:hAnsi="Calibri" w:cs="Calibri"/>
        </w:rPr>
        <w:t> </w:t>
      </w:r>
      <w:r w:rsidRPr="007A31C9">
        <w:t>:             toutes taxes comprises</w:t>
      </w:r>
    </w:p>
    <w:p w14:paraId="41718DDC" w14:textId="77777777" w:rsidR="00680BFB" w:rsidRDefault="00680BFB" w:rsidP="00680BFB">
      <w:pPr>
        <w:pStyle w:val="Titre1"/>
      </w:pPr>
      <w:r>
        <w:t>Durée du marché et délais</w:t>
      </w:r>
    </w:p>
    <w:p w14:paraId="311B97C4" w14:textId="6A253DF1" w:rsidR="0041762E" w:rsidRDefault="006546F6" w:rsidP="00680BFB">
      <w:r>
        <w:t>Le délai d’exécution des prestations est dé</w:t>
      </w:r>
      <w:bookmarkStart w:id="1" w:name="_GoBack"/>
      <w:bookmarkEnd w:id="1"/>
      <w:r>
        <w:t xml:space="preserve">fini à l’article </w:t>
      </w:r>
      <w:r w:rsidR="009349A7">
        <w:t>4.1</w:t>
      </w:r>
      <w:r>
        <w:t xml:space="preserve"> du CCAP.</w:t>
      </w:r>
    </w:p>
    <w:p w14:paraId="1FE250AA" w14:textId="77777777" w:rsidR="00006CC6" w:rsidRDefault="00006CC6" w:rsidP="00006CC6">
      <w:pPr>
        <w:pStyle w:val="Titre1"/>
      </w:pPr>
      <w:r>
        <w:lastRenderedPageBreak/>
        <w:t>Responsable physique du titulaire pour le marché</w:t>
      </w:r>
    </w:p>
    <w:p w14:paraId="483D55F6" w14:textId="413363D2" w:rsidR="00006CC6" w:rsidRDefault="00006CC6" w:rsidP="00006CC6">
      <w:r w:rsidRPr="00751FB8">
        <w:t>Le responsable d</w:t>
      </w:r>
      <w:r>
        <w:t>u marché</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006CC6" w:rsidRPr="00877582" w14:paraId="2009B0C3" w14:textId="77777777" w:rsidTr="00344FC6">
        <w:trPr>
          <w:jc w:val="center"/>
        </w:trPr>
        <w:tc>
          <w:tcPr>
            <w:tcW w:w="2972" w:type="dxa"/>
            <w:gridSpan w:val="2"/>
          </w:tcPr>
          <w:p w14:paraId="74178DCA" w14:textId="77777777" w:rsidR="00006CC6" w:rsidRPr="00877582" w:rsidRDefault="00006CC6" w:rsidP="00344FC6">
            <w:r w:rsidRPr="00877582">
              <w:t>M – Mme</w:t>
            </w:r>
            <w:r w:rsidRPr="00877582">
              <w:rPr>
                <w:vertAlign w:val="superscript"/>
              </w:rPr>
              <w:footnoteReference w:id="12"/>
            </w:r>
            <w:r w:rsidRPr="00877582">
              <w:t xml:space="preserve"> (Nom Prénom)</w:t>
            </w:r>
          </w:p>
        </w:tc>
        <w:tc>
          <w:tcPr>
            <w:tcW w:w="6028" w:type="dxa"/>
            <w:gridSpan w:val="3"/>
            <w:shd w:val="clear" w:color="auto" w:fill="auto"/>
          </w:tcPr>
          <w:p w14:paraId="46A76CE7" w14:textId="77777777" w:rsidR="00006CC6" w:rsidRPr="00877582" w:rsidRDefault="00006CC6" w:rsidP="00344FC6">
            <w:r w:rsidRPr="00877582">
              <w:fldChar w:fldCharType="begin">
                <w:ffData>
                  <w:name w:val="Texte7"/>
                  <w:enabled/>
                  <w:calcOnExit w:val="0"/>
                  <w:textInput/>
                </w:ffData>
              </w:fldChar>
            </w:r>
            <w:r w:rsidRPr="00877582">
              <w:instrText xml:space="preserve"> </w:instrText>
            </w:r>
            <w:bookmarkStart w:id="2"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2"/>
          </w:p>
        </w:tc>
      </w:tr>
      <w:tr w:rsidR="00006CC6" w:rsidRPr="00877582" w14:paraId="463B6359" w14:textId="77777777" w:rsidTr="00344FC6">
        <w:trPr>
          <w:jc w:val="center"/>
        </w:trPr>
        <w:tc>
          <w:tcPr>
            <w:tcW w:w="1980" w:type="dxa"/>
          </w:tcPr>
          <w:p w14:paraId="2ECEF053" w14:textId="77777777" w:rsidR="00006CC6" w:rsidRPr="00877582" w:rsidRDefault="00006CC6" w:rsidP="00344FC6">
            <w:r w:rsidRPr="00877582">
              <w:t>N° téléphone</w:t>
            </w:r>
            <w:r w:rsidRPr="00877582">
              <w:rPr>
                <w:rFonts w:ascii="Calibri" w:hAnsi="Calibri" w:cs="Calibri"/>
              </w:rPr>
              <w:t> </w:t>
            </w:r>
            <w:r w:rsidRPr="00877582">
              <w:t>:</w:t>
            </w:r>
          </w:p>
        </w:tc>
        <w:tc>
          <w:tcPr>
            <w:tcW w:w="2625" w:type="dxa"/>
            <w:gridSpan w:val="2"/>
          </w:tcPr>
          <w:p w14:paraId="53E65E91" w14:textId="77777777" w:rsidR="00006CC6" w:rsidRPr="00877582" w:rsidRDefault="00006CC6" w:rsidP="00344FC6">
            <w:r w:rsidRPr="00877582">
              <w:fldChar w:fldCharType="begin">
                <w:ffData>
                  <w:name w:val="Texte8"/>
                  <w:enabled/>
                  <w:calcOnExit w:val="0"/>
                  <w:textInput/>
                </w:ffData>
              </w:fldChar>
            </w:r>
            <w:bookmarkStart w:id="3"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3"/>
          </w:p>
        </w:tc>
        <w:tc>
          <w:tcPr>
            <w:tcW w:w="1486" w:type="dxa"/>
          </w:tcPr>
          <w:p w14:paraId="47C6C647" w14:textId="77777777" w:rsidR="00006CC6" w:rsidRPr="00877582" w:rsidRDefault="00006CC6" w:rsidP="00344FC6">
            <w:r w:rsidRPr="00877582">
              <w:t>N° mobile</w:t>
            </w:r>
            <w:r w:rsidRPr="00877582">
              <w:rPr>
                <w:rFonts w:ascii="Calibri" w:hAnsi="Calibri" w:cs="Calibri"/>
              </w:rPr>
              <w:t> </w:t>
            </w:r>
            <w:r w:rsidRPr="00877582">
              <w:t>:</w:t>
            </w:r>
          </w:p>
        </w:tc>
        <w:tc>
          <w:tcPr>
            <w:tcW w:w="2909" w:type="dxa"/>
          </w:tcPr>
          <w:p w14:paraId="2FB17752" w14:textId="77777777" w:rsidR="00006CC6" w:rsidRPr="00877582" w:rsidRDefault="00006CC6" w:rsidP="00344FC6">
            <w:r w:rsidRPr="00877582">
              <w:fldChar w:fldCharType="begin">
                <w:ffData>
                  <w:name w:val="Texte9"/>
                  <w:enabled/>
                  <w:calcOnExit w:val="0"/>
                  <w:textInput/>
                </w:ffData>
              </w:fldChar>
            </w:r>
            <w:bookmarkStart w:id="4"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r w:rsidR="00006CC6" w:rsidRPr="00877582" w14:paraId="71BE9984" w14:textId="77777777" w:rsidTr="00344FC6">
        <w:trPr>
          <w:jc w:val="center"/>
        </w:trPr>
        <w:tc>
          <w:tcPr>
            <w:tcW w:w="2972" w:type="dxa"/>
            <w:gridSpan w:val="2"/>
          </w:tcPr>
          <w:p w14:paraId="6F5F3003" w14:textId="77777777" w:rsidR="00006CC6" w:rsidRPr="00877582" w:rsidRDefault="00006CC6" w:rsidP="00344FC6">
            <w:r w:rsidRPr="00877582">
              <w:t>Adresse électronique</w:t>
            </w:r>
            <w:r w:rsidRPr="00877582">
              <w:rPr>
                <w:rFonts w:ascii="Calibri" w:hAnsi="Calibri" w:cs="Calibri"/>
              </w:rPr>
              <w:t> </w:t>
            </w:r>
            <w:r w:rsidRPr="00877582">
              <w:t>:</w:t>
            </w:r>
          </w:p>
        </w:tc>
        <w:tc>
          <w:tcPr>
            <w:tcW w:w="6028" w:type="dxa"/>
            <w:gridSpan w:val="3"/>
          </w:tcPr>
          <w:p w14:paraId="31C1C566" w14:textId="77777777" w:rsidR="00006CC6" w:rsidRPr="00877582" w:rsidRDefault="00006CC6" w:rsidP="00344FC6">
            <w:r w:rsidRPr="00877582">
              <w:fldChar w:fldCharType="begin">
                <w:ffData>
                  <w:name w:val="Texte10"/>
                  <w:enabled/>
                  <w:calcOnExit w:val="0"/>
                  <w:textInput/>
                </w:ffData>
              </w:fldChar>
            </w:r>
            <w:bookmarkStart w:id="5"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bl>
    <w:p w14:paraId="38145763" w14:textId="77777777" w:rsidR="00006CC6" w:rsidRDefault="00006CC6" w:rsidP="00006CC6"/>
    <w:p w14:paraId="7F69434F" w14:textId="77777777" w:rsidR="00006CC6" w:rsidRPr="00751FB8" w:rsidRDefault="00006CC6" w:rsidP="00006CC6">
      <w:r w:rsidRPr="00751FB8">
        <w:t>Le changement de responsable physique en cours d'exécution du contrat est soumis à l'agrément préalable de la personne publique.</w:t>
      </w:r>
    </w:p>
    <w:p w14:paraId="04481F72" w14:textId="13043986" w:rsidR="00006CC6" w:rsidRDefault="00006CC6" w:rsidP="00006CC6">
      <w:r w:rsidRPr="00751FB8">
        <w:t>En</w:t>
      </w:r>
      <w:r w:rsidR="00EA5BC2">
        <w:t xml:space="preserve"> cas d’absence du responsable du marché</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006CC6" w:rsidRPr="00877582" w14:paraId="58DBF5C2" w14:textId="77777777" w:rsidTr="00344FC6">
        <w:trPr>
          <w:jc w:val="center"/>
        </w:trPr>
        <w:tc>
          <w:tcPr>
            <w:tcW w:w="2972" w:type="dxa"/>
            <w:gridSpan w:val="2"/>
          </w:tcPr>
          <w:p w14:paraId="5DEB01B3" w14:textId="77777777" w:rsidR="00006CC6" w:rsidRPr="00877582" w:rsidRDefault="00006CC6" w:rsidP="00344FC6">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1BAD0D17" w14:textId="77777777" w:rsidR="00006CC6" w:rsidRPr="00877582" w:rsidRDefault="00006CC6" w:rsidP="00344FC6">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006CC6" w:rsidRPr="00877582" w14:paraId="2C8FA5A5" w14:textId="77777777" w:rsidTr="00344FC6">
        <w:trPr>
          <w:jc w:val="center"/>
        </w:trPr>
        <w:tc>
          <w:tcPr>
            <w:tcW w:w="1980" w:type="dxa"/>
          </w:tcPr>
          <w:p w14:paraId="096FFB7B" w14:textId="77777777" w:rsidR="00006CC6" w:rsidRPr="00877582" w:rsidRDefault="00006CC6" w:rsidP="00344FC6">
            <w:r w:rsidRPr="00877582">
              <w:t>N° téléphone</w:t>
            </w:r>
            <w:r w:rsidRPr="00877582">
              <w:rPr>
                <w:rFonts w:ascii="Calibri" w:hAnsi="Calibri" w:cs="Calibri"/>
              </w:rPr>
              <w:t> </w:t>
            </w:r>
            <w:r w:rsidRPr="00877582">
              <w:t>:</w:t>
            </w:r>
          </w:p>
        </w:tc>
        <w:tc>
          <w:tcPr>
            <w:tcW w:w="2625" w:type="dxa"/>
            <w:gridSpan w:val="2"/>
          </w:tcPr>
          <w:p w14:paraId="280F55A8" w14:textId="77777777" w:rsidR="00006CC6" w:rsidRPr="00877582" w:rsidRDefault="00006CC6" w:rsidP="00344FC6">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6F55DBCE" w14:textId="77777777" w:rsidR="00006CC6" w:rsidRPr="00877582" w:rsidRDefault="00006CC6" w:rsidP="00344FC6">
            <w:r w:rsidRPr="00877582">
              <w:t>N° mobile</w:t>
            </w:r>
            <w:r w:rsidRPr="00877582">
              <w:rPr>
                <w:rFonts w:ascii="Calibri" w:hAnsi="Calibri" w:cs="Calibri"/>
              </w:rPr>
              <w:t> </w:t>
            </w:r>
            <w:r w:rsidRPr="00877582">
              <w:t>:</w:t>
            </w:r>
          </w:p>
        </w:tc>
        <w:tc>
          <w:tcPr>
            <w:tcW w:w="2768" w:type="dxa"/>
          </w:tcPr>
          <w:p w14:paraId="4BDE5C81" w14:textId="77777777" w:rsidR="00006CC6" w:rsidRPr="00877582" w:rsidRDefault="00006CC6" w:rsidP="00344FC6">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006CC6" w:rsidRPr="00877582" w14:paraId="39B99EB8" w14:textId="77777777" w:rsidTr="00344FC6">
        <w:trPr>
          <w:jc w:val="center"/>
        </w:trPr>
        <w:tc>
          <w:tcPr>
            <w:tcW w:w="2972" w:type="dxa"/>
            <w:gridSpan w:val="2"/>
          </w:tcPr>
          <w:p w14:paraId="1DD26A2F" w14:textId="77777777" w:rsidR="00006CC6" w:rsidRPr="00877582" w:rsidRDefault="00006CC6" w:rsidP="00344FC6">
            <w:r w:rsidRPr="00877582">
              <w:t>Adresse électronique</w:t>
            </w:r>
            <w:r w:rsidRPr="00877582">
              <w:rPr>
                <w:rFonts w:ascii="Calibri" w:hAnsi="Calibri" w:cs="Calibri"/>
              </w:rPr>
              <w:t> </w:t>
            </w:r>
            <w:r w:rsidRPr="00877582">
              <w:t>:</w:t>
            </w:r>
          </w:p>
        </w:tc>
        <w:tc>
          <w:tcPr>
            <w:tcW w:w="6028" w:type="dxa"/>
            <w:gridSpan w:val="3"/>
          </w:tcPr>
          <w:p w14:paraId="2C404C3E" w14:textId="77777777" w:rsidR="00006CC6" w:rsidRPr="00877582" w:rsidRDefault="00006CC6" w:rsidP="00344FC6">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0A99FA7F" w14:textId="77777777" w:rsidR="001612A6" w:rsidRDefault="001612A6" w:rsidP="001612A6">
      <w:pPr>
        <w:pStyle w:val="Titre1"/>
      </w:pPr>
      <w:r>
        <w:t>Paiements</w:t>
      </w:r>
    </w:p>
    <w:p w14:paraId="502B87C4" w14:textId="31C63C6B" w:rsidR="001612A6" w:rsidRDefault="001612A6" w:rsidP="001612A6">
      <w:r>
        <w:t xml:space="preserve">Les modalités du règlement des comptes </w:t>
      </w:r>
      <w:r w:rsidR="0064549F">
        <w:t xml:space="preserve">du marché </w:t>
      </w:r>
      <w:r>
        <w:t xml:space="preserve">sont spécifiées à l’article </w:t>
      </w:r>
      <w:r w:rsidR="009349A7">
        <w:t>3.1</w:t>
      </w:r>
      <w:r>
        <w:t xml:space="preserve"> du CCAP.</w:t>
      </w:r>
    </w:p>
    <w:p w14:paraId="31045BCC" w14:textId="77777777" w:rsidR="001612A6" w:rsidRDefault="001612A6" w:rsidP="001612A6">
      <w:r>
        <w:t xml:space="preserve">Le maître de l'ouvrage se libèrera des sommes dues au titre du présent </w:t>
      </w:r>
      <w:r w:rsidR="00D2796A">
        <w:t>marché</w:t>
      </w:r>
      <w:r>
        <w:t xml:space="preserve"> en faisant porter le montant au crédit du/des compte(s) ouvert(s) conformément au(x) RIB au format IBAN joint(s) à l’offre.</w:t>
      </w:r>
    </w:p>
    <w:p w14:paraId="0F4262AD" w14:textId="77777777" w:rsidR="001612A6" w:rsidRDefault="001612A6" w:rsidP="001612A6">
      <w:pPr>
        <w:pStyle w:val="Titre1"/>
      </w:pPr>
      <w:r>
        <w:t>Délai de validité des offres</w:t>
      </w:r>
    </w:p>
    <w:p w14:paraId="00D037DB" w14:textId="67F16F1D" w:rsidR="001612A6" w:rsidRDefault="001612A6" w:rsidP="001612A6">
      <w:r>
        <w:t xml:space="preserve">L'offre ainsi présentée ne lie </w:t>
      </w:r>
      <w:r w:rsidR="00F8354A">
        <w:t>le soumissionnaire</w:t>
      </w:r>
      <w:r>
        <w:t xml:space="preserve"> que si le marché lui est attribué dans un </w:t>
      </w:r>
      <w:r w:rsidRPr="001612A6">
        <w:rPr>
          <w:rStyle w:val="lev"/>
        </w:rPr>
        <w:t>délai de</w:t>
      </w:r>
      <w:r w:rsidR="001F0D3A">
        <w:rPr>
          <w:rStyle w:val="lev"/>
        </w:rPr>
        <w:t xml:space="preserve"> </w:t>
      </w:r>
      <w:r w:rsidR="00EA5BC2">
        <w:rPr>
          <w:rStyle w:val="lev"/>
        </w:rPr>
        <w:t>6</w:t>
      </w:r>
      <w:r w:rsidRPr="001612A6">
        <w:rPr>
          <w:rStyle w:val="lev"/>
        </w:rPr>
        <w:t xml:space="preserve"> mois</w:t>
      </w:r>
      <w:r>
        <w:t xml:space="preserve"> à compter de la date limite de remise des offres fixée par l’avis d’appel public à la concurrence. </w:t>
      </w:r>
    </w:p>
    <w:p w14:paraId="4EFB7817" w14:textId="0E42CC20" w:rsidR="001612A6" w:rsidRDefault="001612A6" w:rsidP="001612A6">
      <w:r>
        <w:t xml:space="preserve">La notification du marché pouvant intervenir à une date ultérieure, au-delà du délai de </w:t>
      </w:r>
      <w:r w:rsidR="00EA5BC2">
        <w:t>6</w:t>
      </w:r>
      <w:r>
        <w:t xml:space="preserve"> mois précisé ci-dessus.</w:t>
      </w:r>
    </w:p>
    <w:p w14:paraId="339DAE0F" w14:textId="432B4566" w:rsidR="009349A7" w:rsidRDefault="009349A7" w:rsidP="001612A6"/>
    <w:p w14:paraId="6E122CA0" w14:textId="4A46D668" w:rsidR="009349A7" w:rsidRDefault="009349A7" w:rsidP="001612A6"/>
    <w:p w14:paraId="1A9C3D5C" w14:textId="76EAA346" w:rsidR="009349A7" w:rsidRDefault="009349A7" w:rsidP="001612A6"/>
    <w:p w14:paraId="22869EC1" w14:textId="2185225D" w:rsidR="009349A7" w:rsidRDefault="009349A7" w:rsidP="001612A6"/>
    <w:p w14:paraId="0B8411DF" w14:textId="64AE4172" w:rsidR="009349A7" w:rsidRDefault="009349A7" w:rsidP="001612A6"/>
    <w:p w14:paraId="0C119D6A" w14:textId="1AD0ADAC" w:rsidR="009349A7" w:rsidRDefault="009349A7" w:rsidP="001612A6"/>
    <w:p w14:paraId="52A361DF" w14:textId="60EE7F4D" w:rsidR="009349A7" w:rsidRDefault="009349A7" w:rsidP="001612A6"/>
    <w:p w14:paraId="38969E44" w14:textId="054262C2" w:rsidR="009349A7" w:rsidRDefault="009349A7" w:rsidP="001612A6"/>
    <w:p w14:paraId="5ED36DF6" w14:textId="702E6D20" w:rsidR="009349A7" w:rsidRDefault="009349A7" w:rsidP="001612A6"/>
    <w:p w14:paraId="401D6102" w14:textId="421F5149" w:rsidR="009349A7" w:rsidRDefault="009349A7" w:rsidP="001612A6"/>
    <w:p w14:paraId="467E22E7" w14:textId="700DD966" w:rsidR="009349A7" w:rsidRDefault="009349A7" w:rsidP="001612A6"/>
    <w:p w14:paraId="5E5A03F5" w14:textId="77777777" w:rsidR="009349A7" w:rsidRDefault="009349A7" w:rsidP="001612A6"/>
    <w:p w14:paraId="44021B95" w14:textId="77777777" w:rsidR="00D82B95" w:rsidRDefault="00D82B95" w:rsidP="001612A6"/>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1612A6" w:rsidRPr="001612A6" w14:paraId="52125C21" w14:textId="77777777" w:rsidTr="00991BD6">
        <w:trPr>
          <w:trHeight w:val="2075"/>
        </w:trPr>
        <w:tc>
          <w:tcPr>
            <w:tcW w:w="9072" w:type="dxa"/>
          </w:tcPr>
          <w:p w14:paraId="67ECF34B" w14:textId="3D438287" w:rsidR="001612A6" w:rsidRPr="001612A6" w:rsidRDefault="001612A6" w:rsidP="001612A6">
            <w:pPr>
              <w:rPr>
                <w:bCs/>
                <w:i/>
              </w:rPr>
            </w:pPr>
            <w:r>
              <w:lastRenderedPageBreak/>
              <w:br w:type="page"/>
            </w: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 xml:space="preserve">signature et cachet </w:t>
            </w:r>
            <w:r w:rsidR="00954B66">
              <w:rPr>
                <w:bCs/>
                <w:i/>
              </w:rPr>
              <w:t>du soumissionnaire</w:t>
            </w:r>
            <w:r w:rsidRPr="001612A6">
              <w:rPr>
                <w:bCs/>
                <w:i/>
              </w:rPr>
              <w:t xml:space="preserve"> dûment habilité)</w:t>
            </w:r>
          </w:p>
          <w:p w14:paraId="083E6296"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C58BBE7" w14:textId="77777777" w:rsidR="001612A6" w:rsidRPr="001612A6" w:rsidRDefault="001612A6" w:rsidP="001612A6">
            <w:pPr>
              <w:rPr>
                <w:bCs/>
              </w:rPr>
            </w:pPr>
            <w:r w:rsidRPr="001612A6">
              <w:rPr>
                <w:bCs/>
              </w:rPr>
              <w:t>A                         le</w:t>
            </w:r>
          </w:p>
          <w:p w14:paraId="532D7B96" w14:textId="77777777" w:rsidR="001612A6" w:rsidRPr="001612A6" w:rsidRDefault="001612A6" w:rsidP="001612A6">
            <w:pPr>
              <w:rPr>
                <w:bCs/>
              </w:rPr>
            </w:pPr>
          </w:p>
          <w:p w14:paraId="12EB0E33" w14:textId="3DD30A06" w:rsidR="001612A6" w:rsidRDefault="001612A6" w:rsidP="001612A6">
            <w:pPr>
              <w:rPr>
                <w:bCs/>
              </w:rPr>
            </w:pPr>
          </w:p>
          <w:p w14:paraId="64345C79" w14:textId="77777777" w:rsidR="00991BD6" w:rsidRPr="001612A6" w:rsidRDefault="00991BD6" w:rsidP="001612A6">
            <w:pPr>
              <w:rPr>
                <w:bCs/>
              </w:rPr>
            </w:pPr>
          </w:p>
          <w:p w14:paraId="68A721A9" w14:textId="77777777" w:rsidR="001612A6" w:rsidRPr="001612A6" w:rsidRDefault="001612A6" w:rsidP="001612A6">
            <w:pPr>
              <w:rPr>
                <w:bCs/>
              </w:rPr>
            </w:pPr>
          </w:p>
          <w:p w14:paraId="6EC33698" w14:textId="77777777" w:rsidR="001612A6" w:rsidRPr="001612A6" w:rsidRDefault="001612A6" w:rsidP="001612A6">
            <w:pPr>
              <w:rPr>
                <w:bCs/>
              </w:rPr>
            </w:pPr>
          </w:p>
        </w:tc>
      </w:tr>
      <w:tr w:rsidR="001612A6" w:rsidRPr="001612A6" w14:paraId="643BD0F4" w14:textId="77777777" w:rsidTr="00991BD6">
        <w:trPr>
          <w:trHeight w:val="1150"/>
        </w:trPr>
        <w:tc>
          <w:tcPr>
            <w:tcW w:w="9072" w:type="dxa"/>
            <w:tcBorders>
              <w:bottom w:val="single" w:sz="4" w:space="0" w:color="auto"/>
            </w:tcBorders>
          </w:tcPr>
          <w:p w14:paraId="25654205" w14:textId="77777777" w:rsidR="001612A6" w:rsidRPr="001612A6" w:rsidRDefault="001612A6" w:rsidP="001612A6">
            <w:r w:rsidRPr="001612A6">
              <w:t xml:space="preserve">       Visa du contrôleur budgétaire et comptable du ministère des armées</w:t>
            </w:r>
          </w:p>
          <w:p w14:paraId="78F3BF6F" w14:textId="77777777" w:rsidR="001612A6" w:rsidRDefault="001612A6" w:rsidP="001612A6">
            <w:pPr>
              <w:rPr>
                <w:bCs/>
              </w:rPr>
            </w:pPr>
          </w:p>
          <w:p w14:paraId="444FA0A7" w14:textId="77777777" w:rsidR="00991BD6" w:rsidRDefault="00991BD6" w:rsidP="001612A6">
            <w:pPr>
              <w:rPr>
                <w:bCs/>
              </w:rPr>
            </w:pPr>
          </w:p>
          <w:p w14:paraId="0D7BDF8D" w14:textId="3A03F15F" w:rsidR="00991BD6" w:rsidRPr="001612A6" w:rsidRDefault="00991BD6" w:rsidP="001612A6">
            <w:pPr>
              <w:rPr>
                <w:bCs/>
              </w:rPr>
            </w:pPr>
          </w:p>
        </w:tc>
      </w:tr>
    </w:tbl>
    <w:p w14:paraId="0F9117DA" w14:textId="04A21625" w:rsidR="001612A6" w:rsidRDefault="001612A6" w:rsidP="001612A6">
      <w:pPr>
        <w:rPr>
          <w:rStyle w:val="Emphaseintense"/>
        </w:rPr>
      </w:pPr>
      <w:r w:rsidRPr="00025E91">
        <w:rPr>
          <w:rStyle w:val="Emphaseintense"/>
        </w:rPr>
        <w:t>Signature de l’autorité habilitée à engager le pouvoir adjudicateur</w:t>
      </w:r>
    </w:p>
    <w:tbl>
      <w:tblPr>
        <w:tblW w:w="9072"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072"/>
      </w:tblGrid>
      <w:tr w:rsidR="001612A6" w14:paraId="35E09424" w14:textId="77777777" w:rsidTr="00A20CA2">
        <w:trPr>
          <w:trHeight w:val="268"/>
        </w:trPr>
        <w:tc>
          <w:tcPr>
            <w:tcW w:w="9072" w:type="dxa"/>
            <w:tcBorders>
              <w:top w:val="single" w:sz="6" w:space="0" w:color="auto"/>
              <w:left w:val="single" w:sz="6" w:space="0" w:color="auto"/>
              <w:bottom w:val="single" w:sz="6" w:space="0" w:color="auto"/>
              <w:right w:val="single" w:sz="6" w:space="0" w:color="auto"/>
            </w:tcBorders>
            <w:hideMark/>
          </w:tcPr>
          <w:p w14:paraId="4C4CB5A0" w14:textId="2F47604B" w:rsidR="001612A6" w:rsidRPr="00025E91" w:rsidRDefault="001612A6" w:rsidP="001A0740">
            <w:pPr>
              <w:jc w:val="center"/>
              <w:rPr>
                <w:b/>
              </w:rPr>
            </w:pPr>
            <w:r w:rsidRPr="00025E91">
              <w:rPr>
                <w:b/>
              </w:rPr>
              <w:t>Acceptation de l’offre</w:t>
            </w:r>
            <w:r w:rsidR="00A20CA2">
              <w:rPr>
                <w:b/>
              </w:rPr>
              <w:t xml:space="preserve"> par l’acheteur</w:t>
            </w:r>
          </w:p>
        </w:tc>
      </w:tr>
      <w:tr w:rsidR="001612A6" w14:paraId="40646AD9" w14:textId="77777777" w:rsidTr="00A20CA2">
        <w:tc>
          <w:tcPr>
            <w:tcW w:w="9072" w:type="dxa"/>
            <w:tcBorders>
              <w:top w:val="single" w:sz="6" w:space="0" w:color="auto"/>
              <w:left w:val="single" w:sz="6" w:space="0" w:color="auto"/>
              <w:bottom w:val="single" w:sz="6" w:space="0" w:color="auto"/>
              <w:right w:val="single" w:sz="6" w:space="0" w:color="auto"/>
            </w:tcBorders>
          </w:tcPr>
          <w:p w14:paraId="039FFAD4" w14:textId="77777777" w:rsidR="001612A6" w:rsidRDefault="001612A6" w:rsidP="001A0740">
            <w:r>
              <w:t>Est acceptée la présente offre pour valoir acte d’engagement</w:t>
            </w:r>
          </w:p>
          <w:p w14:paraId="2B665103" w14:textId="77777777" w:rsidR="001612A6" w:rsidRDefault="001612A6" w:rsidP="001A0740"/>
          <w:p w14:paraId="0F3EAA32" w14:textId="77777777" w:rsidR="001612A6" w:rsidRDefault="001612A6" w:rsidP="001A0740">
            <w:r>
              <w:t xml:space="preserve">A </w:t>
            </w:r>
            <w:r w:rsidR="00954B66">
              <w:t xml:space="preserve">                         </w:t>
            </w:r>
            <w:proofErr w:type="gramStart"/>
            <w:r w:rsidR="00954B66">
              <w:t xml:space="preserve">  ,</w:t>
            </w:r>
            <w:proofErr w:type="gramEnd"/>
            <w:r w:rsidR="00954B66">
              <w:t xml:space="preserve"> le </w:t>
            </w:r>
          </w:p>
          <w:p w14:paraId="72140C4A" w14:textId="59384F80" w:rsidR="001612A6" w:rsidRDefault="001612A6" w:rsidP="001A0740"/>
          <w:p w14:paraId="604EB4F8" w14:textId="47CC750F" w:rsidR="00991BD6" w:rsidRDefault="00991BD6" w:rsidP="001A0740"/>
          <w:p w14:paraId="09B397E5" w14:textId="77777777" w:rsidR="00991BD6" w:rsidRDefault="00991BD6" w:rsidP="001A0740"/>
          <w:p w14:paraId="5CA85226" w14:textId="725F2FA0" w:rsidR="001612A6" w:rsidRDefault="001612A6" w:rsidP="001A0740"/>
        </w:tc>
      </w:tr>
    </w:tbl>
    <w:p w14:paraId="7EC8AB7B" w14:textId="77777777" w:rsidR="001612A6" w:rsidRPr="001612A6" w:rsidRDefault="001612A6" w:rsidP="00D82B95"/>
    <w:sectPr w:rsidR="001612A6" w:rsidRPr="001612A6" w:rsidSect="00991BD6">
      <w:footerReference w:type="default" r:id="rId10"/>
      <w:headerReference w:type="first" r:id="rId11"/>
      <w:pgSz w:w="11906" w:h="16838"/>
      <w:pgMar w:top="993"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C6458" w14:textId="77777777" w:rsidR="00D417AA" w:rsidRDefault="00D417AA" w:rsidP="00EA6B59">
      <w:pPr>
        <w:spacing w:line="240" w:lineRule="auto"/>
      </w:pPr>
      <w:r>
        <w:separator/>
      </w:r>
    </w:p>
  </w:endnote>
  <w:endnote w:type="continuationSeparator" w:id="0">
    <w:p w14:paraId="18329EE5" w14:textId="77777777" w:rsidR="00D417AA" w:rsidRDefault="00D417AA"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779DF698" w14:textId="6C1EC3C3" w:rsidR="00680BFB" w:rsidRDefault="00DC1F53" w:rsidP="00767AB9">
        <w:pPr>
          <w:pStyle w:val="Pieddepage"/>
          <w:jc w:val="center"/>
        </w:pPr>
        <w:r>
          <w:t xml:space="preserve">ESID </w:t>
        </w:r>
        <w:r w:rsidR="002B676B">
          <w:t xml:space="preserve">24-183  - </w:t>
        </w:r>
        <w:r w:rsidR="0078769D">
          <w:t xml:space="preserve"> DAF_2024_00</w:t>
        </w:r>
        <w:r w:rsidR="002B676B">
          <w:t>1670</w:t>
        </w:r>
      </w:p>
    </w:sdtContent>
  </w:sdt>
  <w:p w14:paraId="020A15D7"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51279" w14:textId="77777777" w:rsidR="00D417AA" w:rsidRDefault="00D417AA" w:rsidP="00EA6B59">
      <w:pPr>
        <w:spacing w:line="240" w:lineRule="auto"/>
      </w:pPr>
      <w:r>
        <w:separator/>
      </w:r>
    </w:p>
  </w:footnote>
  <w:footnote w:type="continuationSeparator" w:id="0">
    <w:p w14:paraId="754E1625" w14:textId="77777777" w:rsidR="00D417AA" w:rsidRDefault="00D417AA" w:rsidP="00EA6B59">
      <w:pPr>
        <w:spacing w:line="240" w:lineRule="auto"/>
      </w:pPr>
      <w:r>
        <w:continuationSeparator/>
      </w:r>
    </w:p>
  </w:footnote>
  <w:footnote w:id="1">
    <w:p w14:paraId="07D2839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320EFC44"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03F09054"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3EDD8EE7"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54C00A16"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664FC37C"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1D0B4F8E"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55F7B674"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B1F5F01"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1D8C5B31"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2C9338A0"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210ADB87" w14:textId="77777777" w:rsidR="00006CC6" w:rsidRPr="00D934D4" w:rsidRDefault="00006CC6" w:rsidP="00006CC6">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3">
    <w:p w14:paraId="389485FD" w14:textId="77777777" w:rsidR="00006CC6" w:rsidRPr="00D934D4" w:rsidRDefault="00006CC6" w:rsidP="00006CC6">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8149" w14:textId="77777777"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019F6155" wp14:editId="5A65A0B1">
          <wp:simplePos x="0" y="0"/>
          <wp:positionH relativeFrom="column">
            <wp:posOffset>-566420</wp:posOffset>
          </wp:positionH>
          <wp:positionV relativeFrom="paragraph">
            <wp:posOffset>-411480</wp:posOffset>
          </wp:positionV>
          <wp:extent cx="2256155" cy="9080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4A97"/>
    <w:rsid w:val="00006CC6"/>
    <w:rsid w:val="00013FA2"/>
    <w:rsid w:val="00014319"/>
    <w:rsid w:val="0002039B"/>
    <w:rsid w:val="000214BB"/>
    <w:rsid w:val="00052467"/>
    <w:rsid w:val="00055BC9"/>
    <w:rsid w:val="00056423"/>
    <w:rsid w:val="00062BBE"/>
    <w:rsid w:val="00064C2D"/>
    <w:rsid w:val="00081C32"/>
    <w:rsid w:val="0008744C"/>
    <w:rsid w:val="000910FC"/>
    <w:rsid w:val="0009608D"/>
    <w:rsid w:val="000B034F"/>
    <w:rsid w:val="000C3633"/>
    <w:rsid w:val="000E4416"/>
    <w:rsid w:val="000F38D9"/>
    <w:rsid w:val="00104D53"/>
    <w:rsid w:val="00122955"/>
    <w:rsid w:val="00135BF5"/>
    <w:rsid w:val="00137D4A"/>
    <w:rsid w:val="00146D64"/>
    <w:rsid w:val="00155227"/>
    <w:rsid w:val="001612A6"/>
    <w:rsid w:val="001621BD"/>
    <w:rsid w:val="0018044E"/>
    <w:rsid w:val="0019751C"/>
    <w:rsid w:val="001B4AD4"/>
    <w:rsid w:val="001D6E58"/>
    <w:rsid w:val="001E366E"/>
    <w:rsid w:val="001E4E41"/>
    <w:rsid w:val="001F0D3A"/>
    <w:rsid w:val="001F378F"/>
    <w:rsid w:val="00211D29"/>
    <w:rsid w:val="00233CBF"/>
    <w:rsid w:val="0023454E"/>
    <w:rsid w:val="002476A1"/>
    <w:rsid w:val="00250321"/>
    <w:rsid w:val="00262BB6"/>
    <w:rsid w:val="00271790"/>
    <w:rsid w:val="002A0B70"/>
    <w:rsid w:val="002A7BE1"/>
    <w:rsid w:val="002B676B"/>
    <w:rsid w:val="002C140F"/>
    <w:rsid w:val="002E5E0A"/>
    <w:rsid w:val="002F11C3"/>
    <w:rsid w:val="00302298"/>
    <w:rsid w:val="003114BE"/>
    <w:rsid w:val="003231E5"/>
    <w:rsid w:val="00331F9E"/>
    <w:rsid w:val="003358BF"/>
    <w:rsid w:val="003727DA"/>
    <w:rsid w:val="00376660"/>
    <w:rsid w:val="003779ED"/>
    <w:rsid w:val="00395686"/>
    <w:rsid w:val="00395BCD"/>
    <w:rsid w:val="003A164E"/>
    <w:rsid w:val="003B3E2A"/>
    <w:rsid w:val="003C45DC"/>
    <w:rsid w:val="003D38B7"/>
    <w:rsid w:val="004014A7"/>
    <w:rsid w:val="0040330A"/>
    <w:rsid w:val="00403987"/>
    <w:rsid w:val="00410AFD"/>
    <w:rsid w:val="00414305"/>
    <w:rsid w:val="0041762E"/>
    <w:rsid w:val="00424EB7"/>
    <w:rsid w:val="00432FF6"/>
    <w:rsid w:val="004465ED"/>
    <w:rsid w:val="004603E0"/>
    <w:rsid w:val="004762CE"/>
    <w:rsid w:val="00486D1C"/>
    <w:rsid w:val="004D527E"/>
    <w:rsid w:val="004F313A"/>
    <w:rsid w:val="004F5934"/>
    <w:rsid w:val="005108C7"/>
    <w:rsid w:val="00532B4C"/>
    <w:rsid w:val="00561DF6"/>
    <w:rsid w:val="00562678"/>
    <w:rsid w:val="00563588"/>
    <w:rsid w:val="005866EA"/>
    <w:rsid w:val="00592674"/>
    <w:rsid w:val="005B20AE"/>
    <w:rsid w:val="005D5D11"/>
    <w:rsid w:val="005D6E3B"/>
    <w:rsid w:val="005E33E8"/>
    <w:rsid w:val="005E7372"/>
    <w:rsid w:val="00633905"/>
    <w:rsid w:val="0064549F"/>
    <w:rsid w:val="006546F6"/>
    <w:rsid w:val="00654E35"/>
    <w:rsid w:val="006626C3"/>
    <w:rsid w:val="00665859"/>
    <w:rsid w:val="00680BFB"/>
    <w:rsid w:val="00690C7C"/>
    <w:rsid w:val="00690EDD"/>
    <w:rsid w:val="006947F8"/>
    <w:rsid w:val="00694A9D"/>
    <w:rsid w:val="006A1A77"/>
    <w:rsid w:val="006A4ED4"/>
    <w:rsid w:val="006B49E3"/>
    <w:rsid w:val="00704D92"/>
    <w:rsid w:val="0071039C"/>
    <w:rsid w:val="00710CBE"/>
    <w:rsid w:val="00715E62"/>
    <w:rsid w:val="00734992"/>
    <w:rsid w:val="0074170C"/>
    <w:rsid w:val="00767AB9"/>
    <w:rsid w:val="0078046A"/>
    <w:rsid w:val="00784833"/>
    <w:rsid w:val="0078769D"/>
    <w:rsid w:val="007A31C9"/>
    <w:rsid w:val="007A4173"/>
    <w:rsid w:val="007B42E0"/>
    <w:rsid w:val="007C18BA"/>
    <w:rsid w:val="007C2D7B"/>
    <w:rsid w:val="007C53C4"/>
    <w:rsid w:val="007F2911"/>
    <w:rsid w:val="007F7034"/>
    <w:rsid w:val="00800A0D"/>
    <w:rsid w:val="008030B7"/>
    <w:rsid w:val="008035C4"/>
    <w:rsid w:val="008149E6"/>
    <w:rsid w:val="00826D76"/>
    <w:rsid w:val="008523F1"/>
    <w:rsid w:val="008750C9"/>
    <w:rsid w:val="00875379"/>
    <w:rsid w:val="00882C5A"/>
    <w:rsid w:val="00886B80"/>
    <w:rsid w:val="00891ABE"/>
    <w:rsid w:val="00897498"/>
    <w:rsid w:val="008A0592"/>
    <w:rsid w:val="008B27AC"/>
    <w:rsid w:val="008B4492"/>
    <w:rsid w:val="008B4C0A"/>
    <w:rsid w:val="008B7720"/>
    <w:rsid w:val="008C2060"/>
    <w:rsid w:val="008C2A76"/>
    <w:rsid w:val="008E0AA9"/>
    <w:rsid w:val="008E2292"/>
    <w:rsid w:val="00904184"/>
    <w:rsid w:val="00904AD4"/>
    <w:rsid w:val="00907E0F"/>
    <w:rsid w:val="009301BA"/>
    <w:rsid w:val="009349A7"/>
    <w:rsid w:val="00936F34"/>
    <w:rsid w:val="00954B66"/>
    <w:rsid w:val="00957832"/>
    <w:rsid w:val="00963918"/>
    <w:rsid w:val="009648F2"/>
    <w:rsid w:val="009773E3"/>
    <w:rsid w:val="0098102B"/>
    <w:rsid w:val="009847E6"/>
    <w:rsid w:val="00991BD6"/>
    <w:rsid w:val="009B18A2"/>
    <w:rsid w:val="009B3C4B"/>
    <w:rsid w:val="009C3205"/>
    <w:rsid w:val="009D09F3"/>
    <w:rsid w:val="009E2D62"/>
    <w:rsid w:val="009E762F"/>
    <w:rsid w:val="009F2578"/>
    <w:rsid w:val="009F5B8D"/>
    <w:rsid w:val="009F6923"/>
    <w:rsid w:val="00A027A0"/>
    <w:rsid w:val="00A051D4"/>
    <w:rsid w:val="00A20CA2"/>
    <w:rsid w:val="00A21545"/>
    <w:rsid w:val="00A234D4"/>
    <w:rsid w:val="00A413FD"/>
    <w:rsid w:val="00A50B4D"/>
    <w:rsid w:val="00A5473E"/>
    <w:rsid w:val="00A55631"/>
    <w:rsid w:val="00A72A0B"/>
    <w:rsid w:val="00A874F3"/>
    <w:rsid w:val="00A913A2"/>
    <w:rsid w:val="00AA493B"/>
    <w:rsid w:val="00AB7CAA"/>
    <w:rsid w:val="00AC5302"/>
    <w:rsid w:val="00AE1682"/>
    <w:rsid w:val="00AE4899"/>
    <w:rsid w:val="00B0784B"/>
    <w:rsid w:val="00B10CDB"/>
    <w:rsid w:val="00B13679"/>
    <w:rsid w:val="00B165C6"/>
    <w:rsid w:val="00B2741C"/>
    <w:rsid w:val="00B4357A"/>
    <w:rsid w:val="00B4637D"/>
    <w:rsid w:val="00B4759F"/>
    <w:rsid w:val="00B6170A"/>
    <w:rsid w:val="00B6513A"/>
    <w:rsid w:val="00B65F34"/>
    <w:rsid w:val="00B662ED"/>
    <w:rsid w:val="00B77C96"/>
    <w:rsid w:val="00B82EAA"/>
    <w:rsid w:val="00B8551E"/>
    <w:rsid w:val="00B9098A"/>
    <w:rsid w:val="00BA6236"/>
    <w:rsid w:val="00BA7AE8"/>
    <w:rsid w:val="00BC455E"/>
    <w:rsid w:val="00BC69E5"/>
    <w:rsid w:val="00BE3C00"/>
    <w:rsid w:val="00C10ED3"/>
    <w:rsid w:val="00C15006"/>
    <w:rsid w:val="00C32946"/>
    <w:rsid w:val="00C347F2"/>
    <w:rsid w:val="00C43174"/>
    <w:rsid w:val="00C44439"/>
    <w:rsid w:val="00C57490"/>
    <w:rsid w:val="00C6454D"/>
    <w:rsid w:val="00C646BD"/>
    <w:rsid w:val="00C805FF"/>
    <w:rsid w:val="00C9144D"/>
    <w:rsid w:val="00C96EEA"/>
    <w:rsid w:val="00CA3057"/>
    <w:rsid w:val="00CE0B4C"/>
    <w:rsid w:val="00D0260B"/>
    <w:rsid w:val="00D11A47"/>
    <w:rsid w:val="00D1322D"/>
    <w:rsid w:val="00D2796A"/>
    <w:rsid w:val="00D366BD"/>
    <w:rsid w:val="00D417AA"/>
    <w:rsid w:val="00D42FFE"/>
    <w:rsid w:val="00D47886"/>
    <w:rsid w:val="00D5331B"/>
    <w:rsid w:val="00D5674B"/>
    <w:rsid w:val="00D61232"/>
    <w:rsid w:val="00D71A45"/>
    <w:rsid w:val="00D80426"/>
    <w:rsid w:val="00D82B95"/>
    <w:rsid w:val="00D95929"/>
    <w:rsid w:val="00DA7CEE"/>
    <w:rsid w:val="00DC1F53"/>
    <w:rsid w:val="00DD1027"/>
    <w:rsid w:val="00DD14CD"/>
    <w:rsid w:val="00DD2E0E"/>
    <w:rsid w:val="00DD4E07"/>
    <w:rsid w:val="00E012C2"/>
    <w:rsid w:val="00E7117D"/>
    <w:rsid w:val="00E852BF"/>
    <w:rsid w:val="00E970C0"/>
    <w:rsid w:val="00EA209F"/>
    <w:rsid w:val="00EA5BC2"/>
    <w:rsid w:val="00EA6B59"/>
    <w:rsid w:val="00EC316C"/>
    <w:rsid w:val="00EE008B"/>
    <w:rsid w:val="00EE10E8"/>
    <w:rsid w:val="00EE55D3"/>
    <w:rsid w:val="00EF67F2"/>
    <w:rsid w:val="00F02DF2"/>
    <w:rsid w:val="00F135B7"/>
    <w:rsid w:val="00F23173"/>
    <w:rsid w:val="00F24CC0"/>
    <w:rsid w:val="00F254D9"/>
    <w:rsid w:val="00F31FBC"/>
    <w:rsid w:val="00F32AF6"/>
    <w:rsid w:val="00F5249B"/>
    <w:rsid w:val="00F57581"/>
    <w:rsid w:val="00F8354A"/>
    <w:rsid w:val="00F94A94"/>
    <w:rsid w:val="00F9546B"/>
    <w:rsid w:val="00FB48C0"/>
    <w:rsid w:val="00FB6100"/>
    <w:rsid w:val="00FE23D8"/>
    <w:rsid w:val="00FF1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EF20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maxime.kindel@intradef.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C21B08-725F-4A61-9974-4EA828F09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1382</Words>
  <Characters>7603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LE CAM Laetitia TSEF 2E CLASSE DEF</cp:lastModifiedBy>
  <cp:revision>2</cp:revision>
  <cp:lastPrinted>2020-04-22T14:04:00Z</cp:lastPrinted>
  <dcterms:created xsi:type="dcterms:W3CDTF">2025-02-18T13:07:00Z</dcterms:created>
  <dcterms:modified xsi:type="dcterms:W3CDTF">2025-02-18T13:07:00Z</dcterms:modified>
</cp:coreProperties>
</file>