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 w:rsidTr="002B7FA1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 w:rsidP="009724C5">
            <w:pPr>
              <w:spacing w:after="120" w:line="245" w:lineRule="exact"/>
              <w:ind w:left="80" w:right="80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9724C5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10</w:t>
            </w:r>
            <w:r w:rsidR="002B7FA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-</w:t>
            </w:r>
            <w:r w:rsidR="00214164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9724C5" w:rsidRPr="009724C5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Peintures / Sols souples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bookmarkStart w:id="0" w:name="_GoBack"/>
    <w:bookmarkEnd w:id="0"/>
    <w:p w:rsidR="00A30D8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60126" w:history="1">
        <w:r w:rsidR="00A30D88"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A30D88">
          <w:rPr>
            <w:noProof/>
          </w:rPr>
          <w:tab/>
        </w:r>
        <w:r w:rsidR="00A30D88">
          <w:rPr>
            <w:noProof/>
          </w:rPr>
          <w:fldChar w:fldCharType="begin"/>
        </w:r>
        <w:r w:rsidR="00A30D88">
          <w:rPr>
            <w:noProof/>
          </w:rPr>
          <w:instrText xml:space="preserve"> PAGEREF _Toc187760126 \h </w:instrText>
        </w:r>
        <w:r w:rsidR="00A30D88">
          <w:rPr>
            <w:noProof/>
          </w:rPr>
        </w:r>
        <w:r w:rsidR="00A30D88">
          <w:rPr>
            <w:noProof/>
          </w:rPr>
          <w:fldChar w:fldCharType="separate"/>
        </w:r>
        <w:r w:rsidR="00A30D88">
          <w:rPr>
            <w:noProof/>
          </w:rPr>
          <w:t>3</w:t>
        </w:r>
        <w:r w:rsidR="00A30D88"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27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28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29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0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1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2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3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4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5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6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7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A30D88" w:rsidRDefault="00A30D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60138" w:history="1">
        <w:r w:rsidRPr="007C7DD4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_Toc187760138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" w:name="ArtL1_AE-3-A1"/>
      <w:bookmarkStart w:id="2" w:name="_Toc187760126"/>
      <w:bookmarkEnd w:id="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F17EE2" w:rsidTr="00DE14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F17EE2" w:rsidTr="00523D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F17EE2" w:rsidTr="002D2C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F17EE2" w:rsidTr="00670D3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F17EE2" w:rsidTr="0021416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F17EE2" w:rsidTr="0099181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 w:rsidP="00505C5F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 w:rsidTr="00012FD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99181F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/ Faïence / Revêtement PVC</w:t>
            </w:r>
          </w:p>
        </w:tc>
      </w:tr>
      <w:tr w:rsidR="00F17EE2" w:rsidTr="009724C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9724C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Pr="009724C5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9724C5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9724C5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9724C5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/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3" w:name="ArtL1_AE-3-A2"/>
      <w:bookmarkStart w:id="4" w:name="_Toc187760127"/>
      <w:bookmarkEnd w:id="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5" w:name="ArtL1_AE-3-A3"/>
      <w:bookmarkStart w:id="6" w:name="_Toc187760128"/>
      <w:bookmarkEnd w:id="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6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p w:rsidR="00670D3F" w:rsidRDefault="00670D3F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7" w:name="ArtL1_AE-3-A4"/>
      <w:bookmarkStart w:id="8" w:name="_Toc187760129"/>
      <w:bookmarkEnd w:id="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9" w:name="ArtL2_AE-3-A4.1"/>
      <w:bookmarkStart w:id="10" w:name="_Toc187760130"/>
      <w:bookmarkEnd w:id="9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10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1" w:name="ArtL2_AE-3-A4.2"/>
      <w:bookmarkStart w:id="12" w:name="_Toc187760131"/>
      <w:bookmarkEnd w:id="11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2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3" w:name="ArtL2_AE-3-A4.3"/>
      <w:bookmarkStart w:id="14" w:name="_Toc187760132"/>
      <w:bookmarkEnd w:id="13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4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5" w:name="ArtL1_AE-3-A5"/>
      <w:bookmarkStart w:id="16" w:name="_Toc187760133"/>
      <w:bookmarkEnd w:id="1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6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D2229A">
        <w:rPr>
          <w:color w:val="000000"/>
          <w:lang w:val="fr-FR"/>
        </w:rPr>
        <w:t xml:space="preserve"> conformément aux caractéristiques et modalités présentes à l’article 7 – Prix du CCAP</w:t>
      </w:r>
      <w:r>
        <w:rPr>
          <w:color w:val="000000"/>
          <w:lang w:val="fr-FR"/>
        </w:rPr>
        <w:t>.</w:t>
      </w:r>
    </w:p>
    <w:p w:rsidR="00F17EE2" w:rsidRDefault="005F60B0" w:rsidP="00670D3F">
      <w:pPr>
        <w:pStyle w:val="ParagrapheIndent1"/>
        <w:spacing w:after="12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D2229A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r w:rsidR="00D2229A">
              <w:rPr>
                <w:rFonts w:ascii="Century" w:hAnsi="Century" w:cs="Calibri"/>
                <w:sz w:val="20"/>
                <w:szCs w:val="20"/>
              </w:rPr>
              <w:t>/ F</w:t>
            </w:r>
            <w:r w:rsidRPr="00FB5E3D">
              <w:rPr>
                <w:rFonts w:ascii="Century" w:hAnsi="Century" w:cs="Calibri"/>
                <w:sz w:val="20"/>
                <w:szCs w:val="20"/>
              </w:rPr>
              <w:t xml:space="preserve">aïence </w:t>
            </w:r>
            <w:r w:rsidR="00D2229A">
              <w:rPr>
                <w:rFonts w:ascii="Century" w:hAnsi="Century" w:cs="Calibri"/>
                <w:sz w:val="20"/>
                <w:szCs w:val="20"/>
              </w:rPr>
              <w:t xml:space="preserve">/ </w:t>
            </w:r>
            <w:proofErr w:type="spellStart"/>
            <w:r w:rsidR="00D2229A">
              <w:rPr>
                <w:rFonts w:ascii="Century" w:hAnsi="Century" w:cs="Calibri"/>
                <w:sz w:val="20"/>
                <w:szCs w:val="20"/>
              </w:rPr>
              <w:t>R</w:t>
            </w:r>
            <w:r w:rsidRPr="00FB5E3D">
              <w:rPr>
                <w:rFonts w:ascii="Century" w:hAnsi="Century" w:cs="Calibri"/>
                <w:sz w:val="20"/>
                <w:szCs w:val="20"/>
              </w:rPr>
              <w:t>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D2229A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</w:t>
            </w:r>
            <w:r w:rsidR="00D2229A">
              <w:rPr>
                <w:rFonts w:ascii="Century" w:hAnsi="Century" w:cs="Calibri"/>
                <w:color w:val="000000"/>
                <w:sz w:val="20"/>
                <w:szCs w:val="20"/>
              </w:rPr>
              <w:t>/ S</w:t>
            </w: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60134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60135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60136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60137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60138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4C5" w:rsidRDefault="009724C5">
      <w:r>
        <w:separator/>
      </w:r>
    </w:p>
  </w:endnote>
  <w:endnote w:type="continuationSeparator" w:id="0">
    <w:p w:rsidR="009724C5" w:rsidRDefault="00972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C5" w:rsidRDefault="009724C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9724C5" w:rsidRDefault="009724C5">
    <w:pPr>
      <w:spacing w:after="140" w:line="240" w:lineRule="exact"/>
    </w:pPr>
  </w:p>
  <w:p w:rsidR="009724C5" w:rsidRDefault="009724C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724C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724C5" w:rsidRDefault="009724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724C5" w:rsidRDefault="009724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30D8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30D8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C5" w:rsidRDefault="009724C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9724C5" w:rsidRDefault="009724C5">
    <w:pPr>
      <w:spacing w:after="140" w:line="240" w:lineRule="exact"/>
    </w:pPr>
  </w:p>
  <w:p w:rsidR="009724C5" w:rsidRDefault="009724C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724C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724C5" w:rsidRDefault="009724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724C5" w:rsidRDefault="009724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30D8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30D8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724C5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724C5" w:rsidRDefault="009724C5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724C5" w:rsidRDefault="009724C5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A30D88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A30D88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4C5" w:rsidRDefault="009724C5">
      <w:r>
        <w:separator/>
      </w:r>
    </w:p>
  </w:footnote>
  <w:footnote w:type="continuationSeparator" w:id="0">
    <w:p w:rsidR="009724C5" w:rsidRDefault="00972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012FD7"/>
    <w:rsid w:val="001B5FAC"/>
    <w:rsid w:val="00214164"/>
    <w:rsid w:val="002B7FA1"/>
    <w:rsid w:val="002D2CA6"/>
    <w:rsid w:val="00351AD6"/>
    <w:rsid w:val="00505C5F"/>
    <w:rsid w:val="00523D04"/>
    <w:rsid w:val="00536C68"/>
    <w:rsid w:val="005F60B0"/>
    <w:rsid w:val="00670D3F"/>
    <w:rsid w:val="00671137"/>
    <w:rsid w:val="009724C5"/>
    <w:rsid w:val="0099181F"/>
    <w:rsid w:val="00A30D88"/>
    <w:rsid w:val="00B53026"/>
    <w:rsid w:val="00B6445B"/>
    <w:rsid w:val="00D2229A"/>
    <w:rsid w:val="00DE1477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423A9D7F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1954</Words>
  <Characters>9642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3</cp:revision>
  <dcterms:created xsi:type="dcterms:W3CDTF">2025-01-14T14:12:00Z</dcterms:created>
  <dcterms:modified xsi:type="dcterms:W3CDTF">2025-01-14T14:15:00Z</dcterms:modified>
</cp:coreProperties>
</file>