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4831E004" w:rsidR="009B1CD0" w:rsidRDefault="009B1CD0" w:rsidP="005846FB">
      <w:pPr>
        <w:tabs>
          <w:tab w:val="left" w:pos="426"/>
          <w:tab w:val="left" w:pos="851"/>
        </w:tabs>
        <w:jc w:val="both"/>
        <w:rPr>
          <w:rFonts w:ascii="Arial" w:hAnsi="Arial" w:cs="Arial"/>
        </w:rPr>
      </w:pPr>
    </w:p>
    <w:p w14:paraId="3C6BC608" w14:textId="4F5696B6" w:rsidR="007A0FE4" w:rsidRPr="007A0FE4" w:rsidRDefault="007A0FE4" w:rsidP="007A0FE4">
      <w:pPr>
        <w:tabs>
          <w:tab w:val="left" w:pos="426"/>
          <w:tab w:val="left" w:pos="851"/>
        </w:tabs>
        <w:jc w:val="center"/>
        <w:rPr>
          <w:rFonts w:ascii="Arial" w:hAnsi="Arial" w:cs="Arial"/>
          <w:b/>
          <w:caps/>
          <w:sz w:val="32"/>
          <w:szCs w:val="32"/>
        </w:rPr>
      </w:pPr>
      <w:r w:rsidRPr="007A0FE4">
        <w:rPr>
          <w:rFonts w:ascii="Arial" w:hAnsi="Arial" w:cs="Arial"/>
          <w:b/>
          <w:caps/>
          <w:sz w:val="32"/>
          <w:szCs w:val="32"/>
        </w:rPr>
        <w:t>2022/EFS-GEST/279</w:t>
      </w:r>
    </w:p>
    <w:p w14:paraId="47E090D8" w14:textId="17F6E7A2" w:rsidR="007A0FE4" w:rsidRPr="007A0FE4" w:rsidRDefault="007A0FE4" w:rsidP="007A0FE4">
      <w:pPr>
        <w:tabs>
          <w:tab w:val="left" w:pos="426"/>
          <w:tab w:val="left" w:pos="851"/>
        </w:tabs>
        <w:jc w:val="center"/>
        <w:rPr>
          <w:rFonts w:ascii="Arial" w:hAnsi="Arial" w:cs="Arial"/>
          <w:sz w:val="18"/>
        </w:rPr>
      </w:pPr>
      <w:r w:rsidRPr="007A0FE4">
        <w:rPr>
          <w:rFonts w:ascii="Arial" w:hAnsi="Arial" w:cs="Arial"/>
          <w:b/>
          <w:caps/>
          <w:sz w:val="28"/>
          <w:szCs w:val="32"/>
        </w:rPr>
        <w:t>MARCHÉ DE PRESTATION DE MAINTENANCE PREVENTIVE ET CURATIVE DES CHAMBRES FROIDES POSITIVES ET NEGATIVES des sites de l’EFS GRAND EST.</w:t>
      </w:r>
    </w:p>
    <w:p w14:paraId="6A34C9BB" w14:textId="77777777" w:rsidR="009B1CD0" w:rsidRDefault="009B1CD0" w:rsidP="005846FB">
      <w:pPr>
        <w:tabs>
          <w:tab w:val="left" w:pos="426"/>
          <w:tab w:val="left" w:pos="851"/>
        </w:tabs>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A7F3B6F" w:rsidR="00A9775B" w:rsidRP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A9775B">
        <w:rPr>
          <w:rFonts w:ascii="Arial" w:hAnsi="Arial" w:cs="Arial"/>
          <w:lang w:eastAsia="fr-FR" w:bidi="ml"/>
        </w:rPr>
        <w:t xml:space="preserve"> CPV </w:t>
      </w:r>
      <w:r w:rsidRPr="007A0FE4">
        <w:rPr>
          <w:rFonts w:ascii="Arial" w:hAnsi="Arial" w:cs="Arial"/>
          <w:lang w:eastAsia="fr-FR" w:bidi="ml"/>
        </w:rPr>
        <w:t xml:space="preserve">des fournitures et services du marché </w:t>
      </w:r>
      <w:r w:rsidR="007A0FE4">
        <w:rPr>
          <w:rFonts w:ascii="Arial" w:hAnsi="Arial" w:cs="Arial"/>
          <w:lang w:eastAsia="fr-FR" w:bidi="ml"/>
        </w:rPr>
        <w:t>public est</w:t>
      </w:r>
      <w:r w:rsidRPr="00661A97">
        <w:rPr>
          <w:rFonts w:ascii="Arial" w:hAnsi="Arial" w:cs="Arial"/>
          <w:color w:val="0000FF"/>
          <w:lang w:eastAsia="fr-FR" w:bidi="ml"/>
        </w:rPr>
        <w:t xml:space="preserve"> </w:t>
      </w:r>
      <w:r w:rsidRPr="00A9775B">
        <w:rPr>
          <w:rFonts w:ascii="Arial" w:hAnsi="Arial" w:cs="Arial"/>
          <w:lang w:eastAsia="fr-FR" w:bidi="ml"/>
        </w:rPr>
        <w:t>le</w:t>
      </w:r>
      <w:r w:rsidR="007A0FE4">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31438C97" w14:textId="77777777" w:rsidR="007A0FE4" w:rsidRPr="007A0FE4" w:rsidRDefault="007A0FE4" w:rsidP="007A0FE4">
      <w:pPr>
        <w:tabs>
          <w:tab w:val="left" w:pos="426"/>
          <w:tab w:val="left" w:pos="851"/>
        </w:tabs>
        <w:suppressAutoHyphens w:val="0"/>
        <w:jc w:val="both"/>
        <w:rPr>
          <w:rFonts w:ascii="Arial" w:hAnsi="Arial" w:cs="Arial"/>
          <w:lang w:eastAsia="fr-FR" w:bidi="ml"/>
        </w:rPr>
      </w:pPr>
      <w:r w:rsidRPr="007A0FE4">
        <w:rPr>
          <w:rFonts w:ascii="Arial" w:hAnsi="Arial" w:cs="Arial"/>
          <w:lang w:eastAsia="fr-FR" w:bidi="ml"/>
        </w:rPr>
        <w:t>50000000</w:t>
      </w:r>
    </w:p>
    <w:p w14:paraId="6A34C9C1" w14:textId="07754803" w:rsidR="00A9775B" w:rsidRPr="00A9775B" w:rsidRDefault="007A0FE4" w:rsidP="007A0FE4">
      <w:pPr>
        <w:tabs>
          <w:tab w:val="left" w:pos="426"/>
          <w:tab w:val="left" w:pos="851"/>
        </w:tabs>
        <w:suppressAutoHyphens w:val="0"/>
        <w:jc w:val="both"/>
        <w:rPr>
          <w:rFonts w:ascii="Arial" w:hAnsi="Arial" w:cs="Arial"/>
          <w:lang w:eastAsia="fr-FR" w:bidi="ml"/>
        </w:rPr>
      </w:pPr>
      <w:r w:rsidRPr="007A0FE4">
        <w:rPr>
          <w:rFonts w:ascii="Arial" w:hAnsi="Arial" w:cs="Arial"/>
          <w:lang w:eastAsia="fr-FR" w:bidi="ml"/>
        </w:rPr>
        <w:t>Services de réparation et d'entretien.</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7A0FE4"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7A0FE4">
        <w:rPr>
          <w:rFonts w:ascii="Arial" w:hAnsi="Arial" w:cs="Arial"/>
          <w:lang w:eastAsia="fr-FR" w:bidi="ml"/>
        </w:rPr>
        <w:t xml:space="preserve">Accord-cadre </w:t>
      </w:r>
      <w:r w:rsidR="003E63B0" w:rsidRPr="007A0FE4">
        <w:rPr>
          <w:rFonts w:ascii="Arial" w:hAnsi="Arial" w:cs="Arial"/>
          <w:lang w:eastAsia="fr-FR" w:bidi="ml"/>
        </w:rPr>
        <w:t>avec exécution à</w:t>
      </w:r>
      <w:r w:rsidR="007C0BF5" w:rsidRPr="007A0FE4">
        <w:rPr>
          <w:rFonts w:ascii="Arial" w:hAnsi="Arial" w:cs="Arial"/>
          <w:lang w:eastAsia="fr-FR" w:bidi="ml"/>
        </w:rPr>
        <w:t xml:space="preserve"> bons de commande </w:t>
      </w:r>
      <w:r w:rsidRPr="007A0FE4">
        <w:rPr>
          <w:rFonts w:ascii="Arial" w:hAnsi="Arial" w:cs="Arial"/>
          <w:lang w:eastAsia="fr-FR" w:bidi="ml"/>
        </w:rPr>
        <w:t>(</w:t>
      </w:r>
      <w:r w:rsidR="00A57DD1" w:rsidRPr="007A0FE4">
        <w:rPr>
          <w:rFonts w:ascii="Arial" w:hAnsi="Arial" w:cs="Arial"/>
          <w:lang w:eastAsia="fr-FR" w:bidi="ml"/>
        </w:rPr>
        <w:t>de l’article R</w:t>
      </w:r>
      <w:r w:rsidR="00931D42" w:rsidRPr="007A0FE4">
        <w:rPr>
          <w:rFonts w:ascii="Arial" w:hAnsi="Arial" w:cs="Arial"/>
          <w:lang w:eastAsia="fr-FR" w:bidi="ml"/>
        </w:rPr>
        <w:t>2162-1</w:t>
      </w:r>
      <w:r w:rsidR="00A8760E" w:rsidRPr="007A0FE4">
        <w:rPr>
          <w:rFonts w:ascii="Arial" w:hAnsi="Arial" w:cs="Arial"/>
          <w:lang w:eastAsia="fr-FR" w:bidi="ml"/>
        </w:rPr>
        <w:t>,</w:t>
      </w:r>
      <w:r w:rsidR="00931D42" w:rsidRPr="007A0FE4">
        <w:rPr>
          <w:rFonts w:ascii="Arial" w:hAnsi="Arial" w:cs="Arial"/>
          <w:lang w:eastAsia="fr-FR" w:bidi="ml"/>
        </w:rPr>
        <w:t xml:space="preserve"> R2162-</w:t>
      </w:r>
      <w:r w:rsidR="007C0BF5" w:rsidRPr="007A0FE4">
        <w:rPr>
          <w:rFonts w:ascii="Arial" w:hAnsi="Arial" w:cs="Arial"/>
          <w:lang w:eastAsia="fr-FR" w:bidi="ml"/>
        </w:rPr>
        <w:t>2 .</w:t>
      </w:r>
      <w:r w:rsidR="00F759AA" w:rsidRPr="007A0FE4">
        <w:rPr>
          <w:rFonts w:ascii="Arial" w:hAnsi="Arial" w:cs="Arial"/>
          <w:lang w:eastAsia="fr-FR" w:bidi="ml"/>
        </w:rPr>
        <w:t>2</w:t>
      </w:r>
      <w:r w:rsidR="00AA05C7" w:rsidRPr="007A0FE4">
        <w:rPr>
          <w:rFonts w:ascii="Arial" w:hAnsi="Arial" w:cs="Arial"/>
          <w:vertAlign w:val="superscript"/>
          <w:lang w:eastAsia="fr-FR" w:bidi="ml"/>
        </w:rPr>
        <w:t>ème</w:t>
      </w:r>
      <w:r w:rsidR="005923D2" w:rsidRPr="007A0FE4">
        <w:rPr>
          <w:rFonts w:ascii="Arial" w:hAnsi="Arial" w:cs="Arial"/>
          <w:vertAlign w:val="superscript"/>
          <w:lang w:eastAsia="fr-FR" w:bidi="ml"/>
        </w:rPr>
        <w:t xml:space="preserve"> </w:t>
      </w:r>
      <w:r w:rsidR="005923D2" w:rsidRPr="007A0FE4">
        <w:rPr>
          <w:rFonts w:ascii="Arial" w:hAnsi="Arial" w:cs="Arial"/>
          <w:lang w:eastAsia="fr-FR" w:bidi="ml"/>
        </w:rPr>
        <w:t>alinéa</w:t>
      </w:r>
      <w:r w:rsidR="00F759AA" w:rsidRPr="007A0FE4">
        <w:rPr>
          <w:rFonts w:ascii="Arial" w:hAnsi="Arial" w:cs="Arial"/>
          <w:lang w:eastAsia="fr-FR" w:bidi="ml"/>
        </w:rPr>
        <w:t>,</w:t>
      </w:r>
      <w:r w:rsidR="003E63B0" w:rsidRPr="007A0FE4">
        <w:rPr>
          <w:rFonts w:ascii="Arial" w:hAnsi="Arial" w:cs="Arial"/>
          <w:lang w:eastAsia="fr-FR" w:bidi="ml"/>
        </w:rPr>
        <w:t xml:space="preserve"> </w:t>
      </w:r>
      <w:r w:rsidR="00A8760E" w:rsidRPr="007A0FE4">
        <w:rPr>
          <w:rFonts w:ascii="Arial" w:hAnsi="Arial" w:cs="Arial"/>
          <w:lang w:eastAsia="fr-FR" w:bidi="ml"/>
        </w:rPr>
        <w:t xml:space="preserve">R2162-4 à 6, </w:t>
      </w:r>
      <w:r w:rsidR="00A57DD1" w:rsidRPr="007A0FE4">
        <w:rPr>
          <w:rFonts w:ascii="Arial" w:hAnsi="Arial" w:cs="Arial"/>
          <w:lang w:eastAsia="fr-FR" w:bidi="ml"/>
        </w:rPr>
        <w:t>R</w:t>
      </w:r>
      <w:r w:rsidR="003E63B0" w:rsidRPr="007A0FE4">
        <w:rPr>
          <w:rFonts w:ascii="Arial" w:hAnsi="Arial" w:cs="Arial"/>
          <w:lang w:eastAsia="fr-FR" w:bidi="ml"/>
        </w:rPr>
        <w:t>2162-13 et</w:t>
      </w:r>
      <w:r w:rsidR="00A57DD1" w:rsidRPr="007A0FE4">
        <w:rPr>
          <w:rFonts w:ascii="Arial" w:hAnsi="Arial" w:cs="Arial"/>
          <w:lang w:eastAsia="fr-FR" w:bidi="ml"/>
        </w:rPr>
        <w:t xml:space="preserve"> R</w:t>
      </w:r>
      <w:r w:rsidR="00A8760E" w:rsidRPr="007A0FE4">
        <w:rPr>
          <w:rFonts w:ascii="Arial" w:hAnsi="Arial" w:cs="Arial"/>
          <w:lang w:eastAsia="fr-FR" w:bidi="ml"/>
        </w:rPr>
        <w:t>2162-</w:t>
      </w:r>
      <w:r w:rsidR="007C0BF5" w:rsidRPr="007A0FE4">
        <w:rPr>
          <w:rFonts w:ascii="Arial" w:hAnsi="Arial" w:cs="Arial"/>
          <w:lang w:eastAsia="fr-FR" w:bidi="ml"/>
        </w:rPr>
        <w:t>14</w:t>
      </w:r>
      <w:r w:rsidR="009A6717" w:rsidRPr="007A0FE4">
        <w:rPr>
          <w:rFonts w:ascii="Arial" w:hAnsi="Arial" w:cs="Arial"/>
          <w:lang w:eastAsia="fr-FR" w:bidi="ml"/>
        </w:rPr>
        <w:t xml:space="preserve"> du </w:t>
      </w:r>
      <w:r w:rsidR="005A5FCD" w:rsidRPr="007A0FE4">
        <w:rPr>
          <w:rFonts w:ascii="Arial" w:hAnsi="Arial" w:cs="Arial"/>
          <w:lang w:eastAsia="fr-FR" w:bidi="ml"/>
        </w:rPr>
        <w:t>code de la commande publique</w:t>
      </w:r>
      <w:r w:rsidRPr="007A0FE4">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lastRenderedPageBreak/>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7A0FE4" w:rsidRDefault="007D7A65" w:rsidP="005846FB">
      <w:pPr>
        <w:tabs>
          <w:tab w:val="left" w:pos="851"/>
        </w:tabs>
        <w:spacing w:before="120"/>
        <w:ind w:left="1135" w:hanging="284"/>
        <w:jc w:val="both"/>
      </w:pPr>
      <w:r w:rsidRPr="007A0FE4">
        <w:fldChar w:fldCharType="begin">
          <w:ffData>
            <w:name w:val=""/>
            <w:enabled/>
            <w:calcOnExit w:val="0"/>
            <w:checkBox>
              <w:size w:val="20"/>
              <w:default w:val="0"/>
            </w:checkBox>
          </w:ffData>
        </w:fldChar>
      </w:r>
      <w:r w:rsidRPr="007A0FE4">
        <w:instrText xml:space="preserve"> FORMCHECKBOX </w:instrText>
      </w:r>
      <w:r w:rsidR="007A0FE4" w:rsidRPr="007A0FE4">
        <w:fldChar w:fldCharType="separate"/>
      </w:r>
      <w:r w:rsidRPr="007A0FE4">
        <w:fldChar w:fldCharType="end"/>
      </w:r>
      <w:r w:rsidR="00EC4A56" w:rsidRPr="007A0FE4">
        <w:rPr>
          <w:rFonts w:ascii="Arial" w:hAnsi="Arial" w:cs="Arial"/>
        </w:rPr>
        <w:t xml:space="preserve"> CCAP</w:t>
      </w:r>
    </w:p>
    <w:p w14:paraId="6A34C9EA"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7A0FE4">
        <w:fldChar w:fldCharType="separate"/>
      </w:r>
      <w:r>
        <w:fldChar w:fldCharType="end"/>
      </w:r>
      <w:r w:rsidR="009B1CD0" w:rsidRPr="00E67E3B">
        <w:rPr>
          <w:rFonts w:ascii="Arial" w:hAnsi="Arial" w:cs="Arial"/>
        </w:rPr>
        <w:t xml:space="preserve"> CCAG :……………………………………………………………………………………………</w:t>
      </w:r>
    </w:p>
    <w:p w14:paraId="6A34C9EB" w14:textId="77777777" w:rsidR="009B1CD0" w:rsidRPr="007A0FE4" w:rsidRDefault="007D7A65" w:rsidP="0061068C">
      <w:pPr>
        <w:tabs>
          <w:tab w:val="left" w:pos="851"/>
        </w:tabs>
        <w:spacing w:before="120"/>
        <w:ind w:left="1135" w:hanging="284"/>
        <w:jc w:val="both"/>
      </w:pPr>
      <w:r w:rsidRPr="007A0FE4">
        <w:fldChar w:fldCharType="begin">
          <w:ffData>
            <w:name w:val=""/>
            <w:enabled/>
            <w:calcOnExit w:val="0"/>
            <w:checkBox>
              <w:size w:val="20"/>
              <w:default w:val="0"/>
            </w:checkBox>
          </w:ffData>
        </w:fldChar>
      </w:r>
      <w:r w:rsidRPr="007A0FE4">
        <w:instrText xml:space="preserve"> FORMCHECKBOX </w:instrText>
      </w:r>
      <w:r w:rsidR="007A0FE4" w:rsidRPr="007A0FE4">
        <w:fldChar w:fldCharType="separate"/>
      </w:r>
      <w:r w:rsidRPr="007A0FE4">
        <w:fldChar w:fldCharType="end"/>
      </w:r>
      <w:r w:rsidR="009B1CD0" w:rsidRPr="007A0FE4">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A0FE4">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A0FE4">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64301468" w:rsidR="00A9775B" w:rsidRPr="007A0FE4" w:rsidRDefault="00A9775B" w:rsidP="00A9775B">
      <w:pPr>
        <w:tabs>
          <w:tab w:val="left" w:pos="851"/>
        </w:tabs>
        <w:suppressAutoHyphens w:val="0"/>
        <w:spacing w:before="120"/>
        <w:ind w:left="709" w:firstLine="142"/>
        <w:jc w:val="both"/>
        <w:rPr>
          <w:rFonts w:ascii="Arial" w:hAnsi="Arial" w:cs="Arial"/>
          <w:lang w:eastAsia="fr-FR" w:bidi="ml"/>
        </w:rPr>
      </w:pPr>
      <w:r w:rsidRPr="007A0FE4">
        <w:rPr>
          <w:rFonts w:ascii="Arial" w:hAnsi="Arial" w:cs="Arial"/>
          <w:lang w:eastAsia="fr-FR" w:bidi="ml"/>
        </w:rPr>
        <w:fldChar w:fldCharType="begin">
          <w:ffData>
            <w:name w:val="CaseACocher108"/>
            <w:enabled/>
            <w:calcOnExit w:val="0"/>
            <w:checkBox>
              <w:sizeAuto/>
              <w:default w:val="0"/>
            </w:checkBox>
          </w:ffData>
        </w:fldChar>
      </w:r>
      <w:r w:rsidRPr="007A0FE4">
        <w:rPr>
          <w:rFonts w:ascii="Arial" w:hAnsi="Arial" w:cs="Arial"/>
          <w:lang w:eastAsia="fr-FR" w:bidi="ml"/>
        </w:rPr>
        <w:instrText xml:space="preserve"> FORMCHECKBOX </w:instrText>
      </w:r>
      <w:r w:rsidR="007A0FE4" w:rsidRPr="007A0FE4">
        <w:rPr>
          <w:rFonts w:ascii="Arial" w:hAnsi="Arial" w:cs="Arial"/>
          <w:lang w:eastAsia="fr-FR" w:bidi="ml"/>
        </w:rPr>
      </w:r>
      <w:r w:rsidR="007A0FE4" w:rsidRPr="007A0FE4">
        <w:rPr>
          <w:rFonts w:ascii="Arial" w:hAnsi="Arial" w:cs="Arial"/>
          <w:lang w:eastAsia="fr-FR" w:bidi="ml"/>
        </w:rPr>
        <w:fldChar w:fldCharType="separate"/>
      </w:r>
      <w:r w:rsidRPr="007A0FE4">
        <w:rPr>
          <w:rFonts w:ascii="Arial" w:hAnsi="Arial" w:cs="Arial"/>
          <w:lang w:eastAsia="fr-FR" w:bidi="ml"/>
        </w:rPr>
        <w:fldChar w:fldCharType="end"/>
      </w:r>
      <w:r w:rsidR="00B05C4B" w:rsidRPr="007A0FE4">
        <w:rPr>
          <w:rFonts w:ascii="Arial" w:hAnsi="Arial" w:cs="Arial"/>
          <w:lang w:eastAsia="fr-FR" w:bidi="ml"/>
        </w:rPr>
        <w:t xml:space="preserve"> les</w:t>
      </w:r>
      <w:r w:rsidRPr="007A0FE4">
        <w:rPr>
          <w:rFonts w:ascii="Arial" w:hAnsi="Arial" w:cs="Arial"/>
          <w:lang w:eastAsia="fr-FR" w:bidi="ml"/>
        </w:rPr>
        <w:t xml:space="preserve"> prix indiqués dans l’annexe financière jointe au présent document, </w:t>
      </w:r>
    </w:p>
    <w:p w14:paraId="6A34CAA2" w14:textId="5E6FC880" w:rsidR="00A9775B" w:rsidRPr="007A0FE4" w:rsidRDefault="00B05C4B" w:rsidP="00A9775B">
      <w:pPr>
        <w:tabs>
          <w:tab w:val="left" w:pos="426"/>
        </w:tabs>
        <w:suppressAutoHyphens w:val="0"/>
        <w:spacing w:before="120" w:after="240"/>
        <w:jc w:val="both"/>
        <w:rPr>
          <w:rFonts w:cs="Kartika"/>
          <w:b/>
          <w:bCs/>
          <w:i/>
          <w:iCs/>
          <w:u w:val="single"/>
          <w:lang w:eastAsia="fr-FR" w:bidi="ml"/>
        </w:rPr>
      </w:pPr>
      <w:r w:rsidRPr="007A0FE4">
        <w:rPr>
          <w:rFonts w:cs="Kartika"/>
          <w:b/>
          <w:bCs/>
          <w:i/>
          <w:iCs/>
          <w:u w:val="single"/>
          <w:lang w:eastAsia="fr-FR" w:bidi="ml"/>
        </w:rPr>
        <w:t>Détermination d’un montant maximum :</w:t>
      </w:r>
      <w:r w:rsidR="00A9775B" w:rsidRPr="007A0FE4">
        <w:rPr>
          <w:rFonts w:cs="Kartika"/>
          <w:b/>
          <w:bCs/>
          <w:i/>
          <w:iCs/>
          <w:u w:val="single"/>
          <w:lang w:eastAsia="fr-FR" w:bidi="ml"/>
        </w:rPr>
        <w:t xml:space="preserve"> </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340"/>
        <w:gridCol w:w="2063"/>
      </w:tblGrid>
      <w:tr w:rsidR="007A0FE4" w:rsidRPr="005B0E52" w14:paraId="3F8583DB" w14:textId="77777777" w:rsidTr="00866DD8">
        <w:trPr>
          <w:trHeight w:val="1273"/>
          <w:jc w:val="center"/>
        </w:trPr>
        <w:tc>
          <w:tcPr>
            <w:tcW w:w="900" w:type="dxa"/>
            <w:vAlign w:val="center"/>
          </w:tcPr>
          <w:p w14:paraId="131CA66D" w14:textId="77777777" w:rsidR="007A0FE4" w:rsidRPr="0029422B" w:rsidRDefault="007A0FE4" w:rsidP="00866DD8">
            <w:pPr>
              <w:jc w:val="center"/>
              <w:rPr>
                <w:rFonts w:ascii="Arial" w:hAnsi="Arial" w:cs="Arial"/>
                <w:b/>
                <w:bCs/>
              </w:rPr>
            </w:pPr>
            <w:r w:rsidRPr="07F7813C">
              <w:rPr>
                <w:rFonts w:ascii="Arial" w:hAnsi="Arial" w:cs="Arial"/>
                <w:b/>
                <w:bCs/>
              </w:rPr>
              <w:t>Lots</w:t>
            </w:r>
          </w:p>
        </w:tc>
        <w:tc>
          <w:tcPr>
            <w:tcW w:w="4340" w:type="dxa"/>
            <w:vAlign w:val="center"/>
          </w:tcPr>
          <w:p w14:paraId="4D295221" w14:textId="77777777" w:rsidR="007A0FE4" w:rsidRPr="00C371EC" w:rsidRDefault="007A0FE4" w:rsidP="00866DD8">
            <w:pPr>
              <w:pStyle w:val="Titre4"/>
              <w:numPr>
                <w:ilvl w:val="3"/>
                <w:numId w:val="0"/>
              </w:numPr>
              <w:ind w:left="-128"/>
              <w:jc w:val="center"/>
              <w:rPr>
                <w:b w:val="0"/>
                <w:bCs/>
                <w:i/>
                <w:iCs/>
                <w:color w:val="0000FF"/>
              </w:rPr>
            </w:pPr>
            <w:r w:rsidRPr="005E0FA7">
              <w:rPr>
                <w:bCs/>
              </w:rPr>
              <w:t>Description</w:t>
            </w:r>
          </w:p>
        </w:tc>
        <w:tc>
          <w:tcPr>
            <w:tcW w:w="2063" w:type="dxa"/>
            <w:vAlign w:val="center"/>
          </w:tcPr>
          <w:p w14:paraId="45408E1C" w14:textId="77777777" w:rsidR="007A0FE4" w:rsidRPr="005B0E52" w:rsidRDefault="007A0FE4" w:rsidP="00866DD8">
            <w:pPr>
              <w:jc w:val="center"/>
              <w:rPr>
                <w:rFonts w:ascii="Arial" w:hAnsi="Arial" w:cs="Arial"/>
                <w:b/>
              </w:rPr>
            </w:pPr>
          </w:p>
          <w:p w14:paraId="5898A502" w14:textId="77777777" w:rsidR="007A0FE4" w:rsidRPr="005B0E52" w:rsidRDefault="007A0FE4" w:rsidP="00866DD8">
            <w:pPr>
              <w:jc w:val="center"/>
              <w:rPr>
                <w:rFonts w:ascii="Arial" w:hAnsi="Arial" w:cs="Arial"/>
                <w:b/>
                <w:bCs/>
              </w:rPr>
            </w:pPr>
            <w:r w:rsidRPr="005B0E52">
              <w:rPr>
                <w:rFonts w:ascii="Arial" w:hAnsi="Arial" w:cs="Arial"/>
                <w:b/>
                <w:bCs/>
              </w:rPr>
              <w:t>Maximum</w:t>
            </w:r>
          </w:p>
          <w:p w14:paraId="72FF1996" w14:textId="77777777" w:rsidR="007A0FE4" w:rsidRPr="005B0E52" w:rsidRDefault="007A0FE4" w:rsidP="00866DD8">
            <w:pPr>
              <w:jc w:val="center"/>
              <w:rPr>
                <w:rFonts w:ascii="Arial" w:hAnsi="Arial" w:cs="Arial"/>
                <w:b/>
                <w:bCs/>
              </w:rPr>
            </w:pPr>
            <w:r w:rsidRPr="005B0E52">
              <w:rPr>
                <w:rFonts w:ascii="Arial" w:hAnsi="Arial" w:cs="Arial"/>
                <w:b/>
                <w:bCs/>
              </w:rPr>
              <w:t xml:space="preserve"> (en euros HT)</w:t>
            </w:r>
          </w:p>
        </w:tc>
      </w:tr>
      <w:tr w:rsidR="007A0FE4" w:rsidRPr="005B0E52" w14:paraId="2476AF62" w14:textId="77777777" w:rsidTr="00866DD8">
        <w:trPr>
          <w:trHeight w:val="340"/>
          <w:jc w:val="center"/>
        </w:trPr>
        <w:tc>
          <w:tcPr>
            <w:tcW w:w="900" w:type="dxa"/>
            <w:vAlign w:val="center"/>
          </w:tcPr>
          <w:p w14:paraId="002045D9" w14:textId="77777777" w:rsidR="007A0FE4" w:rsidRPr="0029422B" w:rsidRDefault="007A0FE4" w:rsidP="00866DD8">
            <w:pPr>
              <w:jc w:val="center"/>
              <w:rPr>
                <w:rFonts w:ascii="Arial" w:hAnsi="Arial" w:cs="Arial"/>
                <w:b/>
                <w:bCs/>
              </w:rPr>
            </w:pPr>
            <w:r w:rsidRPr="05B04DCE">
              <w:rPr>
                <w:rFonts w:ascii="Arial" w:hAnsi="Arial" w:cs="Arial"/>
                <w:b/>
                <w:bCs/>
              </w:rPr>
              <w:t>1</w:t>
            </w:r>
          </w:p>
        </w:tc>
        <w:tc>
          <w:tcPr>
            <w:tcW w:w="4340" w:type="dxa"/>
            <w:vAlign w:val="center"/>
          </w:tcPr>
          <w:p w14:paraId="71244EC6" w14:textId="77777777" w:rsidR="007A0FE4" w:rsidRPr="0029422B" w:rsidRDefault="007A0FE4" w:rsidP="00866DD8">
            <w:pPr>
              <w:rPr>
                <w:rFonts w:ascii="Arial" w:hAnsi="Arial" w:cs="Arial"/>
                <w:snapToGrid w:val="0"/>
              </w:rPr>
            </w:pPr>
            <w:r>
              <w:rPr>
                <w:rFonts w:ascii="Arial" w:hAnsi="Arial" w:cs="Arial"/>
                <w:snapToGrid w:val="0"/>
              </w:rPr>
              <w:t>Maintenance des CF site de Strasbourg</w:t>
            </w:r>
          </w:p>
        </w:tc>
        <w:tc>
          <w:tcPr>
            <w:tcW w:w="2063" w:type="dxa"/>
            <w:vAlign w:val="center"/>
          </w:tcPr>
          <w:p w14:paraId="18EF03EF" w14:textId="77777777" w:rsidR="007A0FE4" w:rsidRPr="005B0E52" w:rsidRDefault="007A0FE4" w:rsidP="00866DD8">
            <w:pPr>
              <w:jc w:val="center"/>
              <w:rPr>
                <w:rFonts w:ascii="Arial" w:hAnsi="Arial" w:cs="Arial"/>
                <w:b/>
                <w:snapToGrid w:val="0"/>
              </w:rPr>
            </w:pPr>
            <w:r w:rsidRPr="005B0E52">
              <w:rPr>
                <w:rFonts w:ascii="Arial" w:hAnsi="Arial" w:cs="Arial"/>
                <w:b/>
                <w:snapToGrid w:val="0"/>
              </w:rPr>
              <w:t>300 000 €HT</w:t>
            </w:r>
          </w:p>
        </w:tc>
      </w:tr>
      <w:tr w:rsidR="007A0FE4" w:rsidRPr="005B0E52" w14:paraId="56296A52" w14:textId="77777777" w:rsidTr="00866DD8">
        <w:trPr>
          <w:trHeight w:val="340"/>
          <w:jc w:val="center"/>
        </w:trPr>
        <w:tc>
          <w:tcPr>
            <w:tcW w:w="900" w:type="dxa"/>
            <w:vAlign w:val="center"/>
          </w:tcPr>
          <w:p w14:paraId="783307FB" w14:textId="77777777" w:rsidR="007A0FE4" w:rsidRPr="0029422B" w:rsidRDefault="007A0FE4" w:rsidP="00866DD8">
            <w:pPr>
              <w:jc w:val="center"/>
              <w:rPr>
                <w:rFonts w:ascii="Arial" w:hAnsi="Arial" w:cs="Arial"/>
                <w:b/>
                <w:bCs/>
              </w:rPr>
            </w:pPr>
            <w:r w:rsidRPr="05B04DCE">
              <w:rPr>
                <w:rFonts w:ascii="Arial" w:hAnsi="Arial" w:cs="Arial"/>
                <w:b/>
                <w:bCs/>
              </w:rPr>
              <w:t>2</w:t>
            </w:r>
          </w:p>
        </w:tc>
        <w:tc>
          <w:tcPr>
            <w:tcW w:w="4340" w:type="dxa"/>
            <w:vAlign w:val="center"/>
          </w:tcPr>
          <w:p w14:paraId="58C63007" w14:textId="77777777" w:rsidR="007A0FE4" w:rsidRPr="0029422B" w:rsidRDefault="007A0FE4" w:rsidP="00866DD8">
            <w:pPr>
              <w:rPr>
                <w:rFonts w:ascii="Arial" w:hAnsi="Arial" w:cs="Arial"/>
                <w:snapToGrid w:val="0"/>
              </w:rPr>
            </w:pPr>
            <w:r>
              <w:rPr>
                <w:rFonts w:ascii="Arial" w:hAnsi="Arial" w:cs="Arial"/>
                <w:snapToGrid w:val="0"/>
              </w:rPr>
              <w:t>Maintenance des CF site de Nancy Lobau</w:t>
            </w:r>
          </w:p>
        </w:tc>
        <w:tc>
          <w:tcPr>
            <w:tcW w:w="2063" w:type="dxa"/>
            <w:vAlign w:val="center"/>
          </w:tcPr>
          <w:p w14:paraId="462D6285" w14:textId="77777777" w:rsidR="007A0FE4" w:rsidRPr="005B0E52" w:rsidRDefault="007A0FE4" w:rsidP="00866DD8">
            <w:pPr>
              <w:jc w:val="center"/>
              <w:rPr>
                <w:rFonts w:ascii="Arial" w:hAnsi="Arial" w:cs="Arial"/>
                <w:b/>
                <w:snapToGrid w:val="0"/>
              </w:rPr>
            </w:pPr>
            <w:r w:rsidRPr="005B0E52">
              <w:rPr>
                <w:rFonts w:ascii="Arial" w:hAnsi="Arial" w:cs="Arial"/>
                <w:b/>
                <w:snapToGrid w:val="0"/>
              </w:rPr>
              <w:t>400 000 €HT</w:t>
            </w:r>
          </w:p>
        </w:tc>
      </w:tr>
      <w:tr w:rsidR="007A0FE4" w:rsidRPr="005B0E52" w14:paraId="0A173C94" w14:textId="77777777" w:rsidTr="00866DD8">
        <w:trPr>
          <w:trHeight w:val="340"/>
          <w:jc w:val="center"/>
        </w:trPr>
        <w:tc>
          <w:tcPr>
            <w:tcW w:w="900" w:type="dxa"/>
            <w:vAlign w:val="center"/>
          </w:tcPr>
          <w:p w14:paraId="0DE0BC1C" w14:textId="77777777" w:rsidR="007A0FE4" w:rsidRPr="0029422B" w:rsidRDefault="007A0FE4" w:rsidP="00866DD8">
            <w:pPr>
              <w:jc w:val="center"/>
              <w:rPr>
                <w:rFonts w:ascii="Arial" w:hAnsi="Arial" w:cs="Arial"/>
                <w:b/>
                <w:bCs/>
              </w:rPr>
            </w:pPr>
            <w:r w:rsidRPr="05B04DCE">
              <w:rPr>
                <w:rFonts w:ascii="Arial" w:hAnsi="Arial" w:cs="Arial"/>
                <w:b/>
                <w:bCs/>
              </w:rPr>
              <w:t>3</w:t>
            </w:r>
          </w:p>
        </w:tc>
        <w:tc>
          <w:tcPr>
            <w:tcW w:w="4340" w:type="dxa"/>
            <w:vAlign w:val="center"/>
          </w:tcPr>
          <w:p w14:paraId="019D3C5E" w14:textId="77777777" w:rsidR="007A0FE4" w:rsidRPr="0029422B" w:rsidRDefault="007A0FE4" w:rsidP="00866DD8">
            <w:pPr>
              <w:rPr>
                <w:rFonts w:ascii="Arial" w:hAnsi="Arial" w:cs="Arial"/>
                <w:snapToGrid w:val="0"/>
              </w:rPr>
            </w:pPr>
            <w:r>
              <w:rPr>
                <w:rFonts w:ascii="Arial" w:hAnsi="Arial" w:cs="Arial"/>
                <w:snapToGrid w:val="0"/>
              </w:rPr>
              <w:t>Maintenance des CF site de Reims</w:t>
            </w:r>
          </w:p>
        </w:tc>
        <w:tc>
          <w:tcPr>
            <w:tcW w:w="2063" w:type="dxa"/>
            <w:vAlign w:val="center"/>
          </w:tcPr>
          <w:p w14:paraId="08218C7D" w14:textId="77777777" w:rsidR="007A0FE4" w:rsidRPr="005B0E52" w:rsidRDefault="007A0FE4" w:rsidP="00866DD8">
            <w:pPr>
              <w:jc w:val="center"/>
              <w:rPr>
                <w:rFonts w:ascii="Arial" w:hAnsi="Arial" w:cs="Arial"/>
                <w:b/>
                <w:snapToGrid w:val="0"/>
              </w:rPr>
            </w:pPr>
            <w:r w:rsidRPr="005B0E52">
              <w:rPr>
                <w:rFonts w:ascii="Arial" w:hAnsi="Arial" w:cs="Arial"/>
                <w:b/>
                <w:snapToGrid w:val="0"/>
              </w:rPr>
              <w:t>200 000 €HT</w:t>
            </w:r>
          </w:p>
        </w:tc>
      </w:tr>
    </w:tbl>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7A0FE4">
        <w:rPr>
          <w:lang w:eastAsia="fr-FR" w:bidi="ml"/>
        </w:rPr>
      </w:r>
      <w:r w:rsidR="007A0FE4">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7A0FE4">
        <w:rPr>
          <w:lang w:eastAsia="fr-FR" w:bidi="ml"/>
        </w:rPr>
      </w:r>
      <w:r w:rsidR="007A0FE4">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7A0FE4">
        <w:rPr>
          <w:lang w:eastAsia="fr-FR" w:bidi="ml"/>
        </w:rPr>
        <w:t>fournitures/services o</w:t>
      </w:r>
      <w:r w:rsidRPr="007A0FE4">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A0FE4">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A0FE4">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49774C79" w14:textId="7F46D7D0" w:rsidR="007A0FE4" w:rsidRPr="007A0FE4" w:rsidRDefault="007A0FE4" w:rsidP="007A0FE4">
      <w:pPr>
        <w:tabs>
          <w:tab w:val="left" w:pos="851"/>
        </w:tabs>
        <w:spacing w:before="120"/>
        <w:ind w:left="1134" w:hanging="567"/>
        <w:jc w:val="both"/>
        <w:rPr>
          <w:rFonts w:ascii="Arial" w:hAnsi="Arial" w:cs="Arial"/>
          <w:u w:val="single"/>
        </w:rPr>
      </w:pPr>
      <w:r w:rsidRPr="007A0FE4">
        <w:rPr>
          <w:rFonts w:ascii="Arial" w:hAnsi="Arial" w:cs="Arial"/>
          <w:u w:val="single"/>
        </w:rPr>
        <w:t>Pour les lots 1 – Site de Strasbourg et 3 Site de Reims</w:t>
      </w:r>
    </w:p>
    <w:p w14:paraId="00BD8FC8" w14:textId="77777777" w:rsidR="007A0FE4" w:rsidRPr="007A0FE4" w:rsidRDefault="007A0FE4" w:rsidP="007A0FE4">
      <w:pPr>
        <w:tabs>
          <w:tab w:val="left" w:pos="851"/>
        </w:tabs>
        <w:spacing w:before="120"/>
        <w:ind w:left="1134"/>
        <w:rPr>
          <w:rFonts w:ascii="Arial" w:hAnsi="Arial" w:cs="Arial"/>
        </w:rPr>
      </w:pPr>
      <w:r w:rsidRPr="007A0FE4">
        <w:rPr>
          <w:rFonts w:ascii="Arial" w:hAnsi="Arial" w:cs="Arial"/>
        </w:rPr>
        <w:t xml:space="preserve">Sous réserve des dispositions relatives à la résiliation du marché public figurant dans le CCAP, le marché public est conclu pour une durée de 12 mois à compter de la date d’exécution indiquée dans les pièces particulières du marché public (lettre de notification et acte d’engagement), lorsqu’elle est postérieure à la date de notification. </w:t>
      </w:r>
    </w:p>
    <w:p w14:paraId="0341ACA0" w14:textId="77777777" w:rsidR="007A0FE4" w:rsidRPr="007A0FE4" w:rsidRDefault="007A0FE4" w:rsidP="007A0FE4">
      <w:pPr>
        <w:tabs>
          <w:tab w:val="left" w:pos="851"/>
        </w:tabs>
        <w:spacing w:before="120"/>
        <w:ind w:left="1134"/>
        <w:rPr>
          <w:rFonts w:ascii="Arial" w:hAnsi="Arial" w:cs="Arial"/>
          <w:b/>
        </w:rPr>
      </w:pPr>
      <w:r w:rsidRPr="007A0FE4">
        <w:rPr>
          <w:rFonts w:ascii="Arial" w:hAnsi="Arial" w:cs="Arial"/>
          <w:b/>
        </w:rPr>
        <w:t>La date de début prévisionnelle du marché est fixée au 1er janvier 2026.</w:t>
      </w:r>
    </w:p>
    <w:p w14:paraId="098815C0" w14:textId="77777777" w:rsidR="007A0FE4" w:rsidRPr="007A0FE4" w:rsidRDefault="007A0FE4" w:rsidP="007A0FE4">
      <w:pPr>
        <w:tabs>
          <w:tab w:val="left" w:pos="851"/>
        </w:tabs>
        <w:spacing w:before="120"/>
        <w:ind w:left="1134"/>
        <w:rPr>
          <w:rFonts w:ascii="Arial" w:hAnsi="Arial" w:cs="Arial"/>
        </w:rPr>
      </w:pPr>
      <w:r w:rsidRPr="007A0FE4">
        <w:rPr>
          <w:rFonts w:ascii="Arial" w:hAnsi="Arial" w:cs="Arial"/>
        </w:rPr>
        <w:t xml:space="preserve">À l’issue de cette première période contractuelle de 12 mois, le marché public est reconductible tacitement une fois pour une nouvelle période de 12 mois, sans que sa durée totale puisse excéder 48 mois. </w:t>
      </w:r>
    </w:p>
    <w:p w14:paraId="44B71863" w14:textId="77777777" w:rsidR="007A0FE4" w:rsidRPr="007A0FE4" w:rsidRDefault="007A0FE4" w:rsidP="007A0FE4">
      <w:pPr>
        <w:tabs>
          <w:tab w:val="left" w:pos="851"/>
        </w:tabs>
        <w:spacing w:before="120"/>
        <w:ind w:left="1134"/>
        <w:rPr>
          <w:rFonts w:ascii="Arial" w:hAnsi="Arial" w:cs="Arial"/>
        </w:rPr>
      </w:pPr>
      <w:r w:rsidRPr="007A0FE4">
        <w:rPr>
          <w:rFonts w:ascii="Arial" w:hAnsi="Arial" w:cs="Arial"/>
        </w:rPr>
        <w:t xml:space="preserve">Dans l'hypothèse où le RPA décide de ne pas reconduire le marché public, il en informe le Titulaire par courrier avec accusé de réception au plus tard 3 mois avant l'échéance. Le Titulaire ne pourra renoncer à la reconduction notifiée par l’EFS. </w:t>
      </w:r>
    </w:p>
    <w:p w14:paraId="1A0BB7C6" w14:textId="449708C1" w:rsidR="007A0FE4" w:rsidRPr="007A0FE4" w:rsidRDefault="007A0FE4" w:rsidP="007A0FE4">
      <w:pPr>
        <w:tabs>
          <w:tab w:val="left" w:pos="851"/>
        </w:tabs>
        <w:spacing w:before="120"/>
        <w:ind w:left="1134" w:hanging="567"/>
        <w:jc w:val="both"/>
        <w:rPr>
          <w:rFonts w:ascii="Arial" w:hAnsi="Arial" w:cs="Arial"/>
          <w:u w:val="single"/>
        </w:rPr>
      </w:pPr>
      <w:r w:rsidRPr="007A0FE4">
        <w:rPr>
          <w:rFonts w:ascii="Arial" w:hAnsi="Arial" w:cs="Arial"/>
          <w:u w:val="single"/>
        </w:rPr>
        <w:t xml:space="preserve">Pour le lot 2 – Site de Nancy </w:t>
      </w:r>
    </w:p>
    <w:p w14:paraId="4E95D695" w14:textId="77777777" w:rsidR="007A0FE4" w:rsidRPr="007A0FE4" w:rsidRDefault="007A0FE4" w:rsidP="007A0FE4">
      <w:pPr>
        <w:tabs>
          <w:tab w:val="left" w:pos="851"/>
        </w:tabs>
        <w:spacing w:before="120"/>
        <w:ind w:left="1134"/>
        <w:rPr>
          <w:rFonts w:ascii="Arial" w:hAnsi="Arial" w:cs="Arial"/>
        </w:rPr>
      </w:pPr>
      <w:r w:rsidRPr="007A0FE4">
        <w:rPr>
          <w:rFonts w:ascii="Arial" w:hAnsi="Arial" w:cs="Arial"/>
        </w:rPr>
        <w:t xml:space="preserve">Sous réserve des dispositions relatives à la résiliation du marché public figurant dans le CCAP, le marché public est conclu pour la durée restante entre la date de début de marché (voir ci-dessous) et le 31 décembre 2025. </w:t>
      </w:r>
    </w:p>
    <w:p w14:paraId="6556000C" w14:textId="77777777" w:rsidR="007A0FE4" w:rsidRPr="007A0FE4" w:rsidRDefault="007A0FE4" w:rsidP="007A0FE4">
      <w:pPr>
        <w:tabs>
          <w:tab w:val="left" w:pos="851"/>
        </w:tabs>
        <w:spacing w:before="120"/>
        <w:ind w:left="1134"/>
        <w:rPr>
          <w:rFonts w:ascii="Arial" w:hAnsi="Arial" w:cs="Arial"/>
          <w:b/>
        </w:rPr>
      </w:pPr>
      <w:r w:rsidRPr="007A0FE4">
        <w:rPr>
          <w:rFonts w:ascii="Arial" w:hAnsi="Arial" w:cs="Arial"/>
          <w:b/>
        </w:rPr>
        <w:t>La date de début prévisionnelle du marché est fixée au 1er mars 2025.</w:t>
      </w:r>
    </w:p>
    <w:p w14:paraId="2F4CB81C" w14:textId="77777777" w:rsidR="007A0FE4" w:rsidRPr="007A0FE4" w:rsidRDefault="007A0FE4" w:rsidP="007A0FE4">
      <w:pPr>
        <w:tabs>
          <w:tab w:val="left" w:pos="851"/>
        </w:tabs>
        <w:spacing w:before="120"/>
        <w:ind w:left="1134"/>
        <w:rPr>
          <w:rFonts w:ascii="Arial" w:hAnsi="Arial" w:cs="Arial"/>
        </w:rPr>
      </w:pPr>
      <w:r w:rsidRPr="007A0FE4">
        <w:rPr>
          <w:rFonts w:ascii="Arial" w:hAnsi="Arial" w:cs="Arial"/>
        </w:rPr>
        <w:t xml:space="preserve">En cas de démarrage ultérieur à cette date, la date de début sera la date de réception de la notification d’attribution du marché. </w:t>
      </w:r>
    </w:p>
    <w:p w14:paraId="2D3FC54B" w14:textId="77777777" w:rsidR="007A0FE4" w:rsidRPr="007A0FE4" w:rsidRDefault="007A0FE4" w:rsidP="007A0FE4">
      <w:pPr>
        <w:tabs>
          <w:tab w:val="left" w:pos="851"/>
        </w:tabs>
        <w:spacing w:before="120"/>
        <w:ind w:left="1134"/>
        <w:rPr>
          <w:rFonts w:ascii="Arial" w:hAnsi="Arial" w:cs="Arial"/>
        </w:rPr>
      </w:pPr>
      <w:r w:rsidRPr="007A0FE4">
        <w:rPr>
          <w:rFonts w:ascii="Arial" w:hAnsi="Arial" w:cs="Arial"/>
        </w:rPr>
        <w:t xml:space="preserve">À l’issue de cette première période contractuelle, le marché public est reconductible tacitement une fois pour une nouvelle période de 12 mois, sans que sa durée totale ne puisse excéder 48 mois. </w:t>
      </w:r>
    </w:p>
    <w:p w14:paraId="6A34CAF3" w14:textId="02808DCA" w:rsidR="009B1CD0" w:rsidRDefault="007A0FE4" w:rsidP="007A0FE4">
      <w:pPr>
        <w:tabs>
          <w:tab w:val="left" w:pos="851"/>
        </w:tabs>
        <w:spacing w:before="120"/>
        <w:ind w:left="1134"/>
        <w:rPr>
          <w:rFonts w:ascii="Arial" w:hAnsi="Arial" w:cs="Arial"/>
          <w:b/>
        </w:rPr>
      </w:pPr>
      <w:r w:rsidRPr="007A0FE4">
        <w:rPr>
          <w:rFonts w:ascii="Arial" w:hAnsi="Arial" w:cs="Arial"/>
        </w:rPr>
        <w:t>Dans l'hypothèse où le RPA décide de ne pas reconduire le marché public, il en informe le Titulaire par courrier avec accusé de réception au plus tard 3 mois avant l'échéance. Le Titulaire ne pourra renoncer à la reconduction notifiée par l’EFS.</w:t>
      </w:r>
      <w:r w:rsidR="00844DAA">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3AC22CE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A0FE4">
        <w:fldChar w:fldCharType="begin">
          <w:ffData>
            <w:name w:val=""/>
            <w:enabled/>
            <w:calcOnExit w:val="0"/>
            <w:checkBox>
              <w:size w:val="20"/>
              <w:default w:val="1"/>
            </w:checkBox>
          </w:ffData>
        </w:fldChar>
      </w:r>
      <w:r w:rsidR="007A0FE4">
        <w:instrText xml:space="preserve"> FORMCHECKBOX </w:instrText>
      </w:r>
      <w:r w:rsidR="007A0FE4">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A0FE4">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372EE9A8"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w:t>
      </w:r>
      <w:r w:rsidRPr="007A0FE4">
        <w:rPr>
          <w:lang w:eastAsia="fr-FR" w:bidi="ml"/>
        </w:rPr>
        <w:t xml:space="preserve">de validité des offres indiqué dans le règlement de la consultation, </w:t>
      </w:r>
      <w:r w:rsidR="007A0FE4">
        <w:rPr>
          <w:lang w:eastAsia="fr-FR" w:bidi="ml"/>
        </w:rPr>
        <w:t>et</w:t>
      </w:r>
      <w:r w:rsidRPr="007A0FE4">
        <w:rPr>
          <w:lang w:eastAsia="fr-FR" w:bidi="ml"/>
        </w:rPr>
        <w:t xml:space="preserve">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A0FE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A0FE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19CED5F2" w14:textId="77777777" w:rsidR="007A0FE4" w:rsidRPr="007A0FE4" w:rsidRDefault="007A0FE4" w:rsidP="00806D55">
      <w:pPr>
        <w:spacing w:before="120" w:after="120"/>
        <w:jc w:val="center"/>
        <w:rPr>
          <w:b/>
        </w:rPr>
      </w:pPr>
      <w:r w:rsidRPr="007A0FE4">
        <w:rPr>
          <w:b/>
        </w:rPr>
        <w:t>Etablissement Français du Sang Grand Est</w:t>
      </w:r>
    </w:p>
    <w:p w14:paraId="2EF266C7" w14:textId="6BCD9F08" w:rsidR="007A0FE4" w:rsidRPr="007A0FE4" w:rsidRDefault="007A0FE4" w:rsidP="00C31303">
      <w:pPr>
        <w:spacing w:before="120" w:after="120"/>
        <w:jc w:val="center"/>
      </w:pPr>
      <w:r w:rsidRPr="007A0FE4">
        <w:t xml:space="preserve">85/87 Boulevard Lobau 54064 NANCY </w:t>
      </w:r>
    </w:p>
    <w:p w14:paraId="4A5AEF5D" w14:textId="3D23060E" w:rsidR="007A0FE4" w:rsidRPr="007A0FE4" w:rsidRDefault="007A0FE4" w:rsidP="00C31303">
      <w:pPr>
        <w:spacing w:before="120" w:after="120"/>
        <w:jc w:val="center"/>
      </w:pPr>
      <w:r w:rsidRPr="007A0FE4">
        <w:t>03.88.21.25.25</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8E" w14:textId="2CA307B3" w:rsidR="009B1CD0" w:rsidRPr="007A0FE4" w:rsidRDefault="00EA4CE6" w:rsidP="007A0FE4">
      <w:pPr>
        <w:suppressAutoHyphens w:val="0"/>
        <w:jc w:val="center"/>
        <w:rPr>
          <w:rFonts w:ascii="Arial" w:hAnsi="Arial" w:cs="Arial"/>
        </w:rPr>
      </w:pPr>
      <w:r w:rsidRPr="007A0FE4">
        <w:rPr>
          <w:rFonts w:ascii="Arial" w:hAnsi="Arial" w:cs="Arial"/>
          <w:lang w:eastAsia="fr-FR" w:bidi="ml"/>
        </w:rPr>
        <w:t>Monsieur le Directeur de l’</w:t>
      </w:r>
      <w:r w:rsidR="00927397" w:rsidRPr="007A0FE4">
        <w:rPr>
          <w:rFonts w:ascii="Arial" w:hAnsi="Arial" w:cs="Arial"/>
          <w:lang w:eastAsia="fr-FR" w:bidi="ml"/>
        </w:rPr>
        <w:t>Établissement</w:t>
      </w:r>
      <w:r w:rsidRPr="007A0FE4">
        <w:rPr>
          <w:rFonts w:ascii="Arial" w:hAnsi="Arial" w:cs="Arial"/>
          <w:lang w:eastAsia="fr-FR" w:bidi="ml"/>
        </w:rPr>
        <w:t xml:space="preserve"> </w:t>
      </w:r>
      <w:r w:rsidR="007A0FE4" w:rsidRPr="007A0FE4">
        <w:rPr>
          <w:rFonts w:ascii="Arial" w:hAnsi="Arial" w:cs="Arial"/>
          <w:lang w:eastAsia="fr-FR" w:bidi="ml"/>
        </w:rPr>
        <w:t>Français du Sang Grand Est</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386B627F" w14:textId="77777777" w:rsidR="007A0FE4" w:rsidRPr="007A0FE4" w:rsidRDefault="00EA4CE6" w:rsidP="007A0FE4">
      <w:pPr>
        <w:suppressAutoHyphens w:val="0"/>
        <w:jc w:val="center"/>
        <w:rPr>
          <w:rFonts w:ascii="Arial" w:hAnsi="Arial" w:cs="Arial"/>
        </w:rPr>
      </w:pPr>
      <w:r w:rsidRPr="002D03BB">
        <w:rPr>
          <w:rFonts w:ascii="Arial" w:hAnsi="Arial" w:cs="Arial"/>
        </w:rPr>
        <w:tab/>
      </w:r>
      <w:r w:rsidR="007A0FE4" w:rsidRPr="007A0FE4">
        <w:rPr>
          <w:rFonts w:ascii="Arial" w:hAnsi="Arial" w:cs="Arial"/>
          <w:lang w:eastAsia="fr-FR" w:bidi="ml"/>
        </w:rPr>
        <w:t>Monsieur le Directeur de l’Établissement Français du Sang Grand Est</w:t>
      </w:r>
    </w:p>
    <w:p w14:paraId="6A34CB94" w14:textId="0AAE7D67" w:rsidR="00EA4CE6" w:rsidRPr="007A0FE4" w:rsidRDefault="007A0FE4" w:rsidP="007A0FE4">
      <w:pPr>
        <w:pStyle w:val="fcase2metab"/>
        <w:ind w:left="0" w:firstLine="0"/>
        <w:jc w:val="center"/>
        <w:rPr>
          <w:rFonts w:cs="Kartika"/>
          <w:lang w:eastAsia="fr-FR" w:bidi="ml"/>
        </w:rPr>
      </w:pPr>
      <w:r w:rsidRPr="007A0FE4">
        <w:rPr>
          <w:rFonts w:cs="Kartika"/>
          <w:lang w:eastAsia="fr-FR" w:bidi="ml"/>
        </w:rPr>
        <w:t xml:space="preserve"> </w:t>
      </w:r>
      <w:r w:rsidR="00EA4CE6" w:rsidRPr="007A0FE4">
        <w:rPr>
          <w:rFonts w:cs="Kartika"/>
          <w:lang w:eastAsia="fr-FR" w:bidi="ml"/>
        </w:rPr>
        <w:t>(adresse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7A0FE4">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E" w14:textId="77777777" w:rsidTr="007A0FE4">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37690FC2" w:rsidR="00EA4CE6" w:rsidRPr="007A0FE4" w:rsidRDefault="00EA4CE6" w:rsidP="002D03BB">
      <w:pPr>
        <w:tabs>
          <w:tab w:val="left" w:pos="426"/>
          <w:tab w:val="left" w:pos="851"/>
        </w:tabs>
        <w:suppressAutoHyphens w:val="0"/>
        <w:spacing w:after="120"/>
        <w:jc w:val="center"/>
        <w:rPr>
          <w:rFonts w:ascii="Arial" w:hAnsi="Arial" w:cs="Arial"/>
          <w:u w:val="single"/>
          <w:lang w:eastAsia="fr-FR" w:bidi="ml"/>
        </w:rPr>
      </w:pPr>
      <w:r w:rsidRPr="007A0FE4">
        <w:rPr>
          <w:rFonts w:ascii="Arial" w:hAnsi="Arial" w:cs="Arial"/>
          <w:u w:val="single"/>
          <w:lang w:eastAsia="fr-FR" w:bidi="ml"/>
        </w:rPr>
        <w:t>Pour l’EFS</w:t>
      </w:r>
      <w:r w:rsidR="007A0FE4" w:rsidRPr="007A0FE4">
        <w:rPr>
          <w:rFonts w:ascii="Arial" w:hAnsi="Arial" w:cs="Arial"/>
          <w:u w:val="single"/>
          <w:lang w:eastAsia="fr-FR" w:bidi="ml"/>
        </w:rPr>
        <w:t xml:space="preserve"> GEST</w:t>
      </w:r>
    </w:p>
    <w:p w14:paraId="6A34CC15" w14:textId="25C18E5B" w:rsidR="004055D2" w:rsidRPr="007A0FE4" w:rsidRDefault="004055D2" w:rsidP="002D03BB">
      <w:pPr>
        <w:tabs>
          <w:tab w:val="left" w:pos="426"/>
          <w:tab w:val="left" w:pos="851"/>
        </w:tabs>
        <w:suppressAutoHyphens w:val="0"/>
        <w:jc w:val="center"/>
        <w:rPr>
          <w:rFonts w:ascii="Arial" w:hAnsi="Arial" w:cs="Arial"/>
          <w:lang w:eastAsia="fr-FR" w:bidi="ml"/>
        </w:rPr>
      </w:pPr>
      <w:r w:rsidRPr="007A0FE4">
        <w:rPr>
          <w:rFonts w:cs="Kartika"/>
          <w:lang w:eastAsia="fr-FR" w:bidi="ml"/>
        </w:rPr>
        <w:t xml:space="preserve">Monsieur l’Agent Comptable </w:t>
      </w:r>
      <w:r w:rsidR="007A0FE4" w:rsidRPr="007A0FE4">
        <w:rPr>
          <w:rFonts w:cs="Kartika"/>
          <w:lang w:eastAsia="fr-FR" w:bidi="ml"/>
        </w:rPr>
        <w:t>Secondaire</w:t>
      </w:r>
      <w:r w:rsidRPr="007A0FE4">
        <w:rPr>
          <w:rFonts w:cs="Kartika"/>
          <w:lang w:eastAsia="fr-FR" w:bidi="ml"/>
        </w:rPr>
        <w:t xml:space="preserve"> (adresse identique)</w:t>
      </w:r>
    </w:p>
    <w:p w14:paraId="6A34CC16" w14:textId="77777777" w:rsidR="004055D2" w:rsidRPr="007A0FE4" w:rsidRDefault="004055D2" w:rsidP="002D03BB">
      <w:pPr>
        <w:tabs>
          <w:tab w:val="left" w:pos="426"/>
          <w:tab w:val="left" w:pos="851"/>
        </w:tabs>
        <w:suppressAutoHyphens w:val="0"/>
        <w:spacing w:after="120"/>
        <w:jc w:val="center"/>
        <w:rPr>
          <w:rFonts w:ascii="Arial" w:hAnsi="Arial" w:cs="Arial"/>
          <w:lang w:eastAsia="fr-FR" w:bidi="ml"/>
        </w:rPr>
      </w:pP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459F7C1"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A0FE4">
        <w:rPr>
          <w:rFonts w:ascii="Arial" w:hAnsi="Arial" w:cs="Arial"/>
          <w:lang w:eastAsia="fr-FR" w:bidi="ml"/>
        </w:rPr>
      </w:r>
      <w:r w:rsidR="007A0FE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bookmarkStart w:id="0" w:name="_GoBack"/>
      <w:bookmarkEnd w:id="0"/>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DD3CC8A" w:rsidR="001A3AC9" w:rsidRDefault="001A3AC9" w:rsidP="007A0FE4">
          <w:pPr>
            <w:jc w:val="center"/>
            <w:rPr>
              <w:rFonts w:ascii="Arial" w:hAnsi="Arial" w:cs="Arial"/>
              <w:b/>
            </w:rPr>
          </w:pPr>
          <w:r>
            <w:rPr>
              <w:rFonts w:ascii="Arial" w:hAnsi="Arial" w:cs="Arial"/>
              <w:b/>
              <w:i/>
            </w:rPr>
            <w:t>(</w:t>
          </w:r>
          <w:r w:rsidR="007A0FE4">
            <w:rPr>
              <w:rFonts w:ascii="Arial" w:hAnsi="Arial" w:cs="Arial"/>
              <w:b/>
              <w:i/>
            </w:rPr>
            <w:t>GEST279</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34EBF7C2"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A0FE4">
            <w:rPr>
              <w:rStyle w:val="Numrodepage"/>
              <w:rFonts w:cs="Arial"/>
              <w:b/>
              <w:noProof/>
            </w:rPr>
            <w:t>7</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22C81FA2"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0FE4">
            <w:rPr>
              <w:rStyle w:val="Numrodepage"/>
              <w:rFonts w:cs="Arial"/>
              <w:b/>
              <w:noProof/>
            </w:rPr>
            <w:t>9</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0FE4"/>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FE4"/>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138719">
      <w:bodyDiv w:val="1"/>
      <w:marLeft w:val="0"/>
      <w:marRight w:val="0"/>
      <w:marTop w:val="0"/>
      <w:marBottom w:val="0"/>
      <w:divBdr>
        <w:top w:val="none" w:sz="0" w:space="0" w:color="auto"/>
        <w:left w:val="none" w:sz="0" w:space="0" w:color="auto"/>
        <w:bottom w:val="none" w:sz="0" w:space="0" w:color="auto"/>
        <w:right w:val="none" w:sz="0" w:space="0" w:color="auto"/>
      </w:divBdr>
      <w:divsChild>
        <w:div w:id="1465731656">
          <w:marLeft w:val="0"/>
          <w:marRight w:val="0"/>
          <w:marTop w:val="0"/>
          <w:marBottom w:val="0"/>
          <w:divBdr>
            <w:top w:val="none" w:sz="0" w:space="0" w:color="auto"/>
            <w:left w:val="none" w:sz="0" w:space="0" w:color="auto"/>
            <w:bottom w:val="none" w:sz="0" w:space="0" w:color="auto"/>
            <w:right w:val="none" w:sz="0" w:space="0" w:color="auto"/>
          </w:divBdr>
        </w:div>
      </w:divsChild>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2beab9f-527b-49ee-b6be-c5dadc645efa">ALSA-2032529111-18</_dlc_DocId>
    <_dlc_DocIdUrl xmlns="f2beab9f-527b-49ee-b6be-c5dadc645efa">
      <Url>http://moss/a/ach/mp2/mp/dossiers/2022EFS-GEST279/_layouts/15/DocIdRedir.aspx?ID=ALSA-2032529111-18</Url>
      <Description>ALSA-2032529111-18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FA3E9FB0B167554CBF88EF80F364BBC8" ma:contentTypeVersion="0" ma:contentTypeDescription="Acte d'Engagement (AE)" ma:contentTypeScope="" ma:versionID="b9a26596900412239e3b5ffb829bde30">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f2beab9f-527b-49ee-b6be-c5dadc645ef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EB5EFA9-DCB1-4A43-9E46-73E3E06EE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8C3FDA-FFB5-450E-81CE-E1D6408AB9A2}">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36142691-D354-48C2-93F5-9C657995F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9</Pages>
  <Words>1969</Words>
  <Characters>10832</Characters>
  <Application>Microsoft Office Word</Application>
  <DocSecurity>0</DocSecurity>
  <Lines>90</Lines>
  <Paragraphs>25</Paragraphs>
  <ScaleCrop>false</ScaleCrop>
  <Company>MINEFI</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Bath Simon</cp:lastModifiedBy>
  <cp:revision>10</cp:revision>
  <cp:lastPrinted>2016-04-08T14:31:00Z</cp:lastPrinted>
  <dcterms:created xsi:type="dcterms:W3CDTF">2019-09-30T12:19:00Z</dcterms:created>
  <dcterms:modified xsi:type="dcterms:W3CDTF">2025-01-20T09:00:00Z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0x0101006EF212EC2FDFD046BEAFAB7C9BE4A94900FA3E9FB0B167554CBF88EF80F364BBC8</vt:lpwstr>
  </property>
  <property fmtid="{D5CDD505-2E9C-101B-9397-08002B2CF9AE}" pid="3" name="_dlc_DocIdItemGuid">
    <vt:lpwstr>94bae679-ada8-407f-b410-29a873bb1cc8</vt:lpwstr>
  </property>
</Properties>
</file>