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05347D7" w:rsidR="009D60D5" w:rsidRPr="001B5605" w:rsidRDefault="00D96423"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765047">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765047">
        <w:tc>
          <w:tcPr>
            <w:tcW w:w="1384" w:type="dxa"/>
            <w:tcBorders>
              <w:top w:val="nil"/>
              <w:left w:val="nil"/>
              <w:bottom w:val="nil"/>
            </w:tcBorders>
            <w:shd w:val="clear" w:color="auto" w:fill="auto"/>
          </w:tcPr>
          <w:p w14:paraId="615D1D3A" w14:textId="77777777" w:rsidR="00C2145A" w:rsidRPr="00765047" w:rsidRDefault="00C2145A" w:rsidP="00357B46">
            <w:pPr>
              <w:rPr>
                <w:rFonts w:asciiTheme="minorHAnsi" w:hAnsiTheme="minorHAnsi" w:cs="Arial"/>
                <w:b/>
                <w:sz w:val="24"/>
              </w:rPr>
            </w:pPr>
          </w:p>
        </w:tc>
        <w:tc>
          <w:tcPr>
            <w:tcW w:w="8224" w:type="dxa"/>
            <w:tcBorders>
              <w:bottom w:val="single" w:sz="4" w:space="0" w:color="auto"/>
              <w:right w:val="nil"/>
            </w:tcBorders>
            <w:shd w:val="clear" w:color="auto" w:fill="auto"/>
          </w:tcPr>
          <w:p w14:paraId="4C3712B6" w14:textId="2FBE8CC6" w:rsidR="00C2145A" w:rsidRPr="00765047" w:rsidRDefault="00C2145A" w:rsidP="00357B46">
            <w:pPr>
              <w:rPr>
                <w:rFonts w:asciiTheme="minorHAnsi" w:hAnsiTheme="minorHAnsi"/>
                <w:b/>
                <w:sz w:val="24"/>
              </w:rPr>
            </w:pPr>
            <w:r w:rsidRPr="00765047">
              <w:rPr>
                <w:rFonts w:asciiTheme="minorHAnsi" w:hAnsiTheme="minorHAnsi"/>
                <w:b/>
                <w:bCs/>
                <w:smallCaps/>
                <w:sz w:val="24"/>
                <w:lang w:val="en"/>
              </w:rPr>
              <w:t xml:space="preserve">Number: </w:t>
            </w:r>
            <w:r w:rsidR="00765047" w:rsidRPr="00765047">
              <w:rPr>
                <w:rFonts w:asciiTheme="minorHAnsi" w:hAnsiTheme="minorHAnsi"/>
                <w:b/>
                <w:bCs/>
                <w:smallCaps/>
                <w:sz w:val="24"/>
                <w:lang w:val="en"/>
              </w:rPr>
              <w:t>24-MR5645</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5862C9"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0C94F952" w:rsidR="00741D2D" w:rsidRPr="00263FD0" w:rsidRDefault="00765047" w:rsidP="00996FEA">
            <w:pPr>
              <w:rPr>
                <w:rFonts w:asciiTheme="minorHAnsi" w:hAnsiTheme="minorHAnsi" w:cs="Arial"/>
                <w:sz w:val="24"/>
                <w:lang w:val="en-GB"/>
              </w:rPr>
            </w:pPr>
            <w:r w:rsidRPr="00765047">
              <w:rPr>
                <w:rFonts w:asciiTheme="minorHAnsi" w:hAnsiTheme="minorHAnsi" w:cs="Arial"/>
                <w:i/>
                <w:iCs/>
                <w:sz w:val="24"/>
                <w:lang w:val="en"/>
              </w:rPr>
              <w:t>International technical assistance to project owner in the context of the rehabilitation of Ruhengeri Referral Hospital in Rwanda</w:t>
            </w:r>
          </w:p>
        </w:tc>
      </w:tr>
      <w:tr w:rsidR="008714BB" w:rsidRPr="005862C9"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862C9"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863AF99" w:rsidR="00741D2D" w:rsidRPr="00263FD0" w:rsidRDefault="00765047" w:rsidP="00E953FE">
            <w:pPr>
              <w:rPr>
                <w:rFonts w:asciiTheme="minorHAnsi" w:hAnsiTheme="minorHAnsi" w:cs="Arial"/>
                <w:sz w:val="24"/>
                <w:lang w:val="en-GB"/>
              </w:rPr>
            </w:pPr>
            <w:r>
              <w:rPr>
                <w:rFonts w:asciiTheme="minorHAnsi" w:hAnsiTheme="minorHAnsi" w:cs="Arial"/>
                <w:i/>
                <w:iCs/>
                <w:sz w:val="24"/>
                <w:lang w:val="en"/>
              </w:rPr>
              <w:t>450 000€</w:t>
            </w:r>
          </w:p>
        </w:tc>
      </w:tr>
      <w:tr w:rsidR="008714BB" w:rsidRPr="005862C9"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862C9"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DD1D42E" w14:textId="258FF5F0" w:rsidR="00554974" w:rsidRPr="00765047" w:rsidRDefault="00801ECC" w:rsidP="00801ECC">
            <w:pPr>
              <w:tabs>
                <w:tab w:val="left" w:pos="510"/>
                <w:tab w:val="left" w:pos="10977"/>
              </w:tabs>
              <w:spacing w:before="120"/>
              <w:ind w:right="83"/>
              <w:jc w:val="both"/>
              <w:rPr>
                <w:rFonts w:asciiTheme="minorHAnsi" w:hAnsiTheme="minorHAnsi"/>
                <w:sz w:val="22"/>
                <w:szCs w:val="22"/>
                <w:lang w:val="en-GB"/>
              </w:rPr>
            </w:pPr>
            <w:r w:rsidRPr="00765047">
              <w:rPr>
                <w:rFonts w:asciiTheme="minorHAnsi" w:hAnsiTheme="minorHAnsi"/>
                <w:sz w:val="22"/>
                <w:szCs w:val="22"/>
                <w:lang w:val="en"/>
              </w:rPr>
              <w:t>open tender in application of L. 2124-2, R. 2161-2, R. 2161-3,</w:t>
            </w:r>
            <w:r w:rsidR="00765047" w:rsidRPr="00765047">
              <w:rPr>
                <w:rFonts w:asciiTheme="minorHAnsi" w:hAnsiTheme="minorHAnsi"/>
                <w:sz w:val="22"/>
                <w:szCs w:val="22"/>
                <w:lang w:val="en"/>
              </w:rPr>
              <w:t xml:space="preserve"> R. 2161-4 and R. 2161-5 of CCP</w:t>
            </w:r>
          </w:p>
          <w:p w14:paraId="012CC13F" w14:textId="76129BEF"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D96423">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D96423">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D96423">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D96423">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D96423">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D96423">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D96423">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D96423">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D96423">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D96423">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D96423">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D96423">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D96423">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D96423">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D96423">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D96423">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D96423">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D96423">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D96423">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D96423">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D96423">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D96423">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D96423">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D96423">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D96423">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D96423">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D96423">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D96423">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D96423">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D96423">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D96423">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D96423">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D96423">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D96423">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D96423">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D96423">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D96423">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D96423">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D96423">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D96423">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D96423">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D96423">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C80DC1">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C80DC1">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862C9"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commentRangeStart w:id="5"/>
            <w:r w:rsidRPr="003115EA">
              <w:rPr>
                <w:rFonts w:asciiTheme="minorHAnsi" w:hAnsiTheme="minorHAnsi" w:cstheme="minorHAnsi"/>
                <w:b/>
                <w:bCs/>
                <w:smallCaps/>
                <w:szCs w:val="22"/>
                <w:highlight w:val="yellow"/>
                <w:u w:val="single"/>
                <w:lang w:val="en"/>
              </w:rPr>
              <w:t>co-contracting party’s name</w:t>
            </w:r>
            <w:commentRangeEnd w:id="5"/>
            <w:r w:rsidRPr="003115EA">
              <w:rPr>
                <w:rFonts w:asciiTheme="minorHAnsi" w:hAnsiTheme="minorHAnsi" w:cstheme="minorHAnsi"/>
                <w:szCs w:val="22"/>
                <w:lang w:val="en"/>
              </w:rPr>
              <w:commentReference w:id="5"/>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C80DC1">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C80DC1">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C80DC1">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r w:rsidRPr="003115EA">
              <w:rPr>
                <w:rFonts w:asciiTheme="minorHAnsi" w:hAnsiTheme="minorHAnsi" w:cstheme="minorHAnsi"/>
                <w:szCs w:val="22"/>
                <w:lang w:val="en"/>
              </w:rPr>
              <w:commentReference w:id="6"/>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9EB2258" w:rsidR="00416A7A" w:rsidRPr="00765047" w:rsidRDefault="00DE1070" w:rsidP="00416A7A">
      <w:pPr>
        <w:spacing w:before="120"/>
        <w:jc w:val="both"/>
        <w:rPr>
          <w:rFonts w:asciiTheme="minorHAnsi" w:hAnsiTheme="minorHAnsi" w:cstheme="minorHAnsi"/>
          <w:i/>
          <w:sz w:val="22"/>
          <w:lang w:val="en"/>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w:t>
      </w:r>
      <w:r w:rsidR="00765047">
        <w:rPr>
          <w:rFonts w:asciiTheme="minorHAnsi" w:hAnsiTheme="minorHAnsi" w:cstheme="minorHAnsi"/>
          <w:sz w:val="22"/>
          <w:lang w:val="en"/>
        </w:rPr>
        <w:t xml:space="preserve"> December 1</w:t>
      </w:r>
      <w:r w:rsidR="00765047" w:rsidRPr="00765047">
        <w:rPr>
          <w:rFonts w:asciiTheme="minorHAnsi" w:hAnsiTheme="minorHAnsi" w:cstheme="minorHAnsi"/>
          <w:sz w:val="22"/>
          <w:vertAlign w:val="superscript"/>
          <w:lang w:val="en"/>
        </w:rPr>
        <w:t>st</w:t>
      </w:r>
      <w:r w:rsidR="00765047">
        <w:rPr>
          <w:rFonts w:asciiTheme="minorHAnsi" w:hAnsiTheme="minorHAnsi" w:cstheme="minorHAnsi"/>
          <w:sz w:val="22"/>
          <w:lang w:val="en"/>
        </w:rPr>
        <w:t xml:space="preserve"> 2023 </w:t>
      </w:r>
      <w:r w:rsidRPr="003115EA">
        <w:rPr>
          <w:rFonts w:asciiTheme="minorHAnsi" w:hAnsiTheme="minorHAnsi" w:cstheme="minorHAnsi"/>
          <w:sz w:val="22"/>
          <w:lang w:val="en"/>
        </w:rPr>
        <w:t xml:space="preserve">between </w:t>
      </w:r>
      <w:r w:rsidR="00765047" w:rsidRPr="00765047">
        <w:rPr>
          <w:rFonts w:asciiTheme="minorHAnsi" w:hAnsiTheme="minorHAnsi" w:cstheme="minorHAnsi"/>
          <w:iCs/>
          <w:sz w:val="22"/>
          <w:lang w:val="en"/>
        </w:rPr>
        <w:t xml:space="preserve">Expertise France </w:t>
      </w:r>
      <w:r w:rsidRPr="00765047">
        <w:rPr>
          <w:rFonts w:asciiTheme="minorHAnsi" w:hAnsiTheme="minorHAnsi" w:cstheme="minorHAnsi"/>
          <w:sz w:val="22"/>
          <w:lang w:val="en"/>
        </w:rPr>
        <w:t>and</w:t>
      </w:r>
      <w:r w:rsidR="00765047" w:rsidRPr="00765047">
        <w:rPr>
          <w:rFonts w:asciiTheme="minorHAnsi" w:hAnsiTheme="minorHAnsi" w:cstheme="minorHAnsi"/>
          <w:i/>
          <w:iCs/>
          <w:sz w:val="22"/>
          <w:lang w:val="en"/>
        </w:rPr>
        <w:t xml:space="preserve"> </w:t>
      </w:r>
      <w:r w:rsidR="00765047" w:rsidRPr="00765047">
        <w:rPr>
          <w:rFonts w:asciiTheme="minorHAnsi" w:hAnsiTheme="minorHAnsi" w:cstheme="minorHAnsi"/>
          <w:iCs/>
          <w:sz w:val="22"/>
          <w:lang w:val="en"/>
        </w:rPr>
        <w:t>Agence Française de Développement</w:t>
      </w:r>
      <w:r w:rsidRPr="00765047">
        <w:rPr>
          <w:rFonts w:asciiTheme="minorHAnsi" w:hAnsiTheme="minorHAnsi" w:cstheme="minorHAnsi"/>
          <w:sz w:val="22"/>
          <w:lang w:val="en"/>
        </w:rPr>
        <w:t>, covering “</w:t>
      </w:r>
      <w:r w:rsidR="00765047">
        <w:rPr>
          <w:rFonts w:asciiTheme="minorHAnsi" w:hAnsiTheme="minorHAnsi" w:cstheme="minorHAnsi"/>
          <w:iCs/>
          <w:sz w:val="22"/>
          <w:lang w:val="en"/>
        </w:rPr>
        <w:t>Health Human Resources in Rwanda and RBC capacity building on Ruhengeri hospital</w:t>
      </w:r>
      <w:r w:rsidR="00765047" w:rsidRPr="00765047">
        <w:rPr>
          <w:rFonts w:asciiTheme="minorHAnsi" w:hAnsiTheme="minorHAnsi" w:cstheme="minorHAnsi"/>
          <w:i/>
          <w:sz w:val="22"/>
          <w:lang w:val="en"/>
        </w:rPr>
        <w:t>“</w:t>
      </w:r>
      <w:r w:rsidRPr="00765047">
        <w:rPr>
          <w:rFonts w:asciiTheme="minorHAnsi" w:hAnsiTheme="minorHAnsi" w:cstheme="minorHAnsi"/>
          <w:i/>
          <w:sz w:val="22"/>
          <w:lang w:val="en"/>
        </w:rPr>
        <w:t>,</w:t>
      </w:r>
      <w:r w:rsidR="003115EA" w:rsidRPr="00765047">
        <w:rPr>
          <w:rFonts w:asciiTheme="minorHAnsi" w:hAnsiTheme="minorHAnsi" w:cstheme="minorHAnsi"/>
          <w:i/>
          <w:sz w:val="22"/>
          <w:lang w:val="en"/>
        </w:rPr>
        <w:t xml:space="preserve"> </w:t>
      </w:r>
      <w:r w:rsidR="003115EA" w:rsidRPr="00765047">
        <w:rPr>
          <w:rFonts w:asciiTheme="minorHAnsi" w:hAnsiTheme="minorHAnsi" w:cstheme="minorHAnsi"/>
          <w:i/>
          <w:smallCaps/>
          <w:szCs w:val="22"/>
          <w:lang w:val="en-GB"/>
        </w:rPr>
        <w:t>E</w:t>
      </w:r>
      <w:r w:rsidR="003115EA" w:rsidRPr="00765047">
        <w:rPr>
          <w:rFonts w:asciiTheme="minorHAnsi" w:hAnsiTheme="minorHAnsi" w:cstheme="minorHAnsi"/>
          <w:i/>
          <w:smallCaps/>
          <w:sz w:val="22"/>
          <w:szCs w:val="22"/>
          <w:lang w:val="en-GB"/>
        </w:rPr>
        <w:t xml:space="preserve">xpertise </w:t>
      </w:r>
      <w:r w:rsidR="003115EA" w:rsidRPr="00765047">
        <w:rPr>
          <w:rFonts w:asciiTheme="minorHAnsi" w:hAnsiTheme="minorHAnsi" w:cstheme="minorHAnsi"/>
          <w:i/>
          <w:smallCaps/>
          <w:szCs w:val="22"/>
          <w:lang w:val="en-GB"/>
        </w:rPr>
        <w:t>F</w:t>
      </w:r>
      <w:r w:rsidR="003115EA" w:rsidRPr="00765047">
        <w:rPr>
          <w:rFonts w:asciiTheme="minorHAnsi" w:hAnsiTheme="minorHAnsi" w:cstheme="minorHAnsi"/>
          <w:i/>
          <w:smallCaps/>
          <w:sz w:val="22"/>
          <w:szCs w:val="22"/>
          <w:lang w:val="en-GB"/>
        </w:rPr>
        <w:t xml:space="preserve">rance </w:t>
      </w:r>
      <w:r w:rsidRPr="00765047">
        <w:rPr>
          <w:rFonts w:asciiTheme="minorHAnsi" w:hAnsiTheme="minorHAnsi" w:cstheme="minorHAnsi"/>
          <w:i/>
          <w:sz w:val="22"/>
          <w:lang w:val="en"/>
        </w:rPr>
        <w:t xml:space="preserve">asks the </w:t>
      </w:r>
      <w:r w:rsidRPr="00765047">
        <w:rPr>
          <w:rFonts w:asciiTheme="minorHAnsi" w:hAnsiTheme="minorHAnsi" w:cstheme="minorHAnsi"/>
          <w:i/>
          <w:smallCaps/>
          <w:sz w:val="22"/>
          <w:lang w:val="en"/>
        </w:rPr>
        <w:t>Contractor</w:t>
      </w:r>
      <w:r w:rsidRPr="00765047">
        <w:rPr>
          <w:rFonts w:asciiTheme="minorHAnsi" w:hAnsiTheme="minorHAnsi" w:cstheme="minorHAnsi"/>
          <w:i/>
          <w:sz w:val="22"/>
          <w:lang w:val="en"/>
        </w:rPr>
        <w:t>, which accepts the same,</w:t>
      </w:r>
      <w:r w:rsidRPr="003115EA">
        <w:rPr>
          <w:rFonts w:asciiTheme="minorHAnsi" w:hAnsiTheme="minorHAnsi" w:cstheme="minorHAnsi"/>
          <w:sz w:val="22"/>
          <w:lang w:val="en"/>
        </w:rPr>
        <w:t xml:space="preserv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C80DC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40836305"/>
      <w:r w:rsidRPr="00F2235E">
        <w:rPr>
          <w:rFonts w:asciiTheme="minorHAnsi" w:hAnsiTheme="minorHAnsi"/>
          <w:b/>
          <w:bCs/>
          <w:caps/>
          <w:sz w:val="24"/>
          <w:u w:val="single"/>
          <w:lang w:val="en"/>
        </w:rPr>
        <w:lastRenderedPageBreak/>
        <w:t>Object of the contract</w:t>
      </w:r>
      <w:bookmarkEnd w:id="7"/>
    </w:p>
    <w:p w14:paraId="767C017D" w14:textId="57D79856"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094A75" w:rsidRPr="00094A75">
        <w:rPr>
          <w:rFonts w:asciiTheme="minorHAnsi" w:hAnsiTheme="minorHAnsi" w:cs="Arial"/>
          <w:i/>
          <w:iCs/>
          <w:lang w:val="en"/>
        </w:rPr>
        <w:t xml:space="preserve">International technical assistance to project owner in the context of the rehabilitation of Ruhengeri Referral Hospital in Rwanda </w:t>
      </w:r>
      <w:r w:rsidRPr="00F2235E">
        <w:rPr>
          <w:rFonts w:asciiTheme="minorHAnsi" w:hAnsiTheme="minorHAnsi" w:cs="Arial"/>
          <w:lang w:val="en"/>
        </w:rPr>
        <w:t>“.</w:t>
      </w:r>
    </w:p>
    <w:p w14:paraId="0E52074F" w14:textId="2A31EF8B" w:rsidR="001726C5" w:rsidRPr="00F2235E" w:rsidRDefault="001726C5" w:rsidP="00C80DC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140836306"/>
      <w:r w:rsidRPr="00F2235E">
        <w:rPr>
          <w:rFonts w:asciiTheme="minorHAnsi" w:hAnsiTheme="minorHAnsi"/>
          <w:b/>
          <w:bCs/>
          <w:caps/>
          <w:sz w:val="24"/>
          <w:u w:val="single"/>
          <w:lang w:val="en"/>
        </w:rPr>
        <w:t>Contractual documents</w:t>
      </w:r>
      <w:bookmarkEnd w:id="8"/>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C80DC1">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C80DC1">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C80DC1">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743B489" w:rsidR="00110630" w:rsidRPr="00F2235E" w:rsidRDefault="00110630" w:rsidP="00C80DC1">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w:t>
      </w:r>
      <w:r w:rsidR="00094A75">
        <w:rPr>
          <w:rFonts w:asciiTheme="minorHAnsi" w:hAnsiTheme="minorHAnsi" w:cstheme="minorHAnsi"/>
          <w:szCs w:val="22"/>
          <w:lang w:val="en"/>
        </w:rPr>
        <w:t>order model</w:t>
      </w:r>
    </w:p>
    <w:p w14:paraId="224CFC1F" w14:textId="1B4C96BD" w:rsidR="00996FEA" w:rsidRPr="00F2235E" w:rsidRDefault="00861444" w:rsidP="00C80DC1">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C80DC1">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C80DC1">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9" w:name="_Toc140836307"/>
      <w:bookmarkStart w:id="10" w:name="_Toc392669631"/>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1" w:name="_Toc140836308"/>
      <w:r w:rsidRPr="000D19AC">
        <w:rPr>
          <w:rFonts w:asciiTheme="minorHAnsi" w:hAnsiTheme="minorHAnsi" w:cstheme="minorHAnsi"/>
          <w:sz w:val="22"/>
          <w:szCs w:val="22"/>
          <w:lang w:val="en"/>
        </w:rPr>
        <w:t>Form of the Contract</w:t>
      </w:r>
      <w:bookmarkEnd w:id="10"/>
      <w:bookmarkEnd w:id="11"/>
      <w:r w:rsidRPr="000D19AC">
        <w:rPr>
          <w:rFonts w:asciiTheme="minorHAnsi" w:hAnsiTheme="minorHAnsi" w:cstheme="minorHAnsi"/>
          <w:sz w:val="22"/>
          <w:szCs w:val="22"/>
          <w:lang w:val="en"/>
        </w:rPr>
        <w:t xml:space="preserve"> </w:t>
      </w:r>
    </w:p>
    <w:p w14:paraId="407BE0F3" w14:textId="443D9A63" w:rsidR="005554F6" w:rsidRPr="000D19AC" w:rsidRDefault="00204CC9" w:rsidP="005554F6">
      <w:pPr>
        <w:pStyle w:val="v"/>
        <w:widowControl w:val="0"/>
        <w:spacing w:before="120" w:after="240"/>
        <w:ind w:left="556" w:firstLine="0"/>
        <w:rPr>
          <w:rFonts w:asciiTheme="minorHAnsi" w:hAnsiTheme="minorHAnsi" w:cstheme="minorHAnsi"/>
          <w:szCs w:val="22"/>
          <w:lang w:val="en-GB"/>
        </w:rPr>
      </w:pPr>
      <w:bookmarkStart w:id="12" w:name="_Toc392669632"/>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mixed pu</w:t>
      </w:r>
      <w:r w:rsidR="00094A75">
        <w:rPr>
          <w:rFonts w:asciiTheme="minorHAnsi" w:hAnsiTheme="minorHAnsi" w:cstheme="minorHAnsi"/>
          <w:szCs w:val="22"/>
          <w:lang w:val="en"/>
        </w:rPr>
        <w:t>blic contract: it contains one annual</w:t>
      </w:r>
      <w:r w:rsidRPr="000D19AC">
        <w:rPr>
          <w:rFonts w:asciiTheme="minorHAnsi" w:hAnsiTheme="minorHAnsi" w:cstheme="minorHAnsi"/>
          <w:szCs w:val="22"/>
          <w:lang w:val="en"/>
        </w:rPr>
        <w:t xml:space="preserve"> element and an order-bas</w:t>
      </w:r>
      <w:r w:rsidR="00094A75">
        <w:rPr>
          <w:rFonts w:asciiTheme="minorHAnsi" w:hAnsiTheme="minorHAnsi" w:cstheme="minorHAnsi"/>
          <w:szCs w:val="22"/>
          <w:lang w:val="en"/>
        </w:rPr>
        <w:t xml:space="preserve">ed element defined as follows: </w:t>
      </w:r>
    </w:p>
    <w:tbl>
      <w:tblPr>
        <w:tblStyle w:val="Grilledutableau"/>
        <w:tblW w:w="5993" w:type="dxa"/>
        <w:tblInd w:w="556" w:type="dxa"/>
        <w:tblLook w:val="04A0" w:firstRow="1" w:lastRow="0" w:firstColumn="1" w:lastColumn="0" w:noHBand="0" w:noVBand="1"/>
      </w:tblPr>
      <w:tblGrid>
        <w:gridCol w:w="1210"/>
        <w:gridCol w:w="4783"/>
      </w:tblGrid>
      <w:tr w:rsidR="001F7664" w:rsidRPr="000D19AC" w14:paraId="72C890D0" w14:textId="77777777" w:rsidTr="00094A75">
        <w:tc>
          <w:tcPr>
            <w:tcW w:w="1210" w:type="dxa"/>
            <w:vAlign w:val="center"/>
          </w:tcPr>
          <w:p w14:paraId="6B71AA42" w14:textId="62A496BE" w:rsidR="001F7664" w:rsidRPr="000D19AC" w:rsidRDefault="001F7664"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Fixed-price element</w:t>
            </w:r>
          </w:p>
        </w:tc>
        <w:tc>
          <w:tcPr>
            <w:tcW w:w="4783" w:type="dxa"/>
            <w:shd w:val="clear" w:color="auto" w:fill="auto"/>
            <w:vAlign w:val="center"/>
          </w:tcPr>
          <w:p w14:paraId="029D99F8" w14:textId="1F9BBEBE" w:rsidR="00094A75" w:rsidRPr="00094A75" w:rsidRDefault="00094A75" w:rsidP="000F52C5">
            <w:pPr>
              <w:pStyle w:val="v"/>
              <w:widowControl w:val="0"/>
              <w:spacing w:before="60" w:after="60"/>
              <w:ind w:left="0" w:firstLine="0"/>
              <w:jc w:val="left"/>
              <w:rPr>
                <w:rFonts w:asciiTheme="minorHAnsi" w:hAnsiTheme="minorHAnsi" w:cstheme="minorHAnsi"/>
                <w:szCs w:val="22"/>
              </w:rPr>
            </w:pPr>
            <w:r w:rsidRPr="00094A75">
              <w:rPr>
                <w:rFonts w:asciiTheme="minorHAnsi" w:hAnsiTheme="minorHAnsi" w:cstheme="minorHAnsi"/>
                <w:szCs w:val="22"/>
              </w:rPr>
              <w:t>Continuous technical support to the project owner throughout the duration of the project.</w:t>
            </w:r>
          </w:p>
        </w:tc>
      </w:tr>
      <w:tr w:rsidR="001F7664" w:rsidRPr="000D19AC" w14:paraId="0A0431E8" w14:textId="77777777" w:rsidTr="00232941">
        <w:tc>
          <w:tcPr>
            <w:tcW w:w="1210" w:type="dxa"/>
            <w:tcBorders>
              <w:bottom w:val="single" w:sz="4" w:space="0" w:color="auto"/>
            </w:tcBorders>
            <w:vAlign w:val="center"/>
          </w:tcPr>
          <w:p w14:paraId="13687087" w14:textId="5F37D32F" w:rsidR="001F7664" w:rsidRPr="000D19AC" w:rsidRDefault="001F7664"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Order-based element</w:t>
            </w:r>
          </w:p>
        </w:tc>
        <w:tc>
          <w:tcPr>
            <w:tcW w:w="4783" w:type="dxa"/>
            <w:tcBorders>
              <w:bottom w:val="single" w:sz="4" w:space="0" w:color="auto"/>
            </w:tcBorders>
            <w:vAlign w:val="center"/>
          </w:tcPr>
          <w:p w14:paraId="28B1B35A" w14:textId="13E3CFD5" w:rsidR="001F7664" w:rsidRPr="000D19AC" w:rsidRDefault="00094A75" w:rsidP="000F52C5">
            <w:pPr>
              <w:pStyle w:val="v"/>
              <w:widowControl w:val="0"/>
              <w:spacing w:before="60" w:after="60"/>
              <w:ind w:left="0" w:firstLine="0"/>
              <w:jc w:val="left"/>
              <w:rPr>
                <w:rFonts w:asciiTheme="minorHAnsi" w:hAnsiTheme="minorHAnsi" w:cstheme="minorHAnsi"/>
                <w:szCs w:val="22"/>
                <w:highlight w:val="yellow"/>
              </w:rPr>
            </w:pPr>
            <w:r w:rsidRPr="00094A75">
              <w:rPr>
                <w:rFonts w:asciiTheme="minorHAnsi" w:hAnsiTheme="minorHAnsi" w:cstheme="minorHAnsi"/>
                <w:szCs w:val="22"/>
              </w:rPr>
              <w:t>Responding to the evolving needs of the project owner.</w:t>
            </w:r>
          </w:p>
        </w:tc>
      </w:tr>
    </w:tbl>
    <w:p w14:paraId="12F301F1" w14:textId="685388B0" w:rsidR="006730A3" w:rsidRPr="000D19AC" w:rsidRDefault="006730A3" w:rsidP="002F2D1F">
      <w:pPr>
        <w:pStyle w:val="v"/>
        <w:widowControl w:val="0"/>
        <w:spacing w:before="24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“Purchase order” items are defined by </w:t>
      </w:r>
      <w:r w:rsidRPr="00094A75">
        <w:rPr>
          <w:rFonts w:asciiTheme="minorHAnsi" w:hAnsiTheme="minorHAnsi" w:cstheme="minorHAnsi"/>
          <w:szCs w:val="22"/>
          <w:lang w:val="en"/>
        </w:rPr>
        <w:t>Articles R. 2162-13 and R.2162-14 of the CCP and are executed as and when s</w:t>
      </w:r>
      <w:r w:rsidR="00094A75" w:rsidRPr="00094A75">
        <w:rPr>
          <w:rFonts w:asciiTheme="minorHAnsi" w:hAnsiTheme="minorHAnsi" w:cstheme="minorHAnsi"/>
          <w:szCs w:val="22"/>
          <w:lang w:val="en"/>
        </w:rPr>
        <w:t>aid purchase orders are issued.</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3" w:name="_Toc140836309"/>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23D91B24"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94A75">
        <w:rPr>
          <w:rFonts w:asciiTheme="minorHAnsi" w:hAnsiTheme="minorHAnsi" w:cstheme="minorHAnsi"/>
          <w:szCs w:val="22"/>
          <w:lang w:val="en"/>
        </w:rPr>
        <w:t xml:space="preserve">32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094A75">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2CC31A52" w:rsidR="00413542" w:rsidRPr="000D19AC" w:rsidRDefault="00413542"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entered into with an initial validity period of </w:t>
      </w:r>
      <w:r w:rsidR="00094A75">
        <w:rPr>
          <w:rFonts w:asciiTheme="minorHAnsi" w:hAnsiTheme="minorHAnsi" w:cstheme="minorHAnsi"/>
          <w:szCs w:val="22"/>
          <w:lang w:val="en"/>
        </w:rPr>
        <w:t xml:space="preserve">12 </w:t>
      </w:r>
      <w:r w:rsidRPr="000D19AC">
        <w:rPr>
          <w:rFonts w:asciiTheme="minorHAnsi" w:hAnsiTheme="minorHAnsi" w:cstheme="minorHAnsi"/>
          <w:szCs w:val="22"/>
          <w:lang w:val="en"/>
        </w:rPr>
        <w:t xml:space="preserve">months from its award date. This initial validity period will be tacitly renewed for additional periods of validity, up to the maximum amount of </w:t>
      </w:r>
      <w:r w:rsidR="00094A75">
        <w:rPr>
          <w:rFonts w:asciiTheme="minorHAnsi" w:hAnsiTheme="minorHAnsi" w:cstheme="minorHAnsi"/>
          <w:szCs w:val="22"/>
          <w:lang w:val="en"/>
        </w:rPr>
        <w:t>32</w:t>
      </w:r>
      <w:r w:rsidRPr="000D19AC">
        <w:rPr>
          <w:rFonts w:asciiTheme="minorHAnsi" w:hAnsiTheme="minorHAnsi" w:cstheme="minorHAnsi"/>
          <w:szCs w:val="22"/>
          <w:lang w:val="en"/>
        </w:rPr>
        <w:t xml:space="preserve"> months from the award date. </w:t>
      </w:r>
    </w:p>
    <w:tbl>
      <w:tblPr>
        <w:tblStyle w:val="Grilledutableau"/>
        <w:tblW w:w="0" w:type="auto"/>
        <w:tblInd w:w="556" w:type="dxa"/>
        <w:tblLook w:val="04A0" w:firstRow="1" w:lastRow="0" w:firstColumn="1" w:lastColumn="0" w:noHBand="0" w:noVBand="1"/>
      </w:tblPr>
      <w:tblGrid>
        <w:gridCol w:w="4593"/>
        <w:gridCol w:w="4587"/>
      </w:tblGrid>
      <w:tr w:rsidR="00413542" w:rsidRPr="000D19AC" w14:paraId="31D1E9DA" w14:textId="77777777" w:rsidTr="000F52C5">
        <w:tc>
          <w:tcPr>
            <w:tcW w:w="4593" w:type="dxa"/>
            <w:vAlign w:val="center"/>
          </w:tcPr>
          <w:p w14:paraId="55857527" w14:textId="77777777" w:rsidR="00413542" w:rsidRPr="000D19AC" w:rsidRDefault="00413542" w:rsidP="000F52C5">
            <w:pPr>
              <w:pStyle w:val="v"/>
              <w:widowControl w:val="0"/>
              <w:spacing w:before="60" w:after="60"/>
              <w:ind w:left="0" w:firstLine="0"/>
              <w:jc w:val="left"/>
              <w:rPr>
                <w:rFonts w:asciiTheme="minorHAnsi" w:hAnsiTheme="minorHAnsi" w:cstheme="minorHAnsi"/>
                <w:b/>
                <w:szCs w:val="22"/>
              </w:rPr>
            </w:pPr>
            <w:r w:rsidRPr="000D19AC">
              <w:rPr>
                <w:rFonts w:asciiTheme="minorHAnsi" w:hAnsiTheme="minorHAnsi" w:cstheme="minorHAnsi"/>
                <w:b/>
                <w:bCs/>
                <w:szCs w:val="22"/>
                <w:lang w:val="en"/>
              </w:rPr>
              <w:t>Validity periods</w:t>
            </w:r>
          </w:p>
        </w:tc>
        <w:tc>
          <w:tcPr>
            <w:tcW w:w="4587" w:type="dxa"/>
            <w:vAlign w:val="center"/>
          </w:tcPr>
          <w:p w14:paraId="7BEC42F7" w14:textId="77777777" w:rsidR="00413542" w:rsidRPr="000D19AC" w:rsidRDefault="00413542" w:rsidP="00A8561A">
            <w:pPr>
              <w:pStyle w:val="v"/>
              <w:widowControl w:val="0"/>
              <w:spacing w:before="60" w:after="60"/>
              <w:ind w:left="0" w:firstLine="0"/>
              <w:jc w:val="center"/>
              <w:rPr>
                <w:rFonts w:asciiTheme="minorHAnsi" w:hAnsiTheme="minorHAnsi" w:cstheme="minorHAnsi"/>
                <w:b/>
                <w:szCs w:val="22"/>
              </w:rPr>
            </w:pPr>
            <w:r w:rsidRPr="000D19AC">
              <w:rPr>
                <w:rFonts w:asciiTheme="minorHAnsi" w:hAnsiTheme="minorHAnsi" w:cstheme="minorHAnsi"/>
                <w:b/>
                <w:bCs/>
                <w:szCs w:val="22"/>
                <w:lang w:val="en"/>
              </w:rPr>
              <w:t>Duration of validity periods</w:t>
            </w:r>
          </w:p>
        </w:tc>
      </w:tr>
      <w:tr w:rsidR="00413542" w:rsidRPr="000D19AC" w14:paraId="58095CD1" w14:textId="77777777" w:rsidTr="000F52C5">
        <w:tc>
          <w:tcPr>
            <w:tcW w:w="4593" w:type="dxa"/>
            <w:vAlign w:val="center"/>
          </w:tcPr>
          <w:p w14:paraId="5D052E3B" w14:textId="77777777" w:rsidR="00413542" w:rsidRPr="000D19AC" w:rsidRDefault="00413542"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First period</w:t>
            </w:r>
          </w:p>
        </w:tc>
        <w:tc>
          <w:tcPr>
            <w:tcW w:w="4587" w:type="dxa"/>
            <w:vAlign w:val="center"/>
          </w:tcPr>
          <w:p w14:paraId="2ACB65B3" w14:textId="097283EE" w:rsidR="00413542" w:rsidRPr="000D19AC" w:rsidRDefault="00094A75" w:rsidP="00A8561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12</w:t>
            </w:r>
            <w:r w:rsidR="00413542" w:rsidRPr="000D19AC">
              <w:rPr>
                <w:rFonts w:asciiTheme="minorHAnsi" w:hAnsiTheme="minorHAnsi" w:cstheme="minorHAnsi"/>
                <w:szCs w:val="22"/>
                <w:lang w:val="en"/>
              </w:rPr>
              <w:t>months</w:t>
            </w:r>
          </w:p>
        </w:tc>
      </w:tr>
      <w:tr w:rsidR="00413542" w:rsidRPr="000D19AC" w14:paraId="777F1E2B" w14:textId="77777777" w:rsidTr="000F52C5">
        <w:tc>
          <w:tcPr>
            <w:tcW w:w="4593" w:type="dxa"/>
            <w:vAlign w:val="center"/>
          </w:tcPr>
          <w:p w14:paraId="7A3AA121" w14:textId="77777777" w:rsidR="00413542" w:rsidRPr="000D19AC" w:rsidRDefault="00413542"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Second period</w:t>
            </w:r>
          </w:p>
        </w:tc>
        <w:tc>
          <w:tcPr>
            <w:tcW w:w="4587" w:type="dxa"/>
            <w:vAlign w:val="center"/>
          </w:tcPr>
          <w:p w14:paraId="36445BB6" w14:textId="5934946E" w:rsidR="00413542" w:rsidRPr="000D19AC" w:rsidRDefault="00094A75" w:rsidP="00A8561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12</w:t>
            </w:r>
            <w:r w:rsidR="00413542" w:rsidRPr="000D19AC">
              <w:rPr>
                <w:rFonts w:asciiTheme="minorHAnsi" w:hAnsiTheme="minorHAnsi" w:cstheme="minorHAnsi"/>
                <w:szCs w:val="22"/>
                <w:lang w:val="en"/>
              </w:rPr>
              <w:t xml:space="preserve"> months</w:t>
            </w:r>
          </w:p>
        </w:tc>
      </w:tr>
      <w:tr w:rsidR="00413542" w:rsidRPr="000D19AC" w14:paraId="558720B5" w14:textId="77777777" w:rsidTr="000F52C5">
        <w:tc>
          <w:tcPr>
            <w:tcW w:w="4593" w:type="dxa"/>
            <w:vAlign w:val="center"/>
          </w:tcPr>
          <w:p w14:paraId="62B55BA5" w14:textId="77777777" w:rsidR="00413542" w:rsidRPr="000D19AC" w:rsidRDefault="00413542"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Third and last period</w:t>
            </w:r>
          </w:p>
        </w:tc>
        <w:tc>
          <w:tcPr>
            <w:tcW w:w="4587" w:type="dxa"/>
            <w:vAlign w:val="center"/>
          </w:tcPr>
          <w:p w14:paraId="6289A4E0" w14:textId="3490A12B" w:rsidR="00413542" w:rsidRPr="000D19AC" w:rsidRDefault="00094A75" w:rsidP="00A8561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 xml:space="preserve">8 </w:t>
            </w:r>
            <w:r w:rsidR="00413542" w:rsidRPr="000D19AC">
              <w:rPr>
                <w:rFonts w:asciiTheme="minorHAnsi" w:hAnsiTheme="minorHAnsi" w:cstheme="minorHAnsi"/>
                <w:szCs w:val="22"/>
                <w:lang w:val="en"/>
              </w:rPr>
              <w:t>months</w:t>
            </w:r>
          </w:p>
        </w:tc>
      </w:tr>
    </w:tbl>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36FFCBE7" w:rsidR="001E12A9" w:rsidRPr="00F41A62" w:rsidRDefault="00094A75" w:rsidP="001E12A9">
      <w:pPr>
        <w:pStyle w:val="Titre2"/>
        <w:spacing w:before="120" w:after="60"/>
        <w:rPr>
          <w:rFonts w:asciiTheme="minorHAnsi" w:hAnsiTheme="minorHAnsi" w:cstheme="minorHAnsi"/>
          <w:sz w:val="22"/>
          <w:szCs w:val="22"/>
          <w:lang w:val="en-GB"/>
        </w:rPr>
      </w:pPr>
      <w:bookmarkStart w:id="14"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4"/>
    </w:p>
    <w:p w14:paraId="29C83A50" w14:textId="56DFB169" w:rsidR="001E12A9" w:rsidRPr="00F41A62" w:rsidRDefault="00094A75"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w:t>
      </w:r>
      <w:r w:rsidR="001E12A9" w:rsidRPr="00F41A62">
        <w:rPr>
          <w:rFonts w:asciiTheme="minorHAnsi" w:hAnsiTheme="minorHAnsi" w:cstheme="minorHAnsi"/>
          <w:szCs w:val="22"/>
          <w:lang w:val="en"/>
        </w:rPr>
        <w:t>deadli</w:t>
      </w:r>
      <w:r w:rsidR="00F23A40">
        <w:rPr>
          <w:rFonts w:asciiTheme="minorHAnsi" w:hAnsiTheme="minorHAnsi" w:cstheme="minorHAnsi"/>
          <w:szCs w:val="22"/>
          <w:lang w:val="en"/>
        </w:rPr>
        <w:t xml:space="preserve">ne under this </w:t>
      </w:r>
      <w:r w:rsidR="001E12A9" w:rsidRPr="00F41A62">
        <w:rPr>
          <w:rFonts w:asciiTheme="minorHAnsi" w:hAnsiTheme="minorHAnsi" w:cstheme="minorHAnsi"/>
          <w:smallCaps/>
          <w:szCs w:val="22"/>
          <w:lang w:val="en"/>
        </w:rPr>
        <w:t>Contract</w:t>
      </w:r>
      <w:r w:rsidR="00F23A40">
        <w:rPr>
          <w:rFonts w:asciiTheme="minorHAnsi" w:hAnsiTheme="minorHAnsi" w:cstheme="minorHAnsi"/>
          <w:smallCaps/>
          <w:szCs w:val="22"/>
          <w:lang w:val="en"/>
        </w:rPr>
        <w:t xml:space="preserve"> </w:t>
      </w:r>
      <w:r w:rsidR="001E12A9" w:rsidRPr="00F41A62">
        <w:rPr>
          <w:rFonts w:asciiTheme="minorHAnsi" w:hAnsiTheme="minorHAnsi" w:cstheme="minorHAnsi"/>
          <w:szCs w:val="22"/>
          <w:lang w:val="en"/>
        </w:rPr>
        <w:t>will be specified in each purchase order.</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5" w:name="_Toc140836311"/>
      <w:r w:rsidRPr="00F41A62">
        <w:rPr>
          <w:rFonts w:asciiTheme="minorHAnsi" w:hAnsiTheme="minorHAnsi" w:cstheme="minorHAnsi"/>
          <w:sz w:val="22"/>
          <w:szCs w:val="22"/>
          <w:lang w:val="en"/>
        </w:rPr>
        <w:lastRenderedPageBreak/>
        <w:t>Procedure for the issuance of purchase orders</w:t>
      </w:r>
      <w:bookmarkEnd w:id="15"/>
    </w:p>
    <w:p w14:paraId="0A2D29AA"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77777777" w:rsidR="00ED6301" w:rsidRPr="00F41A62" w:rsidRDefault="00ED6301" w:rsidP="00C80DC1">
      <w:pPr>
        <w:pStyle w:val="Paragraphedeliste"/>
        <w:numPr>
          <w:ilvl w:val="0"/>
          <w:numId w:val="9"/>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77777777" w:rsidR="00ED6301" w:rsidRPr="00F41A62" w:rsidRDefault="00ED6301" w:rsidP="00C80DC1">
      <w:pPr>
        <w:pStyle w:val="Paragraphedeliste"/>
        <w:numPr>
          <w:ilvl w:val="0"/>
          <w:numId w:val="9"/>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C80DC1">
      <w:pPr>
        <w:pStyle w:val="Paragraphedeliste"/>
        <w:numPr>
          <w:ilvl w:val="0"/>
          <w:numId w:val="9"/>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C80DC1">
      <w:pPr>
        <w:pStyle w:val="Paragraphedeliste"/>
        <w:numPr>
          <w:ilvl w:val="0"/>
          <w:numId w:val="9"/>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C80DC1">
      <w:pPr>
        <w:pStyle w:val="Paragraphedeliste"/>
        <w:numPr>
          <w:ilvl w:val="0"/>
          <w:numId w:val="9"/>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7CB9B59E" w14:textId="24B7B9C5" w:rsidR="003A4792" w:rsidRPr="00F41A62" w:rsidRDefault="003A4792" w:rsidP="00C80DC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6" w:name="_Toc140836313"/>
      <w:r w:rsidRPr="00F41A62">
        <w:rPr>
          <w:rFonts w:asciiTheme="minorHAnsi" w:hAnsiTheme="minorHAnsi"/>
          <w:b/>
          <w:bCs/>
          <w:caps/>
          <w:sz w:val="24"/>
          <w:u w:val="single"/>
          <w:lang w:val="en"/>
        </w:rPr>
        <w:t>Financial provisions</w:t>
      </w:r>
      <w:bookmarkEnd w:id="16"/>
    </w:p>
    <w:p w14:paraId="5AB0EEA8" w14:textId="67339BB6" w:rsidR="005F5840" w:rsidRDefault="00E849ED" w:rsidP="00F23A40">
      <w:pPr>
        <w:pStyle w:val="Titre2"/>
        <w:spacing w:before="120" w:after="60"/>
        <w:rPr>
          <w:rFonts w:asciiTheme="minorHAnsi" w:hAnsiTheme="minorHAnsi" w:cstheme="minorHAnsi"/>
          <w:sz w:val="22"/>
          <w:szCs w:val="22"/>
          <w:lang w:val="en"/>
        </w:rPr>
      </w:pPr>
      <w:bookmarkStart w:id="17" w:name="_Toc524095228"/>
      <w:bookmarkStart w:id="18" w:name="_Toc392669634"/>
      <w:bookmarkStart w:id="19" w:name="_Toc140836314"/>
      <w:r w:rsidRPr="00F41A62">
        <w:rPr>
          <w:rFonts w:asciiTheme="minorHAnsi" w:hAnsiTheme="minorHAnsi" w:cstheme="minorHAnsi"/>
          <w:sz w:val="22"/>
          <w:szCs w:val="22"/>
          <w:lang w:val="en"/>
        </w:rPr>
        <w:t>Amount of the Contract</w:t>
      </w:r>
      <w:bookmarkEnd w:id="17"/>
      <w:bookmarkEnd w:id="18"/>
      <w:bookmarkEnd w:id="19"/>
    </w:p>
    <w:p w14:paraId="41E981EA" w14:textId="77777777" w:rsidR="00F23A40" w:rsidRPr="00F23A40" w:rsidRDefault="00F23A40" w:rsidP="00F23A40">
      <w:pPr>
        <w:rPr>
          <w:lang w:val="en"/>
        </w:rPr>
      </w:pPr>
    </w:p>
    <w:tbl>
      <w:tblPr>
        <w:tblStyle w:val="Grilledutableau"/>
        <w:tblW w:w="9220" w:type="dxa"/>
        <w:tblInd w:w="556" w:type="dxa"/>
        <w:tblLook w:val="04A0" w:firstRow="1" w:lastRow="0" w:firstColumn="1" w:lastColumn="0" w:noHBand="0" w:noVBand="1"/>
      </w:tblPr>
      <w:tblGrid>
        <w:gridCol w:w="5676"/>
        <w:gridCol w:w="236"/>
        <w:gridCol w:w="3308"/>
      </w:tblGrid>
      <w:tr w:rsidR="005F5840" w:rsidRPr="00722AD6" w14:paraId="3099B192" w14:textId="77777777" w:rsidTr="00D27F14">
        <w:trPr>
          <w:trHeight w:val="537"/>
        </w:trPr>
        <w:tc>
          <w:tcPr>
            <w:tcW w:w="5676" w:type="dxa"/>
            <w:vAlign w:val="center"/>
          </w:tcPr>
          <w:p w14:paraId="50C0967F" w14:textId="77777777" w:rsidR="005F5840" w:rsidRPr="00722AD6" w:rsidRDefault="005F5840" w:rsidP="00D27F14">
            <w:pPr>
              <w:pStyle w:val="v"/>
              <w:widowControl w:val="0"/>
              <w:spacing w:before="60" w:after="60"/>
              <w:ind w:left="0" w:firstLine="0"/>
              <w:jc w:val="left"/>
              <w:rPr>
                <w:rFonts w:asciiTheme="minorHAnsi" w:hAnsiTheme="minorHAnsi" w:cstheme="minorHAnsi"/>
                <w:b/>
              </w:rPr>
            </w:pPr>
            <w:r w:rsidRPr="00722AD6">
              <w:rPr>
                <w:rFonts w:asciiTheme="minorHAnsi" w:hAnsiTheme="minorHAnsi" w:cstheme="minorHAnsi"/>
                <w:b/>
                <w:bCs/>
                <w:lang w:val="en"/>
              </w:rPr>
              <w:t>ITEM</w:t>
            </w:r>
          </w:p>
        </w:tc>
        <w:tc>
          <w:tcPr>
            <w:tcW w:w="3544" w:type="dxa"/>
            <w:gridSpan w:val="2"/>
            <w:vAlign w:val="center"/>
          </w:tcPr>
          <w:p w14:paraId="075A5C75" w14:textId="77777777" w:rsidR="005F5840" w:rsidRPr="00722AD6" w:rsidRDefault="005F5840" w:rsidP="00D27F14">
            <w:pPr>
              <w:pStyle w:val="v"/>
              <w:widowControl w:val="0"/>
              <w:spacing w:before="60" w:after="60"/>
              <w:ind w:left="0" w:firstLine="0"/>
              <w:jc w:val="center"/>
              <w:rPr>
                <w:rFonts w:asciiTheme="minorHAnsi" w:hAnsiTheme="minorHAnsi" w:cstheme="minorHAnsi"/>
                <w:b/>
                <w:highlight w:val="yellow"/>
              </w:rPr>
            </w:pPr>
            <w:r w:rsidRPr="00F23A40">
              <w:rPr>
                <w:rFonts w:asciiTheme="minorHAnsi" w:hAnsiTheme="minorHAnsi" w:cstheme="minorHAnsi"/>
                <w:b/>
                <w:bCs/>
                <w:lang w:val="en"/>
              </w:rPr>
              <w:t>AMOUNT</w:t>
            </w:r>
          </w:p>
        </w:tc>
      </w:tr>
      <w:tr w:rsidR="005F5840" w:rsidRPr="00F23A40" w14:paraId="3272B575" w14:textId="77777777" w:rsidTr="00F23A40">
        <w:tc>
          <w:tcPr>
            <w:tcW w:w="5676" w:type="dxa"/>
            <w:vAlign w:val="center"/>
          </w:tcPr>
          <w:p w14:paraId="133E094E" w14:textId="77777777" w:rsidR="005F5840" w:rsidRPr="00722AD6" w:rsidRDefault="005F5840" w:rsidP="00D27F14">
            <w:pPr>
              <w:pStyle w:val="v"/>
              <w:widowControl w:val="0"/>
              <w:spacing w:before="60" w:after="60"/>
              <w:ind w:left="0" w:firstLine="0"/>
              <w:jc w:val="left"/>
              <w:rPr>
                <w:rFonts w:asciiTheme="minorHAnsi" w:hAnsiTheme="minorHAnsi" w:cstheme="minorHAnsi"/>
              </w:rPr>
            </w:pPr>
            <w:r w:rsidRPr="00722AD6">
              <w:rPr>
                <w:rFonts w:asciiTheme="minorHAnsi" w:hAnsiTheme="minorHAnsi" w:cstheme="minorHAnsi"/>
                <w:lang w:val="en"/>
              </w:rPr>
              <w:t>Fixed-price element</w:t>
            </w:r>
          </w:p>
        </w:tc>
        <w:tc>
          <w:tcPr>
            <w:tcW w:w="3544" w:type="dxa"/>
            <w:gridSpan w:val="2"/>
            <w:shd w:val="clear" w:color="auto" w:fill="auto"/>
            <w:vAlign w:val="center"/>
          </w:tcPr>
          <w:p w14:paraId="4DF7B1F4" w14:textId="67CC0BD8" w:rsidR="005F5840" w:rsidRPr="00F23A40" w:rsidRDefault="00F23A40" w:rsidP="00D27F14">
            <w:pPr>
              <w:pStyle w:val="v"/>
              <w:widowControl w:val="0"/>
              <w:spacing w:before="60" w:after="60"/>
              <w:ind w:left="0" w:firstLine="0"/>
              <w:jc w:val="right"/>
              <w:rPr>
                <w:rFonts w:asciiTheme="minorHAnsi" w:hAnsiTheme="minorHAnsi" w:cstheme="minorHAnsi"/>
              </w:rPr>
            </w:pPr>
            <w:r w:rsidRPr="00F23A40">
              <w:rPr>
                <w:rFonts w:asciiTheme="minorHAnsi" w:hAnsiTheme="minorHAnsi" w:cstheme="minorHAnsi"/>
                <w:lang w:val="en"/>
              </w:rPr>
              <w:t>350 000</w:t>
            </w:r>
            <w:r w:rsidR="005F5840" w:rsidRPr="00F23A40">
              <w:rPr>
                <w:rFonts w:asciiTheme="minorHAnsi" w:hAnsiTheme="minorHAnsi" w:cstheme="minorHAnsi"/>
                <w:lang w:val="en"/>
              </w:rPr>
              <w:t>€ exc. VAT.</w:t>
            </w:r>
          </w:p>
        </w:tc>
      </w:tr>
      <w:tr w:rsidR="005F5840" w:rsidRPr="00F23A40" w14:paraId="171773AE" w14:textId="77777777" w:rsidTr="00F23A40">
        <w:tc>
          <w:tcPr>
            <w:tcW w:w="5676" w:type="dxa"/>
            <w:vAlign w:val="center"/>
          </w:tcPr>
          <w:p w14:paraId="75A81ED8" w14:textId="77777777" w:rsidR="005F5840" w:rsidRPr="00722AD6" w:rsidRDefault="005F5840" w:rsidP="00D27F14">
            <w:pPr>
              <w:pStyle w:val="v"/>
              <w:widowControl w:val="0"/>
              <w:spacing w:before="60" w:after="60"/>
              <w:ind w:left="0" w:firstLine="0"/>
              <w:jc w:val="left"/>
              <w:rPr>
                <w:rFonts w:asciiTheme="minorHAnsi" w:hAnsiTheme="minorHAnsi" w:cstheme="minorHAnsi"/>
                <w:lang w:val="en-GB"/>
              </w:rPr>
            </w:pPr>
            <w:r w:rsidRPr="00722AD6">
              <w:rPr>
                <w:rFonts w:asciiTheme="minorHAnsi" w:hAnsiTheme="minorHAnsi" w:cstheme="minorHAnsi"/>
                <w:lang w:val="en"/>
              </w:rPr>
              <w:t xml:space="preserve">Maximal amount of the order-based element </w:t>
            </w:r>
          </w:p>
        </w:tc>
        <w:tc>
          <w:tcPr>
            <w:tcW w:w="3544" w:type="dxa"/>
            <w:gridSpan w:val="2"/>
            <w:shd w:val="clear" w:color="auto" w:fill="auto"/>
            <w:vAlign w:val="center"/>
          </w:tcPr>
          <w:p w14:paraId="4DB44066" w14:textId="485D7965" w:rsidR="005F5840" w:rsidRPr="00F23A40" w:rsidRDefault="00F23A40" w:rsidP="00D27F14">
            <w:pPr>
              <w:pStyle w:val="v"/>
              <w:widowControl w:val="0"/>
              <w:spacing w:before="60" w:after="60"/>
              <w:ind w:left="0" w:firstLine="0"/>
              <w:jc w:val="right"/>
              <w:rPr>
                <w:rFonts w:asciiTheme="minorHAnsi" w:hAnsiTheme="minorHAnsi" w:cstheme="minorHAnsi"/>
              </w:rPr>
            </w:pPr>
            <w:r w:rsidRPr="00F23A40">
              <w:rPr>
                <w:rFonts w:asciiTheme="minorHAnsi" w:hAnsiTheme="minorHAnsi" w:cstheme="minorHAnsi"/>
                <w:lang w:val="en"/>
              </w:rPr>
              <w:t>100 000</w:t>
            </w:r>
            <w:r w:rsidR="005F5840" w:rsidRPr="00F23A40">
              <w:rPr>
                <w:rFonts w:asciiTheme="minorHAnsi" w:hAnsiTheme="minorHAnsi" w:cstheme="minorHAnsi"/>
                <w:lang w:val="en"/>
              </w:rPr>
              <w:t>€ exc. VAT.</w:t>
            </w:r>
          </w:p>
        </w:tc>
      </w:tr>
      <w:tr w:rsidR="005F5840" w:rsidRPr="00722AD6" w14:paraId="77158141" w14:textId="77777777" w:rsidTr="00D27F14">
        <w:tc>
          <w:tcPr>
            <w:tcW w:w="5676" w:type="dxa"/>
            <w:tcBorders>
              <w:left w:val="nil"/>
              <w:right w:val="nil"/>
            </w:tcBorders>
            <w:vAlign w:val="center"/>
          </w:tcPr>
          <w:p w14:paraId="79BD9FE4" w14:textId="77777777" w:rsidR="005F5840" w:rsidRPr="00722AD6" w:rsidRDefault="005F5840" w:rsidP="00D27F14">
            <w:pPr>
              <w:pStyle w:val="v"/>
              <w:widowControl w:val="0"/>
              <w:spacing w:before="60" w:after="60"/>
              <w:ind w:left="0" w:firstLine="0"/>
              <w:jc w:val="left"/>
              <w:rPr>
                <w:rFonts w:asciiTheme="minorHAnsi" w:hAnsiTheme="minorHAnsi" w:cstheme="minorHAnsi"/>
                <w:highlight w:val="yellow"/>
              </w:rPr>
            </w:pPr>
          </w:p>
        </w:tc>
        <w:tc>
          <w:tcPr>
            <w:tcW w:w="236" w:type="dxa"/>
            <w:tcBorders>
              <w:left w:val="nil"/>
              <w:right w:val="nil"/>
            </w:tcBorders>
            <w:vAlign w:val="center"/>
          </w:tcPr>
          <w:p w14:paraId="7AABEB2E" w14:textId="77777777" w:rsidR="005F5840" w:rsidRPr="00722AD6" w:rsidRDefault="005F5840" w:rsidP="00D27F14">
            <w:pPr>
              <w:pStyle w:val="v"/>
              <w:widowControl w:val="0"/>
              <w:spacing w:before="60" w:after="60"/>
              <w:ind w:left="0" w:firstLine="0"/>
              <w:jc w:val="right"/>
              <w:rPr>
                <w:rFonts w:asciiTheme="minorHAnsi" w:hAnsiTheme="minorHAnsi" w:cstheme="minorHAnsi"/>
                <w:highlight w:val="yellow"/>
              </w:rPr>
            </w:pPr>
          </w:p>
        </w:tc>
        <w:tc>
          <w:tcPr>
            <w:tcW w:w="3308" w:type="dxa"/>
            <w:tcBorders>
              <w:left w:val="nil"/>
              <w:right w:val="nil"/>
            </w:tcBorders>
            <w:vAlign w:val="center"/>
          </w:tcPr>
          <w:p w14:paraId="306A3F92" w14:textId="77777777" w:rsidR="005F5840" w:rsidRPr="00722AD6" w:rsidRDefault="005F5840" w:rsidP="00D27F14">
            <w:pPr>
              <w:pStyle w:val="v"/>
              <w:widowControl w:val="0"/>
              <w:spacing w:before="60" w:after="60"/>
              <w:ind w:left="0" w:firstLine="0"/>
              <w:jc w:val="center"/>
              <w:rPr>
                <w:rFonts w:asciiTheme="minorHAnsi" w:hAnsiTheme="minorHAnsi" w:cstheme="minorHAnsi"/>
                <w:highlight w:val="yellow"/>
              </w:rPr>
            </w:pPr>
          </w:p>
        </w:tc>
      </w:tr>
      <w:tr w:rsidR="005F5840" w:rsidRPr="00722AD6" w14:paraId="4D846B8A" w14:textId="77777777" w:rsidTr="00D27F14">
        <w:tc>
          <w:tcPr>
            <w:tcW w:w="5676" w:type="dxa"/>
            <w:vAlign w:val="center"/>
          </w:tcPr>
          <w:p w14:paraId="0F0C83D1" w14:textId="77777777" w:rsidR="005F5840" w:rsidRPr="00722AD6" w:rsidRDefault="005F5840" w:rsidP="00D27F14">
            <w:pPr>
              <w:pStyle w:val="v"/>
              <w:widowControl w:val="0"/>
              <w:spacing w:before="60" w:after="60"/>
              <w:ind w:left="0" w:firstLine="0"/>
              <w:jc w:val="right"/>
              <w:rPr>
                <w:rFonts w:asciiTheme="minorHAnsi" w:hAnsiTheme="minorHAnsi" w:cstheme="minorHAnsi"/>
                <w:b/>
                <w:highlight w:val="yellow"/>
                <w:lang w:val="en-GB"/>
              </w:rPr>
            </w:pPr>
            <w:r w:rsidRPr="00F23A40">
              <w:rPr>
                <w:rFonts w:asciiTheme="minorHAnsi" w:hAnsiTheme="minorHAnsi" w:cstheme="minorHAnsi"/>
                <w:b/>
                <w:bCs/>
                <w:lang w:val="en"/>
              </w:rPr>
              <w:t>MAXIMUM AMOUNT OF THE CONTRACT</w:t>
            </w:r>
            <w:r w:rsidRPr="00F23A40">
              <w:rPr>
                <w:rFonts w:asciiTheme="minorHAnsi" w:hAnsiTheme="minorHAnsi" w:cstheme="minorHAnsi"/>
                <w:lang w:val="en"/>
              </w:rPr>
              <w:br/>
            </w:r>
            <w:r w:rsidRPr="00F23A40">
              <w:rPr>
                <w:rFonts w:asciiTheme="minorHAnsi" w:hAnsiTheme="minorHAnsi" w:cstheme="minorHAnsi"/>
                <w:b/>
                <w:bCs/>
                <w:lang w:val="en"/>
              </w:rPr>
              <w:t>(FIXED-PRICE ELEMENT + ORDER-BASED ELEMENT)</w:t>
            </w:r>
          </w:p>
        </w:tc>
        <w:tc>
          <w:tcPr>
            <w:tcW w:w="3544" w:type="dxa"/>
            <w:gridSpan w:val="2"/>
            <w:vAlign w:val="center"/>
          </w:tcPr>
          <w:p w14:paraId="6E299D4C" w14:textId="1BDE2F36" w:rsidR="005F5840" w:rsidRPr="00722AD6" w:rsidRDefault="00F23A40" w:rsidP="00D27F14">
            <w:pPr>
              <w:pStyle w:val="v"/>
              <w:widowControl w:val="0"/>
              <w:spacing w:before="60" w:after="60"/>
              <w:ind w:left="0" w:firstLine="0"/>
              <w:jc w:val="right"/>
              <w:rPr>
                <w:rFonts w:asciiTheme="minorHAnsi" w:hAnsiTheme="minorHAnsi" w:cstheme="minorHAnsi"/>
                <w:highlight w:val="yellow"/>
              </w:rPr>
            </w:pPr>
            <w:r w:rsidRPr="00F23A40">
              <w:rPr>
                <w:rFonts w:asciiTheme="minorHAnsi" w:hAnsiTheme="minorHAnsi" w:cstheme="minorHAnsi"/>
                <w:lang w:val="en"/>
              </w:rPr>
              <w:t>450 000</w:t>
            </w:r>
            <w:r w:rsidR="005F5840" w:rsidRPr="00F23A40">
              <w:rPr>
                <w:rFonts w:asciiTheme="minorHAnsi" w:hAnsiTheme="minorHAnsi" w:cstheme="minorHAnsi"/>
                <w:lang w:val="en"/>
              </w:rPr>
              <w:t>€ exc. VAT.</w:t>
            </w:r>
          </w:p>
        </w:tc>
      </w:tr>
    </w:tbl>
    <w:p w14:paraId="6C1E5B95" w14:textId="4D1DB38E" w:rsidR="005F5840" w:rsidRPr="00044AC3"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sidRPr="00722AD6">
        <w:rPr>
          <w:rFonts w:asciiTheme="minorHAnsi" w:hAnsiTheme="minorHAnsi" w:cstheme="minorHAnsi"/>
          <w:sz w:val="22"/>
          <w:lang w:val="en"/>
        </w:rPr>
        <w:t xml:space="preserve">The maximum amount of the </w:t>
      </w:r>
      <w:r w:rsidRPr="00722AD6">
        <w:rPr>
          <w:rFonts w:asciiTheme="minorHAnsi" w:hAnsiTheme="minorHAnsi" w:cstheme="minorHAnsi"/>
          <w:smallCaps/>
          <w:sz w:val="22"/>
          <w:lang w:val="en"/>
        </w:rPr>
        <w:t xml:space="preserve">Contract </w:t>
      </w:r>
      <w:r w:rsidRPr="00722AD6">
        <w:rPr>
          <w:rFonts w:asciiTheme="minorHAnsi" w:hAnsiTheme="minorHAnsi" w:cstheme="minorHAnsi"/>
          <w:sz w:val="22"/>
          <w:lang w:val="en"/>
        </w:rPr>
        <w:t>corresponds to the sum of the prices of all fixed-price items and of the minimum amount of the purc</w:t>
      </w:r>
      <w:r w:rsidR="00F23A40">
        <w:rPr>
          <w:rFonts w:asciiTheme="minorHAnsi" w:hAnsiTheme="minorHAnsi" w:cstheme="minorHAnsi"/>
          <w:sz w:val="22"/>
          <w:lang w:val="en"/>
        </w:rPr>
        <w:t>hase order element.</w:t>
      </w:r>
    </w:p>
    <w:p w14:paraId="63AC43C9" w14:textId="77777777" w:rsidR="005F5840" w:rsidRPr="00311A70"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z w:val="22"/>
          <w:lang w:val="en"/>
        </w:rPr>
      </w:pPr>
      <w:r>
        <w:rPr>
          <w:rFonts w:asciiTheme="minorHAnsi" w:eastAsia="Times New Roman" w:hAnsiTheme="minorHAnsi" w:cstheme="minorHAnsi"/>
          <w:sz w:val="22"/>
          <w:lang w:val="en"/>
        </w:rPr>
        <w:t xml:space="preserve">The lump sum part corresponds to the amount that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szCs w:val="22"/>
          <w:lang w:val="en-GB"/>
        </w:rPr>
        <w:t>understakes to pay, after validation, without reserve of all the supplies and/or services expected (excluding the purchase orders). As the price is fixed, it includes all the costs linked to the execution of the services and/or the delivery of the corresponding supplies.</w:t>
      </w:r>
    </w:p>
    <w:p w14:paraId="62B15C25" w14:textId="77777777" w:rsidR="005F5840" w:rsidRPr="00722AD6" w:rsidRDefault="005F5840" w:rsidP="005F584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lang w:val="en-GB"/>
        </w:rPr>
      </w:pPr>
      <w:r w:rsidRPr="00722AD6">
        <w:rPr>
          <w:rFonts w:asciiTheme="minorHAnsi" w:eastAsia="Times New Roman" w:hAnsiTheme="minorHAnsi" w:cstheme="minorHAnsi"/>
          <w:sz w:val="22"/>
          <w:lang w:val="en"/>
        </w:rPr>
        <w:t xml:space="preserve">The purchase order-based element of the </w:t>
      </w:r>
      <w:r w:rsidRPr="00722AD6">
        <w:rPr>
          <w:rFonts w:asciiTheme="minorHAnsi" w:eastAsia="Times New Roman" w:hAnsiTheme="minorHAnsi" w:cstheme="minorHAnsi"/>
          <w:smallCaps/>
          <w:sz w:val="22"/>
          <w:lang w:val="en"/>
        </w:rPr>
        <w:t xml:space="preserve">Contract </w:t>
      </w:r>
      <w:r w:rsidRPr="00722AD6">
        <w:rPr>
          <w:rFonts w:asciiTheme="minorHAnsi" w:eastAsia="Times New Roman" w:hAnsiTheme="minorHAnsi" w:cstheme="minorHAnsi"/>
          <w:sz w:val="22"/>
          <w:lang w:val="en"/>
        </w:rPr>
        <w:t xml:space="preserve">does not include any minimum amounts. </w:t>
      </w:r>
      <w:r w:rsidRPr="00722AD6">
        <w:rPr>
          <w:rFonts w:asciiTheme="minorHAnsi" w:eastAsia="Times New Roman" w:hAnsiTheme="minorHAnsi" w:cstheme="minorHAnsi"/>
          <w:smallCaps/>
          <w:sz w:val="22"/>
          <w:lang w:val="en"/>
        </w:rPr>
        <w:t>Expertise France</w:t>
      </w:r>
      <w:r w:rsidRPr="00722AD6">
        <w:rPr>
          <w:rFonts w:asciiTheme="minorHAnsi" w:eastAsia="Times New Roman" w:hAnsiTheme="minorHAnsi" w:cstheme="minorHAnsi"/>
          <w:sz w:val="22"/>
          <w:lang w:val="en"/>
        </w:rPr>
        <w:t xml:space="preserve"> is therefore not committed to any minimum order level under the </w:t>
      </w:r>
      <w:r w:rsidRPr="00722AD6">
        <w:rPr>
          <w:rFonts w:asciiTheme="minorHAnsi" w:eastAsia="Times New Roman" w:hAnsiTheme="minorHAnsi" w:cstheme="minorHAnsi"/>
          <w:smallCaps/>
          <w:sz w:val="22"/>
          <w:lang w:val="en"/>
        </w:rPr>
        <w:t>Contract</w:t>
      </w:r>
      <w:r w:rsidRPr="00722AD6">
        <w:rPr>
          <w:rFonts w:asciiTheme="minorHAnsi" w:hAnsiTheme="minorHAnsi" w:cstheme="minorHAnsi"/>
          <w:sz w:val="22"/>
          <w:lang w:val="en"/>
        </w:rPr>
        <w:t xml:space="preserve"> for purchase order items.</w:t>
      </w:r>
    </w:p>
    <w:p w14:paraId="28C9FE7F" w14:textId="79076666" w:rsidR="00A8549B" w:rsidRPr="00722AD6" w:rsidRDefault="005F5840" w:rsidP="00F23A40">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Cs w:val="22"/>
          <w:lang w:val="en-GB"/>
        </w:rPr>
      </w:pPr>
      <w:r w:rsidRPr="00722AD6">
        <w:rPr>
          <w:rFonts w:asciiTheme="minorHAnsi" w:hAnsiTheme="minorHAnsi" w:cstheme="minorHAnsi"/>
          <w:sz w:val="22"/>
          <w:lang w:val="en"/>
        </w:rPr>
        <w:t xml:space="preserve">The amount of each purchase order corresponds to the amount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722AD6">
        <w:rPr>
          <w:rFonts w:asciiTheme="minorHAnsi" w:hAnsiTheme="minorHAnsi" w:cstheme="minorHAnsi"/>
          <w:sz w:val="22"/>
          <w:lang w:val="en"/>
        </w:rPr>
        <w:t xml:space="preserve"> undertakes to pay after all services/supplies due under the </w:t>
      </w:r>
      <w:r>
        <w:rPr>
          <w:rFonts w:asciiTheme="minorHAnsi" w:hAnsiTheme="minorHAnsi" w:cstheme="minorHAnsi"/>
          <w:smallCaps/>
          <w:sz w:val="22"/>
          <w:lang w:val="en"/>
        </w:rPr>
        <w:t>Contract</w:t>
      </w:r>
      <w:r w:rsidRPr="00722AD6">
        <w:rPr>
          <w:rFonts w:asciiTheme="minorHAnsi" w:hAnsiTheme="minorHAnsi" w:cstheme="minorHAnsi"/>
          <w:sz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r w:rsidR="00F23A40" w:rsidRPr="00722AD6">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140836315"/>
      <w:bookmarkStart w:id="21" w:name="_Toc392669637"/>
      <w:r w:rsidRPr="00722AD6">
        <w:rPr>
          <w:rFonts w:asciiTheme="minorHAnsi" w:hAnsiTheme="minorHAnsi" w:cstheme="minorHAnsi"/>
          <w:sz w:val="22"/>
          <w:szCs w:val="22"/>
          <w:lang w:val="en"/>
        </w:rPr>
        <w:lastRenderedPageBreak/>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659C2F5C" w14:textId="54CD6ACA"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sidR="00F23A40">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Pr="008E7A24">
        <w:rPr>
          <w:rFonts w:asciiTheme="minorHAnsi" w:hAnsiTheme="minorHAnsi" w:cstheme="minorHAnsi"/>
          <w:szCs w:val="22"/>
          <w:lang w:val="en"/>
        </w:rPr>
        <w:t xml:space="preserve"> of</w:t>
      </w:r>
      <w:r w:rsidR="00367964">
        <w:rPr>
          <w:rFonts w:asciiTheme="minorHAnsi" w:hAnsiTheme="minorHAnsi" w:cstheme="minorHAnsi"/>
          <w:szCs w:val="22"/>
          <w:lang w:val="en"/>
        </w:rPr>
        <w:t xml:space="preserve"> 20% of the fixed-price element </w:t>
      </w:r>
      <w:r w:rsidRPr="008E7A24">
        <w:rPr>
          <w:rFonts w:asciiTheme="minorHAnsi" w:hAnsiTheme="minorHAnsi" w:cstheme="minorHAnsi"/>
          <w:szCs w:val="22"/>
          <w:lang w:val="en"/>
        </w:rPr>
        <w:t xml:space="preserve">is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3" w:name="_Toc140836317"/>
      <w:r w:rsidRPr="00314455">
        <w:rPr>
          <w:rFonts w:asciiTheme="minorHAnsi" w:hAnsiTheme="minorHAnsi" w:cstheme="minorHAnsi"/>
          <w:sz w:val="22"/>
          <w:szCs w:val="22"/>
          <w:lang w:val="en"/>
        </w:rPr>
        <w:t>Payment procedure</w:t>
      </w:r>
      <w:bookmarkEnd w:id="23"/>
    </w:p>
    <w:p w14:paraId="083B5FA0" w14:textId="7782B0EA" w:rsidR="00E637E0" w:rsidRPr="00314455" w:rsidRDefault="00F01F99" w:rsidP="00C80DC1">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33E9357B"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6366787F"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The cumulative amount of advances paid shal</w:t>
      </w:r>
      <w:r w:rsidR="00D96423">
        <w:rPr>
          <w:rFonts w:asciiTheme="minorHAnsi" w:hAnsiTheme="minorHAnsi" w:cstheme="minorHAnsi"/>
          <w:szCs w:val="22"/>
          <w:lang w:val="en"/>
        </w:rPr>
        <w:t xml:space="preserve">l not exceed 90% of the amount </w:t>
      </w:r>
      <w:r w:rsidRPr="008E7A24">
        <w:rPr>
          <w:rFonts w:asciiTheme="minorHAnsi" w:hAnsiTheme="minorHAnsi" w:cstheme="minorHAnsi"/>
          <w:szCs w:val="22"/>
          <w:lang w:val="en"/>
        </w:rPr>
        <w:t xml:space="preserve">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C80DC1">
      <w:pPr>
        <w:pStyle w:val="u"/>
        <w:widowControl w:val="0"/>
        <w:numPr>
          <w:ilvl w:val="0"/>
          <w:numId w:val="16"/>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4" w:name="_Toc140836318"/>
      <w:r w:rsidRPr="00DA34BC">
        <w:rPr>
          <w:rFonts w:asciiTheme="minorHAnsi" w:hAnsiTheme="minorHAnsi"/>
          <w:sz w:val="22"/>
          <w:szCs w:val="22"/>
          <w:lang w:val="en"/>
        </w:rPr>
        <w:t>Payment terms and late payment interest</w:t>
      </w:r>
      <w:bookmarkEnd w:id="24"/>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5" w:name="_Toc140836319"/>
      <w:r w:rsidRPr="00DA34BC">
        <w:rPr>
          <w:rFonts w:asciiTheme="minorHAnsi" w:hAnsiTheme="minorHAnsi"/>
          <w:sz w:val="22"/>
          <w:szCs w:val="22"/>
          <w:lang w:val="en"/>
        </w:rPr>
        <w:t>Presentation of payment demands</w:t>
      </w:r>
      <w:bookmarkEnd w:id="25"/>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lastRenderedPageBreak/>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C80DC1">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6" w:name="_Toc140836320"/>
      <w:bookmarkStart w:id="27" w:name="_Toc344300189"/>
      <w:bookmarkEnd w:id="21"/>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8" w:name="_Toc140836321"/>
      <w:r w:rsidRPr="00DA34BC">
        <w:rPr>
          <w:rFonts w:asciiTheme="minorHAnsi" w:hAnsiTheme="minorHAnsi"/>
          <w:sz w:val="22"/>
          <w:szCs w:val="22"/>
          <w:lang w:val="en"/>
        </w:rPr>
        <w:t>Value added tax (VAT)</w:t>
      </w:r>
      <w:bookmarkEnd w:id="27"/>
      <w:bookmarkEnd w:id="28"/>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w:t>
      </w:r>
      <w:r w:rsidRPr="00DA34BC">
        <w:rPr>
          <w:rFonts w:asciiTheme="minorHAnsi" w:hAnsiTheme="minorHAnsi" w:cs="Arial"/>
          <w:szCs w:val="22"/>
          <w:lang w:val="en"/>
        </w:rPr>
        <w:lastRenderedPageBreak/>
        <w:t>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9" w:name="_Toc392669638"/>
      <w:bookmarkStart w:id="30" w:name="_Toc140836322"/>
      <w:r w:rsidRPr="00DA34BC">
        <w:rPr>
          <w:rFonts w:asciiTheme="minorHAnsi" w:hAnsiTheme="minorHAnsi"/>
          <w:sz w:val="22"/>
          <w:szCs w:val="22"/>
          <w:lang w:val="en"/>
        </w:rPr>
        <w:t>Taxes and duties</w:t>
      </w:r>
      <w:bookmarkEnd w:id="29"/>
      <w:bookmarkEnd w:id="30"/>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80DC1">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140836323"/>
      <w:r w:rsidRPr="00CB5E4E">
        <w:rPr>
          <w:rFonts w:asciiTheme="minorHAnsi" w:hAnsiTheme="minorHAnsi"/>
          <w:b/>
          <w:bCs/>
          <w:caps/>
          <w:sz w:val="24"/>
          <w:u w:val="single"/>
          <w:lang w:val="en"/>
        </w:rPr>
        <w:t>inspection and acceptance activities</w:t>
      </w:r>
      <w:bookmarkEnd w:id="31"/>
    </w:p>
    <w:p w14:paraId="54DD548A" w14:textId="77777777" w:rsidR="00F72033" w:rsidRPr="00CB5E4E" w:rsidRDefault="000243D6" w:rsidP="00A1761D">
      <w:pPr>
        <w:pStyle w:val="Titre2"/>
        <w:jc w:val="both"/>
        <w:rPr>
          <w:rFonts w:asciiTheme="minorHAnsi" w:hAnsiTheme="minorHAnsi"/>
          <w:sz w:val="22"/>
          <w:szCs w:val="22"/>
        </w:rPr>
      </w:pPr>
      <w:bookmarkStart w:id="32" w:name="_Toc392669640"/>
      <w:bookmarkStart w:id="33" w:name="_Toc390691469"/>
      <w:bookmarkStart w:id="34" w:name="_Toc140836324"/>
      <w:r w:rsidRPr="00CB5E4E">
        <w:rPr>
          <w:rFonts w:asciiTheme="minorHAnsi" w:hAnsiTheme="minorHAnsi"/>
          <w:sz w:val="22"/>
          <w:szCs w:val="22"/>
          <w:lang w:val="en"/>
        </w:rPr>
        <w:t>Inspection activities</w:t>
      </w:r>
      <w:bookmarkEnd w:id="32"/>
      <w:bookmarkEnd w:id="33"/>
      <w:bookmarkEnd w:id="34"/>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C25A484" w:rsidR="00D00B3A" w:rsidRPr="00D96423" w:rsidRDefault="00F766D6" w:rsidP="00C80DC1">
      <w:pPr>
        <w:pStyle w:val="u"/>
        <w:widowControl w:val="0"/>
        <w:numPr>
          <w:ilvl w:val="0"/>
          <w:numId w:val="8"/>
        </w:numPr>
        <w:rPr>
          <w:rFonts w:asciiTheme="minorHAnsi" w:hAnsiTheme="minorHAnsi" w:cs="Arial"/>
          <w:szCs w:val="22"/>
          <w:lang w:val="en-GB"/>
        </w:rPr>
      </w:pPr>
      <w:r w:rsidRPr="00D96423">
        <w:rPr>
          <w:rFonts w:asciiTheme="minorHAnsi" w:hAnsiTheme="minorHAnsi" w:cs="Arial"/>
          <w:szCs w:val="22"/>
          <w:lang w:val="en"/>
        </w:rPr>
        <w:t xml:space="preserve">the </w:t>
      </w:r>
      <w:r w:rsidR="00D96423" w:rsidRPr="00D96423">
        <w:rPr>
          <w:rFonts w:asciiTheme="minorHAnsi" w:hAnsiTheme="minorHAnsi" w:cs="Arial"/>
          <w:szCs w:val="22"/>
          <w:lang w:val="en"/>
        </w:rPr>
        <w:t>Project Manager</w:t>
      </w:r>
    </w:p>
    <w:p w14:paraId="5A68427F" w14:textId="132C485A" w:rsidR="00F766D6" w:rsidRPr="00D96423" w:rsidRDefault="00F766D6" w:rsidP="00C80DC1">
      <w:pPr>
        <w:pStyle w:val="u"/>
        <w:widowControl w:val="0"/>
        <w:numPr>
          <w:ilvl w:val="0"/>
          <w:numId w:val="8"/>
        </w:numPr>
        <w:rPr>
          <w:rFonts w:asciiTheme="minorHAnsi" w:hAnsiTheme="minorHAnsi" w:cs="Arial"/>
          <w:szCs w:val="22"/>
          <w:lang w:val="en-GB"/>
        </w:rPr>
      </w:pPr>
      <w:r w:rsidRPr="00D96423">
        <w:rPr>
          <w:rFonts w:asciiTheme="minorHAnsi" w:hAnsiTheme="minorHAnsi" w:cs="Arial"/>
          <w:szCs w:val="22"/>
          <w:lang w:val="en"/>
        </w:rPr>
        <w:t xml:space="preserve">the </w:t>
      </w:r>
      <w:r w:rsidR="00D96423" w:rsidRPr="00D96423">
        <w:rPr>
          <w:rFonts w:asciiTheme="minorHAnsi" w:hAnsiTheme="minorHAnsi" w:cs="Arial"/>
          <w:szCs w:val="22"/>
          <w:lang w:val="en"/>
        </w:rPr>
        <w:t>Expert in Health Care provision</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140836325"/>
      <w:r w:rsidRPr="00CB5E4E">
        <w:rPr>
          <w:rFonts w:asciiTheme="minorHAnsi" w:hAnsiTheme="minorHAnsi"/>
          <w:sz w:val="22"/>
          <w:szCs w:val="22"/>
          <w:lang w:val="en"/>
        </w:rPr>
        <w:t>Acceptance</w:t>
      </w:r>
      <w:bookmarkEnd w:id="35"/>
      <w:r w:rsidRPr="00CB5E4E">
        <w:rPr>
          <w:rFonts w:asciiTheme="minorHAnsi" w:hAnsiTheme="minorHAnsi"/>
          <w:sz w:val="22"/>
          <w:szCs w:val="22"/>
          <w:lang w:val="en"/>
        </w:rPr>
        <w:t xml:space="preserve"> of service</w:t>
      </w:r>
      <w:bookmarkEnd w:id="36"/>
      <w:r w:rsidRPr="00CB5E4E">
        <w:rPr>
          <w:rFonts w:asciiTheme="minorHAnsi" w:hAnsiTheme="minorHAnsi"/>
          <w:sz w:val="22"/>
          <w:szCs w:val="22"/>
          <w:lang w:val="en"/>
        </w:rPr>
        <w:t>s and supplies</w:t>
      </w:r>
      <w:bookmarkEnd w:id="37"/>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7DB5AAB0" w14:textId="69328B38" w:rsidR="00C27993" w:rsidRPr="00CB5E4E" w:rsidRDefault="00C27993" w:rsidP="00C80DC1">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the</w:t>
      </w:r>
      <w:r w:rsidR="009E5ECF">
        <w:rPr>
          <w:rFonts w:asciiTheme="minorHAnsi" w:hAnsiTheme="minorHAnsi" w:cs="Arial"/>
          <w:szCs w:val="22"/>
          <w:lang w:val="en"/>
        </w:rPr>
        <w:t xml:space="preserve"> Country</w:t>
      </w:r>
      <w:r w:rsidRPr="00CB5E4E">
        <w:rPr>
          <w:rFonts w:asciiTheme="minorHAnsi" w:hAnsiTheme="minorHAnsi" w:cs="Arial"/>
          <w:szCs w:val="22"/>
          <w:lang w:val="en"/>
        </w:rPr>
        <w:t xml:space="preserve"> Director</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C80DC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140836326"/>
      <w:r w:rsidRPr="00D95D87">
        <w:rPr>
          <w:rFonts w:asciiTheme="minorHAnsi" w:hAnsiTheme="minorHAnsi"/>
          <w:b/>
          <w:bCs/>
          <w:caps/>
          <w:sz w:val="24"/>
          <w:u w:val="single"/>
          <w:lang w:val="en"/>
        </w:rPr>
        <w:t>Specific terms of execution</w:t>
      </w:r>
      <w:bookmarkEnd w:id="38"/>
    </w:p>
    <w:p w14:paraId="24654119" w14:textId="7DBD2E37" w:rsidR="000A6914" w:rsidRDefault="000A6914" w:rsidP="000A6914">
      <w:pPr>
        <w:pStyle w:val="Titre2"/>
        <w:spacing w:before="120" w:after="60"/>
        <w:rPr>
          <w:rFonts w:asciiTheme="minorHAnsi" w:hAnsiTheme="minorHAnsi" w:cstheme="minorHAnsi"/>
          <w:sz w:val="22"/>
          <w:szCs w:val="22"/>
          <w:lang w:val="en"/>
        </w:rPr>
      </w:pPr>
      <w:bookmarkStart w:id="39" w:name="_Toc140836327"/>
      <w:bookmarkStart w:id="40" w:name="_Toc392669643"/>
      <w:r w:rsidRPr="00D95D87">
        <w:rPr>
          <w:rFonts w:asciiTheme="minorHAnsi" w:hAnsiTheme="minorHAnsi" w:cstheme="minorHAnsi"/>
          <w:sz w:val="22"/>
          <w:szCs w:val="22"/>
          <w:lang w:val="en"/>
        </w:rPr>
        <w:t xml:space="preserve">Deliverables </w:t>
      </w:r>
      <w:bookmarkEnd w:id="39"/>
      <w:r w:rsidR="00D96423">
        <w:rPr>
          <w:rFonts w:asciiTheme="minorHAnsi" w:hAnsiTheme="minorHAnsi" w:cstheme="minorHAnsi"/>
          <w:sz w:val="22"/>
          <w:szCs w:val="22"/>
          <w:lang w:val="en"/>
        </w:rPr>
        <w:t xml:space="preserve">for the fixed-price element: </w:t>
      </w:r>
    </w:p>
    <w:p w14:paraId="2B8F8233" w14:textId="5E976C24" w:rsidR="00D96423" w:rsidRDefault="00D96423" w:rsidP="00D96423">
      <w:pPr>
        <w:rPr>
          <w:lang w:val="en"/>
        </w:rPr>
      </w:pPr>
    </w:p>
    <w:tbl>
      <w:tblPr>
        <w:tblStyle w:val="Grilledutableau2"/>
        <w:tblW w:w="0" w:type="auto"/>
        <w:tblInd w:w="360" w:type="dxa"/>
        <w:tblLook w:val="04A0" w:firstRow="1" w:lastRow="0" w:firstColumn="1" w:lastColumn="0" w:noHBand="0" w:noVBand="1"/>
      </w:tblPr>
      <w:tblGrid>
        <w:gridCol w:w="8566"/>
      </w:tblGrid>
      <w:tr w:rsidR="00D96423" w:rsidRPr="00BE7477" w14:paraId="3C584512" w14:textId="77777777" w:rsidTr="00D96423">
        <w:tc>
          <w:tcPr>
            <w:tcW w:w="8566" w:type="dxa"/>
          </w:tcPr>
          <w:p w14:paraId="09C742BF" w14:textId="77777777" w:rsidR="00D96423" w:rsidRPr="00BE7477" w:rsidRDefault="00D96423" w:rsidP="00D96423">
            <w:pPr>
              <w:spacing w:line="240" w:lineRule="auto"/>
              <w:jc w:val="both"/>
              <w:rPr>
                <w:rFonts w:eastAsia="Arial Unicode MS" w:cs="Arial"/>
                <w:b/>
                <w:sz w:val="22"/>
                <w:szCs w:val="22"/>
                <w:highlight w:val="yellow"/>
                <w:lang w:eastAsia="en-US"/>
              </w:rPr>
            </w:pPr>
            <w:r w:rsidRPr="00BE7477">
              <w:rPr>
                <w:rFonts w:eastAsia="Arial Unicode MS" w:cs="Arial"/>
                <w:b/>
                <w:sz w:val="22"/>
                <w:szCs w:val="22"/>
                <w:lang w:eastAsia="en-US"/>
              </w:rPr>
              <w:t xml:space="preserve">Deliverables in support of the project owner </w:t>
            </w:r>
          </w:p>
        </w:tc>
      </w:tr>
      <w:tr w:rsidR="00D96423" w:rsidRPr="00BE7477" w14:paraId="45300AC4" w14:textId="77777777" w:rsidTr="00D96423">
        <w:tc>
          <w:tcPr>
            <w:tcW w:w="8566" w:type="dxa"/>
          </w:tcPr>
          <w:p w14:paraId="215E9969" w14:textId="77777777" w:rsidR="00D96423" w:rsidRPr="00BE7477" w:rsidRDefault="00D96423" w:rsidP="00D96423">
            <w:pPr>
              <w:spacing w:line="240" w:lineRule="auto"/>
              <w:jc w:val="both"/>
              <w:rPr>
                <w:rFonts w:eastAsia="Arial Unicode MS" w:cs="Arial"/>
                <w:sz w:val="22"/>
                <w:szCs w:val="22"/>
                <w:lang w:eastAsia="en-US"/>
              </w:rPr>
            </w:pPr>
          </w:p>
        </w:tc>
      </w:tr>
      <w:tr w:rsidR="00D96423" w:rsidRPr="00BE7477" w14:paraId="7C207BBF" w14:textId="77777777" w:rsidTr="00D96423">
        <w:tc>
          <w:tcPr>
            <w:tcW w:w="8566" w:type="dxa"/>
          </w:tcPr>
          <w:p w14:paraId="5F19CED4" w14:textId="77777777" w:rsidR="00D96423" w:rsidRPr="00BE7477" w:rsidRDefault="00D96423" w:rsidP="00D96423">
            <w:pPr>
              <w:spacing w:line="240" w:lineRule="auto"/>
              <w:ind w:left="720"/>
              <w:contextualSpacing/>
              <w:jc w:val="both"/>
              <w:rPr>
                <w:rFonts w:eastAsia="Arial Unicode MS" w:cs="Arial"/>
                <w:b/>
                <w:sz w:val="22"/>
                <w:szCs w:val="22"/>
                <w:lang w:eastAsia="en-US"/>
              </w:rPr>
            </w:pPr>
            <w:r w:rsidRPr="00BE7477">
              <w:rPr>
                <w:rFonts w:eastAsia="Arial Unicode MS" w:cs="Arial"/>
                <w:b/>
                <w:sz w:val="22"/>
                <w:szCs w:val="22"/>
                <w:lang w:eastAsia="en-US"/>
              </w:rPr>
              <w:t>PHASE A. DESIGN</w:t>
            </w:r>
          </w:p>
        </w:tc>
      </w:tr>
      <w:tr w:rsidR="00D96423" w:rsidRPr="00BE7477" w14:paraId="620E2E46" w14:textId="77777777" w:rsidTr="00D96423">
        <w:tc>
          <w:tcPr>
            <w:tcW w:w="8566" w:type="dxa"/>
          </w:tcPr>
          <w:p w14:paraId="05383B56"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A detailed analysis of the design and supervision company (Consultant) inception report, preliminary design, detailed designs  </w:t>
            </w:r>
          </w:p>
          <w:p w14:paraId="594909EA"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A synthetic report with all the recommendations to the project owner </w:t>
            </w:r>
          </w:p>
        </w:tc>
      </w:tr>
      <w:tr w:rsidR="00D96423" w:rsidRPr="00BE7477" w14:paraId="306BA38D" w14:textId="77777777" w:rsidTr="00D96423">
        <w:tc>
          <w:tcPr>
            <w:tcW w:w="8566" w:type="dxa"/>
          </w:tcPr>
          <w:p w14:paraId="55120C38" w14:textId="77777777" w:rsidR="00D96423" w:rsidRPr="00BE7477" w:rsidRDefault="00D96423" w:rsidP="00D96423">
            <w:pPr>
              <w:spacing w:line="240" w:lineRule="auto"/>
              <w:ind w:left="720"/>
              <w:contextualSpacing/>
              <w:jc w:val="both"/>
              <w:rPr>
                <w:rFonts w:eastAsia="Arial Unicode MS" w:cs="Arial"/>
                <w:b/>
                <w:sz w:val="22"/>
                <w:szCs w:val="22"/>
                <w:lang w:eastAsia="en-US"/>
              </w:rPr>
            </w:pPr>
            <w:r w:rsidRPr="00BE7477">
              <w:rPr>
                <w:rFonts w:eastAsia="Arial Unicode MS" w:cs="Arial"/>
                <w:b/>
                <w:sz w:val="22"/>
                <w:szCs w:val="22"/>
                <w:lang w:eastAsia="en-US"/>
              </w:rPr>
              <w:t xml:space="preserve">PHASE B. POST DESIGN PHASE </w:t>
            </w:r>
          </w:p>
        </w:tc>
      </w:tr>
      <w:tr w:rsidR="00D96423" w:rsidRPr="00BE7477" w14:paraId="4C82A385" w14:textId="77777777" w:rsidTr="00D96423">
        <w:trPr>
          <w:trHeight w:val="1974"/>
        </w:trPr>
        <w:tc>
          <w:tcPr>
            <w:tcW w:w="8566" w:type="dxa"/>
          </w:tcPr>
          <w:p w14:paraId="2C6E1E95"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The tender documents are produced and submitted to the project owner for validation</w:t>
            </w:r>
          </w:p>
          <w:p w14:paraId="1798031D"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Writing of the evaluation report and submitted to  the PTC for validation   </w:t>
            </w:r>
          </w:p>
          <w:p w14:paraId="3DBC1FDD"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Minutes on the supervision of the recruitment process of the construction company (Contractor) in connection with the AFD procedures is produced</w:t>
            </w:r>
          </w:p>
          <w:p w14:paraId="751F4131"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The Bid Analysis Report is produced and submitted to the PTC for validation </w:t>
            </w:r>
          </w:p>
          <w:p w14:paraId="4B14E1D2"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A report with recommendations on the contract negotiation</w:t>
            </w:r>
          </w:p>
          <w:p w14:paraId="7B281A37"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A report with recommendations in claim management if any</w:t>
            </w:r>
          </w:p>
        </w:tc>
      </w:tr>
      <w:tr w:rsidR="00D96423" w:rsidRPr="00BE7477" w14:paraId="761E6CFE" w14:textId="77777777" w:rsidTr="00D96423">
        <w:tc>
          <w:tcPr>
            <w:tcW w:w="8566" w:type="dxa"/>
          </w:tcPr>
          <w:p w14:paraId="4AC802C0" w14:textId="77777777" w:rsidR="00D96423" w:rsidRPr="00BE7477" w:rsidRDefault="00D96423" w:rsidP="00D96423">
            <w:pPr>
              <w:spacing w:line="240" w:lineRule="auto"/>
              <w:ind w:left="720"/>
              <w:contextualSpacing/>
              <w:jc w:val="both"/>
              <w:rPr>
                <w:rFonts w:eastAsia="Arial Unicode MS" w:cs="Arial"/>
                <w:b/>
                <w:sz w:val="22"/>
                <w:szCs w:val="22"/>
                <w:lang w:eastAsia="en-US"/>
              </w:rPr>
            </w:pPr>
            <w:r w:rsidRPr="00BE7477">
              <w:rPr>
                <w:rFonts w:eastAsia="Arial Unicode MS" w:cs="Arial"/>
                <w:b/>
                <w:sz w:val="22"/>
                <w:szCs w:val="22"/>
                <w:lang w:eastAsia="en-US"/>
              </w:rPr>
              <w:t xml:space="preserve">PHASE C. CONSTRUCTION  </w:t>
            </w:r>
          </w:p>
        </w:tc>
      </w:tr>
      <w:tr w:rsidR="00D96423" w:rsidRPr="00BE7477" w14:paraId="08BEDA3A" w14:textId="77777777" w:rsidTr="00D96423">
        <w:trPr>
          <w:trHeight w:val="523"/>
        </w:trPr>
        <w:tc>
          <w:tcPr>
            <w:tcW w:w="8566" w:type="dxa"/>
          </w:tcPr>
          <w:p w14:paraId="08484609" w14:textId="77777777" w:rsidR="00D96423" w:rsidRPr="00BE7477" w:rsidRDefault="00D96423" w:rsidP="00D96423">
            <w:pPr>
              <w:spacing w:line="240" w:lineRule="auto"/>
              <w:jc w:val="both"/>
              <w:rPr>
                <w:rFonts w:eastAsia="Arial Unicode MS" w:cs="Arial"/>
                <w:b/>
                <w:sz w:val="22"/>
                <w:szCs w:val="22"/>
                <w:lang w:eastAsia="en-US"/>
              </w:rPr>
            </w:pPr>
            <w:r w:rsidRPr="00BE7477">
              <w:rPr>
                <w:rFonts w:eastAsia="Arial Unicode MS" w:cs="Arial"/>
                <w:b/>
                <w:sz w:val="22"/>
                <w:szCs w:val="22"/>
                <w:lang w:eastAsia="en-US"/>
              </w:rPr>
              <w:lastRenderedPageBreak/>
              <w:t xml:space="preserve">All the deliverables described below are under the responsibility of the resident expert with the contribution of the technical assistance short term expert. </w:t>
            </w:r>
          </w:p>
          <w:p w14:paraId="57B38130" w14:textId="77777777" w:rsidR="00D96423" w:rsidRPr="00BE7477" w:rsidRDefault="00D96423" w:rsidP="00D96423">
            <w:pPr>
              <w:spacing w:line="240" w:lineRule="auto"/>
              <w:ind w:left="720"/>
              <w:contextualSpacing/>
              <w:jc w:val="both"/>
              <w:rPr>
                <w:rFonts w:eastAsia="Arial Unicode MS" w:cs="Arial"/>
                <w:b/>
                <w:sz w:val="22"/>
                <w:szCs w:val="22"/>
                <w:u w:val="single"/>
                <w:lang w:eastAsia="en-US"/>
              </w:rPr>
            </w:pPr>
          </w:p>
          <w:p w14:paraId="1C6FF7F0" w14:textId="77777777" w:rsidR="00D96423" w:rsidRPr="00BE7477" w:rsidRDefault="00D96423" w:rsidP="00D96423">
            <w:pPr>
              <w:spacing w:line="240" w:lineRule="auto"/>
              <w:ind w:left="720"/>
              <w:contextualSpacing/>
              <w:jc w:val="both"/>
              <w:rPr>
                <w:rFonts w:eastAsia="Arial Unicode MS" w:cs="Arial"/>
                <w:b/>
                <w:sz w:val="22"/>
                <w:szCs w:val="22"/>
                <w:u w:val="single"/>
                <w:lang w:eastAsia="en-US"/>
              </w:rPr>
            </w:pPr>
            <w:r w:rsidRPr="00BE7477">
              <w:rPr>
                <w:rFonts w:eastAsia="Arial Unicode MS" w:cs="Arial"/>
                <w:b/>
                <w:sz w:val="22"/>
                <w:szCs w:val="22"/>
                <w:u w:val="single"/>
                <w:lang w:eastAsia="en-US"/>
              </w:rPr>
              <w:t xml:space="preserve">Actual construction </w:t>
            </w:r>
          </w:p>
          <w:p w14:paraId="0E878270"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Weekly report and continued communication with the project owner</w:t>
            </w:r>
          </w:p>
          <w:p w14:paraId="7FA3CAC4"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Monthly progress reports (review of the consultant and the contractor report and provide advice and guidance to the project owner)  </w:t>
            </w:r>
          </w:p>
          <w:p w14:paraId="49A6B75D"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Monthly progress reports on equipment procurement (technical, administrative and financial)</w:t>
            </w:r>
          </w:p>
          <w:p w14:paraId="1BD555DC" w14:textId="77777777" w:rsidR="00D96423" w:rsidRPr="00BE7477" w:rsidRDefault="00D96423" w:rsidP="00C80DC1">
            <w:pPr>
              <w:numPr>
                <w:ilvl w:val="0"/>
                <w:numId w:val="23"/>
              </w:numPr>
              <w:shd w:val="clear" w:color="auto" w:fill="FFFFFF" w:themeFill="background1"/>
              <w:spacing w:line="240" w:lineRule="auto"/>
              <w:contextualSpacing/>
              <w:jc w:val="both"/>
              <w:rPr>
                <w:rFonts w:cs="Arial"/>
                <w:sz w:val="22"/>
                <w:szCs w:val="22"/>
                <w:lang w:eastAsia="en-US"/>
              </w:rPr>
            </w:pPr>
            <w:r w:rsidRPr="00BE7477">
              <w:rPr>
                <w:rFonts w:cs="Arial"/>
                <w:sz w:val="22"/>
                <w:szCs w:val="22"/>
                <w:lang w:eastAsia="en-US"/>
              </w:rPr>
              <w:t xml:space="preserve">Minutes of meeting </w:t>
            </w:r>
            <w:r w:rsidRPr="00BE7477">
              <w:rPr>
                <w:rFonts w:cs="Arial"/>
                <w:sz w:val="22"/>
                <w:szCs w:val="22"/>
                <w:shd w:val="clear" w:color="auto" w:fill="FFFFFF" w:themeFill="background1"/>
                <w:lang w:eastAsia="en-US"/>
              </w:rPr>
              <w:t>Project Owner / Supervision and Design company / Contractor</w:t>
            </w:r>
          </w:p>
          <w:p w14:paraId="624BA20D" w14:textId="77777777" w:rsidR="00D96423" w:rsidRPr="00BE7477" w:rsidRDefault="00D96423" w:rsidP="00C80DC1">
            <w:pPr>
              <w:numPr>
                <w:ilvl w:val="0"/>
                <w:numId w:val="23"/>
              </w:numPr>
              <w:shd w:val="clear" w:color="auto" w:fill="FFFFFF" w:themeFill="background1"/>
              <w:spacing w:line="240" w:lineRule="auto"/>
              <w:contextualSpacing/>
              <w:jc w:val="both"/>
              <w:rPr>
                <w:rFonts w:cs="Arial"/>
                <w:sz w:val="22"/>
                <w:szCs w:val="22"/>
                <w:lang w:eastAsia="en-US"/>
              </w:rPr>
            </w:pPr>
            <w:r w:rsidRPr="00BE7477">
              <w:rPr>
                <w:rFonts w:cs="Arial"/>
                <w:sz w:val="22"/>
                <w:szCs w:val="22"/>
                <w:lang w:eastAsia="en-US"/>
              </w:rPr>
              <w:t>Reporting/Informing the client on the highlighted challenges that need the client intervention</w:t>
            </w:r>
          </w:p>
          <w:p w14:paraId="0A94B15B" w14:textId="77777777" w:rsidR="00D96423" w:rsidRPr="00BE7477" w:rsidRDefault="00D96423" w:rsidP="00C80DC1">
            <w:pPr>
              <w:numPr>
                <w:ilvl w:val="0"/>
                <w:numId w:val="23"/>
              </w:numPr>
              <w:shd w:val="clear" w:color="auto" w:fill="FFFFFF" w:themeFill="background1"/>
              <w:spacing w:line="240" w:lineRule="auto"/>
              <w:contextualSpacing/>
              <w:jc w:val="both"/>
              <w:rPr>
                <w:rFonts w:cs="Arial"/>
                <w:sz w:val="22"/>
                <w:szCs w:val="22"/>
                <w:lang w:eastAsia="en-US"/>
              </w:rPr>
            </w:pPr>
            <w:r w:rsidRPr="00BE7477">
              <w:rPr>
                <w:rFonts w:cs="Arial"/>
                <w:sz w:val="22"/>
                <w:szCs w:val="22"/>
                <w:lang w:eastAsia="en-US"/>
              </w:rPr>
              <w:t>Checking and pre approval of both contractor and consultant’s IPC/Invoices before transfer to the client</w:t>
            </w:r>
          </w:p>
          <w:p w14:paraId="0564A15E" w14:textId="77777777" w:rsidR="00D96423" w:rsidRDefault="00D96423" w:rsidP="00D96423">
            <w:pPr>
              <w:spacing w:line="240" w:lineRule="auto"/>
              <w:ind w:left="720"/>
              <w:contextualSpacing/>
              <w:jc w:val="both"/>
              <w:rPr>
                <w:rFonts w:eastAsia="Arial Unicode MS" w:cs="Arial"/>
                <w:sz w:val="22"/>
                <w:szCs w:val="22"/>
                <w:lang w:eastAsia="en-US"/>
              </w:rPr>
            </w:pPr>
          </w:p>
          <w:p w14:paraId="008F3432" w14:textId="77777777" w:rsidR="00D96423" w:rsidRPr="00BE7477" w:rsidRDefault="00D96423" w:rsidP="00D96423">
            <w:pPr>
              <w:spacing w:line="240" w:lineRule="auto"/>
              <w:ind w:left="720"/>
              <w:contextualSpacing/>
              <w:jc w:val="both"/>
              <w:rPr>
                <w:rFonts w:eastAsia="Arial Unicode MS" w:cs="Arial"/>
                <w:sz w:val="22"/>
                <w:szCs w:val="22"/>
                <w:lang w:eastAsia="en-US"/>
              </w:rPr>
            </w:pPr>
          </w:p>
          <w:p w14:paraId="10D2199D" w14:textId="77777777" w:rsidR="00D96423" w:rsidRPr="00BE7477" w:rsidRDefault="00D96423" w:rsidP="00D96423">
            <w:pPr>
              <w:spacing w:line="240" w:lineRule="auto"/>
              <w:ind w:left="720"/>
              <w:contextualSpacing/>
              <w:jc w:val="both"/>
              <w:rPr>
                <w:rFonts w:eastAsia="Arial Unicode MS" w:cs="Arial"/>
                <w:b/>
                <w:sz w:val="22"/>
                <w:szCs w:val="22"/>
                <w:u w:val="single"/>
                <w:lang w:eastAsia="en-US"/>
              </w:rPr>
            </w:pPr>
            <w:r w:rsidRPr="00BE7477">
              <w:rPr>
                <w:rFonts w:eastAsia="Arial Unicode MS" w:cs="Arial"/>
                <w:b/>
                <w:sz w:val="22"/>
                <w:szCs w:val="22"/>
                <w:u w:val="single"/>
                <w:lang w:eastAsia="en-US"/>
              </w:rPr>
              <w:t xml:space="preserve">Handover </w:t>
            </w:r>
          </w:p>
          <w:p w14:paraId="672D5F65"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Minutes of operations prior to reception, draft documents approving the work and equipment, draft documents for the removal of reserves, etc.</w:t>
            </w:r>
          </w:p>
          <w:p w14:paraId="52B19658"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Minutes of reservation removal, Site visits and close up meeting </w:t>
            </w:r>
          </w:p>
          <w:p w14:paraId="01E19EAA"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Report on the management of assistance to reception operations and guarantee of perfect completion (buildings and equipment) by </w:t>
            </w:r>
            <w:r w:rsidRPr="00BE7477">
              <w:rPr>
                <w:rFonts w:eastAsia="Arial Unicode MS" w:cs="Arial"/>
                <w:sz w:val="22"/>
                <w:szCs w:val="22"/>
                <w:shd w:val="clear" w:color="auto" w:fill="FFFFFF" w:themeFill="background1"/>
                <w:lang w:eastAsia="en-US"/>
              </w:rPr>
              <w:t>the contractor</w:t>
            </w:r>
            <w:r w:rsidRPr="00BE7477">
              <w:rPr>
                <w:rFonts w:eastAsia="Arial Unicode MS" w:cs="Arial"/>
                <w:sz w:val="22"/>
                <w:szCs w:val="22"/>
                <w:lang w:eastAsia="en-US"/>
              </w:rPr>
              <w:t xml:space="preserve"> </w:t>
            </w:r>
          </w:p>
          <w:p w14:paraId="47909A6D" w14:textId="77777777" w:rsidR="00D96423" w:rsidRPr="00BE7477" w:rsidRDefault="00D96423" w:rsidP="00D96423">
            <w:pPr>
              <w:spacing w:line="240" w:lineRule="auto"/>
              <w:ind w:left="720"/>
              <w:contextualSpacing/>
              <w:jc w:val="both"/>
              <w:rPr>
                <w:rFonts w:eastAsia="Arial Unicode MS" w:cs="Arial"/>
                <w:sz w:val="22"/>
                <w:szCs w:val="22"/>
                <w:lang w:eastAsia="en-US"/>
              </w:rPr>
            </w:pPr>
          </w:p>
          <w:p w14:paraId="11812A0F" w14:textId="77777777" w:rsidR="00D96423" w:rsidRPr="00BE7477" w:rsidRDefault="00D96423" w:rsidP="00D96423">
            <w:pPr>
              <w:spacing w:line="240" w:lineRule="auto"/>
              <w:ind w:left="720"/>
              <w:contextualSpacing/>
              <w:jc w:val="both"/>
              <w:rPr>
                <w:rFonts w:eastAsia="Arial Unicode MS" w:cs="Arial"/>
                <w:b/>
                <w:sz w:val="22"/>
                <w:szCs w:val="22"/>
                <w:u w:val="single"/>
                <w:lang w:eastAsia="en-US"/>
              </w:rPr>
            </w:pPr>
            <w:r w:rsidRPr="00BE7477">
              <w:rPr>
                <w:rFonts w:eastAsia="Arial Unicode MS" w:cs="Arial"/>
                <w:b/>
                <w:sz w:val="22"/>
                <w:szCs w:val="22"/>
                <w:u w:val="single"/>
                <w:lang w:eastAsia="en-US"/>
              </w:rPr>
              <w:t xml:space="preserve">Commissioning </w:t>
            </w:r>
          </w:p>
          <w:p w14:paraId="23373F7E"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Review of the End of construction and acquisition report </w:t>
            </w:r>
          </w:p>
          <w:p w14:paraId="198B878A"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Equipment Bid analysis report, operation-maintenance contracts </w:t>
            </w:r>
          </w:p>
          <w:p w14:paraId="18DB668B"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Audit Document and Action, audit Tracking Plan </w:t>
            </w:r>
          </w:p>
          <w:p w14:paraId="33F998D2"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 xml:space="preserve">Audit reports, final evaluation report of the operation </w:t>
            </w:r>
          </w:p>
          <w:p w14:paraId="09687E38" w14:textId="77777777" w:rsidR="00D96423" w:rsidRPr="00BE7477" w:rsidRDefault="00D96423" w:rsidP="00D96423">
            <w:pPr>
              <w:spacing w:line="240" w:lineRule="auto"/>
              <w:ind w:left="720"/>
              <w:contextualSpacing/>
              <w:jc w:val="both"/>
              <w:rPr>
                <w:rFonts w:ascii="Times New Roman" w:eastAsia="Arial Unicode MS" w:hAnsi="Times New Roman"/>
                <w:sz w:val="24"/>
                <w:szCs w:val="24"/>
                <w:lang w:eastAsia="en-US"/>
              </w:rPr>
            </w:pPr>
          </w:p>
        </w:tc>
      </w:tr>
      <w:tr w:rsidR="00D96423" w:rsidRPr="00BE7477" w14:paraId="09EEE602" w14:textId="77777777" w:rsidTr="00D96423">
        <w:tc>
          <w:tcPr>
            <w:tcW w:w="8566" w:type="dxa"/>
          </w:tcPr>
          <w:p w14:paraId="1CC6992C" w14:textId="77777777" w:rsidR="00D96423" w:rsidRPr="00BE7477" w:rsidRDefault="00D96423" w:rsidP="00D96423">
            <w:pPr>
              <w:spacing w:line="240" w:lineRule="auto"/>
              <w:ind w:left="720"/>
              <w:contextualSpacing/>
              <w:jc w:val="both"/>
              <w:rPr>
                <w:rFonts w:eastAsia="Arial Unicode MS" w:cs="Arial"/>
                <w:b/>
                <w:sz w:val="22"/>
                <w:szCs w:val="22"/>
                <w:lang w:eastAsia="en-US"/>
              </w:rPr>
            </w:pPr>
            <w:r w:rsidRPr="00BE7477">
              <w:rPr>
                <w:rFonts w:eastAsia="Arial Unicode MS" w:cs="Arial"/>
                <w:b/>
                <w:sz w:val="22"/>
                <w:szCs w:val="22"/>
                <w:lang w:eastAsia="en-US"/>
              </w:rPr>
              <w:t>PHASE D. RELOCATION</w:t>
            </w:r>
          </w:p>
        </w:tc>
      </w:tr>
      <w:tr w:rsidR="00D96423" w:rsidRPr="00BE7477" w14:paraId="247E836F" w14:textId="77777777" w:rsidTr="00D96423">
        <w:trPr>
          <w:trHeight w:val="326"/>
        </w:trPr>
        <w:tc>
          <w:tcPr>
            <w:tcW w:w="8566" w:type="dxa"/>
          </w:tcPr>
          <w:p w14:paraId="2CFA96F8" w14:textId="77777777" w:rsidR="00D96423" w:rsidRPr="00BE7477" w:rsidRDefault="00D96423" w:rsidP="00C80DC1">
            <w:pPr>
              <w:numPr>
                <w:ilvl w:val="0"/>
                <w:numId w:val="23"/>
              </w:numPr>
              <w:spacing w:line="240" w:lineRule="auto"/>
              <w:contextualSpacing/>
              <w:jc w:val="both"/>
              <w:rPr>
                <w:rFonts w:eastAsia="Arial Unicode MS" w:cs="Arial"/>
                <w:sz w:val="22"/>
                <w:szCs w:val="22"/>
                <w:lang w:eastAsia="en-US"/>
              </w:rPr>
            </w:pPr>
            <w:r w:rsidRPr="00BE7477">
              <w:rPr>
                <w:rFonts w:eastAsia="Arial Unicode MS" w:cs="Arial"/>
                <w:sz w:val="22"/>
                <w:szCs w:val="22"/>
                <w:lang w:eastAsia="en-US"/>
              </w:rPr>
              <w:t>Support review and validation of Moving Planning Project</w:t>
            </w:r>
          </w:p>
        </w:tc>
      </w:tr>
      <w:tr w:rsidR="00D96423" w:rsidRPr="00BE7477" w14:paraId="1CE74A58" w14:textId="77777777" w:rsidTr="00D96423">
        <w:tc>
          <w:tcPr>
            <w:tcW w:w="8566" w:type="dxa"/>
          </w:tcPr>
          <w:p w14:paraId="2484FCE9" w14:textId="77777777" w:rsidR="00D96423" w:rsidRPr="00BE7477" w:rsidRDefault="00D96423" w:rsidP="00C80DC1">
            <w:pPr>
              <w:numPr>
                <w:ilvl w:val="0"/>
                <w:numId w:val="23"/>
              </w:numPr>
              <w:spacing w:line="240" w:lineRule="auto"/>
              <w:contextualSpacing/>
              <w:jc w:val="both"/>
              <w:rPr>
                <w:rFonts w:eastAsia="Arial Unicode MS" w:cs="Arial"/>
                <w:b/>
                <w:sz w:val="22"/>
                <w:szCs w:val="22"/>
                <w:lang w:eastAsia="en-US"/>
              </w:rPr>
            </w:pPr>
            <w:r w:rsidRPr="00BE7477">
              <w:rPr>
                <w:rFonts w:eastAsia="Arial Unicode MS" w:cs="Arial"/>
                <w:b/>
                <w:sz w:val="22"/>
                <w:szCs w:val="22"/>
                <w:lang w:eastAsia="en-US"/>
              </w:rPr>
              <w:t>Final report</w:t>
            </w:r>
          </w:p>
        </w:tc>
      </w:tr>
    </w:tbl>
    <w:p w14:paraId="721C912B" w14:textId="0285F58A" w:rsidR="00D96423" w:rsidRPr="00D96423" w:rsidRDefault="00D96423" w:rsidP="00D96423">
      <w:pPr>
        <w:rPr>
          <w:rFonts w:asciiTheme="minorHAnsi" w:hAnsiTheme="minorHAnsi" w:cstheme="minorHAnsi"/>
          <w:sz w:val="22"/>
          <w:szCs w:val="22"/>
          <w:lang w:val="en"/>
        </w:rPr>
      </w:pPr>
    </w:p>
    <w:p w14:paraId="68295A37" w14:textId="22DE0B41" w:rsidR="00D96423" w:rsidRDefault="00D96423" w:rsidP="00D96423">
      <w:pPr>
        <w:rPr>
          <w:rFonts w:asciiTheme="minorHAnsi" w:hAnsiTheme="minorHAnsi" w:cstheme="minorHAnsi"/>
          <w:b/>
          <w:sz w:val="22"/>
          <w:szCs w:val="22"/>
          <w:lang w:val="en"/>
        </w:rPr>
      </w:pPr>
      <w:r w:rsidRPr="00D96423">
        <w:rPr>
          <w:rFonts w:asciiTheme="minorHAnsi" w:hAnsiTheme="minorHAnsi" w:cstheme="minorHAnsi"/>
          <w:b/>
          <w:sz w:val="22"/>
          <w:szCs w:val="22"/>
          <w:lang w:val="en"/>
        </w:rPr>
        <w:t>Deliverables for the Order-based element</w:t>
      </w:r>
      <w:r>
        <w:rPr>
          <w:rFonts w:asciiTheme="minorHAnsi" w:hAnsiTheme="minorHAnsi" w:cstheme="minorHAnsi"/>
          <w:b/>
          <w:sz w:val="22"/>
          <w:szCs w:val="22"/>
          <w:lang w:val="en"/>
        </w:rPr>
        <w:t xml:space="preserve"> : </w:t>
      </w:r>
    </w:p>
    <w:p w14:paraId="3B628B24" w14:textId="1AC77E13" w:rsidR="00D96423" w:rsidRPr="00D96423" w:rsidRDefault="00D96423" w:rsidP="00D96423">
      <w:pPr>
        <w:rPr>
          <w:rFonts w:asciiTheme="minorHAnsi" w:hAnsiTheme="minorHAnsi" w:cstheme="minorHAnsi"/>
          <w:sz w:val="22"/>
          <w:szCs w:val="22"/>
          <w:lang w:val="en"/>
        </w:rPr>
      </w:pPr>
      <w:r w:rsidRPr="00D96423">
        <w:rPr>
          <w:rFonts w:asciiTheme="minorHAnsi" w:hAnsiTheme="minorHAnsi" w:cstheme="minorHAnsi"/>
          <w:sz w:val="22"/>
          <w:szCs w:val="22"/>
        </w:rPr>
        <w:t>Each deliverable will be specified in each purchase order, with, where applicable, a higher level of requirement depending on the emerging needs of the project owner.</w:t>
      </w:r>
    </w:p>
    <w:p w14:paraId="481701C5" w14:textId="77777777" w:rsidR="00D96423" w:rsidRPr="00D96423" w:rsidRDefault="00D96423" w:rsidP="00D96423">
      <w:pPr>
        <w:rPr>
          <w:rFonts w:asciiTheme="minorHAnsi" w:hAnsiTheme="minorHAnsi" w:cstheme="minorHAnsi"/>
          <w:b/>
          <w:sz w:val="22"/>
          <w:szCs w:val="22"/>
          <w:lang w:val="en"/>
        </w:rPr>
      </w:pP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1" w:name="_Toc392669642"/>
      <w:bookmarkStart w:id="42" w:name="_Toc140836328"/>
      <w:bookmarkStart w:id="43" w:name="_Toc392669644"/>
      <w:bookmarkEnd w:id="40"/>
      <w:r w:rsidRPr="00D95D87">
        <w:rPr>
          <w:rFonts w:asciiTheme="minorHAnsi" w:hAnsiTheme="minorHAnsi" w:cstheme="minorHAnsi"/>
          <w:sz w:val="22"/>
          <w:szCs w:val="22"/>
          <w:lang w:val="en"/>
        </w:rPr>
        <w:t>Expert in charge of the assignment</w:t>
      </w:r>
      <w:bookmarkEnd w:id="41"/>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4" w:name="_Toc140836329"/>
      <w:r w:rsidRPr="00D95D87">
        <w:rPr>
          <w:rFonts w:asciiTheme="minorHAnsi" w:hAnsiTheme="minorHAnsi" w:cstheme="minorHAnsi"/>
          <w:sz w:val="22"/>
          <w:szCs w:val="22"/>
          <w:lang w:val="en"/>
        </w:rPr>
        <w:t>Place of execution</w:t>
      </w:r>
      <w:bookmarkEnd w:id="43"/>
      <w:bookmarkEnd w:id="44"/>
    </w:p>
    <w:p w14:paraId="16570E04" w14:textId="414A08CF" w:rsidR="009E5ECF" w:rsidRDefault="009E5ECF" w:rsidP="00E4145C">
      <w:pPr>
        <w:pStyle w:val="Titre2"/>
        <w:spacing w:before="120" w:after="60"/>
        <w:rPr>
          <w:rFonts w:asciiTheme="minorHAnsi" w:eastAsia="Times New Roman" w:hAnsiTheme="minorHAnsi" w:cstheme="minorHAnsi"/>
          <w:b w:val="0"/>
          <w:bCs w:val="0"/>
          <w:sz w:val="22"/>
          <w:szCs w:val="22"/>
          <w:lang w:val="en"/>
        </w:rPr>
      </w:pPr>
      <w:bookmarkStart w:id="45" w:name="_Toc140836330"/>
      <w:r w:rsidRPr="009E5ECF">
        <w:rPr>
          <w:rFonts w:asciiTheme="minorHAnsi" w:eastAsia="Times New Roman" w:hAnsiTheme="minorHAnsi" w:cstheme="minorHAnsi"/>
          <w:b w:val="0"/>
          <w:bCs w:val="0"/>
          <w:sz w:val="22"/>
          <w:szCs w:val="22"/>
          <w:lang w:val="en"/>
        </w:rPr>
        <w:t xml:space="preserve">The services will be performed in the contractor's city and country, with travel to Kigali and Ruhengeri in </w:t>
      </w:r>
      <w:r w:rsidRPr="009E5ECF">
        <w:rPr>
          <w:rFonts w:asciiTheme="minorHAnsi" w:eastAsia="Times New Roman" w:hAnsiTheme="minorHAnsi" w:cstheme="minorHAnsi"/>
          <w:b w:val="0"/>
          <w:bCs w:val="0"/>
          <w:sz w:val="22"/>
          <w:szCs w:val="22"/>
          <w:lang w:val="en"/>
        </w:rPr>
        <w:lastRenderedPageBreak/>
        <w:t>Rwanda, as well as possible trips to the headquarters of EXPERTISE FRANCE to be anticipated.</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6" w:name="_Toc140836332"/>
      <w:bookmarkEnd w:id="45"/>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6"/>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7" w:name="_Toc392669645"/>
      <w:bookmarkStart w:id="48" w:name="_Toc140836333"/>
      <w:r w:rsidRPr="0041061D">
        <w:rPr>
          <w:rFonts w:asciiTheme="minorHAnsi" w:hAnsiTheme="minorHAnsi"/>
          <w:sz w:val="22"/>
          <w:szCs w:val="22"/>
          <w:lang w:val="en"/>
        </w:rPr>
        <w:t xml:space="preserve">Commitments of the </w:t>
      </w:r>
      <w:bookmarkEnd w:id="47"/>
      <w:r w:rsidR="00567093">
        <w:rPr>
          <w:rFonts w:asciiTheme="minorHAnsi" w:hAnsiTheme="minorHAnsi" w:cstheme="minorHAnsi"/>
          <w:smallCaps/>
          <w:sz w:val="22"/>
          <w:lang w:val="en"/>
        </w:rPr>
        <w:t>Contractor</w:t>
      </w:r>
      <w:bookmarkEnd w:id="48"/>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C80DC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C80DC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C80DC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C80DC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C80DC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C80DC1">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C80DC1">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C80DC1">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C80DC1">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C80DC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9" w:name="_Toc392669646"/>
      <w:bookmarkStart w:id="50" w:name="_Toc140836334"/>
      <w:r w:rsidRPr="00567093">
        <w:rPr>
          <w:rFonts w:asciiTheme="minorHAnsi" w:hAnsiTheme="minorHAnsi"/>
          <w:sz w:val="22"/>
          <w:szCs w:val="22"/>
          <w:lang w:val="en"/>
        </w:rPr>
        <w:t>Confidentiality</w:t>
      </w:r>
      <w:bookmarkEnd w:id="49"/>
      <w:bookmarkEnd w:id="50"/>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C80DC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C80DC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C80DC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C80DC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C80DC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C80DC1">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1" w:name="_Toc392669648"/>
      <w:bookmarkStart w:id="52" w:name="_Toc140836335"/>
      <w:r w:rsidRPr="00567093">
        <w:rPr>
          <w:rFonts w:asciiTheme="minorHAnsi" w:hAnsiTheme="minorHAnsi"/>
          <w:sz w:val="22"/>
          <w:szCs w:val="22"/>
          <w:lang w:val="en"/>
        </w:rPr>
        <w:t>Provision of documents</w:t>
      </w:r>
      <w:bookmarkEnd w:id="51"/>
      <w:bookmarkEnd w:id="52"/>
      <w:r w:rsidRPr="00567093">
        <w:rPr>
          <w:rFonts w:asciiTheme="minorHAnsi" w:hAnsiTheme="minorHAnsi"/>
          <w:sz w:val="22"/>
          <w:szCs w:val="22"/>
          <w:lang w:val="en"/>
        </w:rPr>
        <w:t xml:space="preserve"> </w:t>
      </w:r>
    </w:p>
    <w:p w14:paraId="2FA33F8C" w14:textId="51485265" w:rsidR="00122959" w:rsidRDefault="00567093" w:rsidP="00A1761D">
      <w:pPr>
        <w:pStyle w:val="u"/>
        <w:widowControl w:val="0"/>
        <w:numPr>
          <w:ilvl w:val="12"/>
          <w:numId w:val="0"/>
        </w:numPr>
        <w:ind w:left="567"/>
        <w:rPr>
          <w:rFonts w:asciiTheme="minorHAnsi" w:hAnsiTheme="minorHAnsi" w:cs="Arial"/>
          <w:szCs w:val="22"/>
          <w:lang w:val="en"/>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72A8FB70" w14:textId="77777777" w:rsidR="009E5ECF" w:rsidRPr="009E5ECF" w:rsidRDefault="009E5ECF" w:rsidP="00C80DC1">
      <w:pPr>
        <w:pStyle w:val="u"/>
        <w:widowControl w:val="0"/>
        <w:numPr>
          <w:ilvl w:val="0"/>
          <w:numId w:val="24"/>
        </w:numPr>
        <w:rPr>
          <w:rFonts w:asciiTheme="minorHAnsi" w:hAnsiTheme="minorHAnsi" w:cs="Arial"/>
          <w:szCs w:val="22"/>
          <w:lang w:val="en-GB"/>
        </w:rPr>
      </w:pPr>
      <w:r w:rsidRPr="009E5ECF">
        <w:rPr>
          <w:rFonts w:asciiTheme="minorHAnsi" w:hAnsiTheme="minorHAnsi" w:cs="Arial"/>
          <w:szCs w:val="22"/>
          <w:lang w:val="en-GB"/>
        </w:rPr>
        <w:t>The Detailed Technical Program (DTP) validated by the project owner, along with its annexes specifying the activity targets and capacity targets of the project</w:t>
      </w:r>
    </w:p>
    <w:p w14:paraId="57C2DE43" w14:textId="77777777" w:rsidR="009E5ECF" w:rsidRPr="009E5ECF" w:rsidRDefault="009E5ECF" w:rsidP="00C80DC1">
      <w:pPr>
        <w:pStyle w:val="u"/>
        <w:widowControl w:val="0"/>
        <w:numPr>
          <w:ilvl w:val="0"/>
          <w:numId w:val="24"/>
        </w:numPr>
        <w:rPr>
          <w:rFonts w:asciiTheme="minorHAnsi" w:hAnsiTheme="minorHAnsi" w:cs="Arial"/>
          <w:szCs w:val="22"/>
          <w:lang w:val="en-GB"/>
        </w:rPr>
      </w:pPr>
      <w:r w:rsidRPr="009E5ECF">
        <w:rPr>
          <w:rFonts w:asciiTheme="minorHAnsi" w:hAnsiTheme="minorHAnsi" w:cs="Arial"/>
          <w:szCs w:val="22"/>
          <w:lang w:val="en-GB"/>
        </w:rPr>
        <w:t>Technical offer of the MAIN CONTRACT</w:t>
      </w:r>
    </w:p>
    <w:p w14:paraId="5E8DDCC9" w14:textId="69D5A3CD" w:rsidR="009E5ECF" w:rsidRPr="00567093" w:rsidRDefault="009E5ECF" w:rsidP="00C80DC1">
      <w:pPr>
        <w:pStyle w:val="u"/>
        <w:widowControl w:val="0"/>
        <w:numPr>
          <w:ilvl w:val="0"/>
          <w:numId w:val="24"/>
        </w:numPr>
        <w:rPr>
          <w:rFonts w:asciiTheme="minorHAnsi" w:hAnsiTheme="minorHAnsi" w:cs="Arial"/>
          <w:szCs w:val="22"/>
          <w:lang w:val="en-GB"/>
        </w:rPr>
      </w:pPr>
      <w:r w:rsidRPr="009E5ECF">
        <w:rPr>
          <w:rFonts w:asciiTheme="minorHAnsi" w:hAnsiTheme="minorHAnsi" w:cs="Arial"/>
          <w:szCs w:val="22"/>
          <w:lang w:val="en-GB"/>
        </w:rPr>
        <w:t>Specifications of the 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3" w:name="_Toc392669649"/>
      <w:bookmarkStart w:id="54" w:name="_Toc140836336"/>
      <w:r w:rsidRPr="00567093">
        <w:rPr>
          <w:rFonts w:asciiTheme="minorHAnsi" w:hAnsiTheme="minorHAnsi"/>
          <w:sz w:val="22"/>
          <w:szCs w:val="22"/>
          <w:lang w:val="en"/>
        </w:rPr>
        <w:t>Insurance</w:t>
      </w:r>
      <w:bookmarkEnd w:id="53"/>
      <w:bookmarkEnd w:id="54"/>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5" w:name="_Toc525912441"/>
      <w:bookmarkStart w:id="56" w:name="_Ref464060009"/>
      <w:bookmarkStart w:id="57" w:name="_Toc140836337"/>
      <w:r w:rsidRPr="000D43C1">
        <w:rPr>
          <w:rFonts w:asciiTheme="minorHAnsi" w:hAnsiTheme="minorHAnsi"/>
          <w:sz w:val="22"/>
          <w:lang w:val="en"/>
        </w:rPr>
        <w:t>Contact person and communication</w:t>
      </w:r>
      <w:bookmarkEnd w:id="55"/>
      <w:bookmarkEnd w:id="56"/>
      <w:bookmarkEnd w:id="57"/>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379E61B1" w14:textId="77777777" w:rsidR="009E5ECF" w:rsidRPr="005E4BD9" w:rsidRDefault="009E5ECF" w:rsidP="009E5ECF">
            <w:pPr>
              <w:widowControl w:val="0"/>
              <w:numPr>
                <w:ilvl w:val="12"/>
                <w:numId w:val="0"/>
              </w:numPr>
              <w:spacing w:line="240" w:lineRule="auto"/>
              <w:jc w:val="both"/>
              <w:rPr>
                <w:rFonts w:asciiTheme="minorHAnsi" w:hAnsiTheme="minorHAnsi" w:cstheme="minorHAnsi"/>
                <w:sz w:val="22"/>
                <w:szCs w:val="22"/>
              </w:rPr>
            </w:pPr>
            <w:r w:rsidRPr="005E4BD9">
              <w:rPr>
                <w:rFonts w:asciiTheme="minorHAnsi" w:hAnsiTheme="minorHAnsi" w:cstheme="minorHAnsi"/>
                <w:sz w:val="22"/>
                <w:szCs w:val="22"/>
              </w:rPr>
              <w:t>Charlotte LAZERAS</w:t>
            </w:r>
          </w:p>
          <w:p w14:paraId="52169CEA" w14:textId="77777777" w:rsidR="009E5ECF" w:rsidRPr="005E4BD9" w:rsidRDefault="009E5ECF" w:rsidP="009E5ECF">
            <w:pPr>
              <w:widowControl w:val="0"/>
              <w:numPr>
                <w:ilvl w:val="12"/>
                <w:numId w:val="0"/>
              </w:numPr>
              <w:spacing w:line="240" w:lineRule="auto"/>
              <w:jc w:val="both"/>
              <w:rPr>
                <w:rFonts w:asciiTheme="minorHAnsi" w:hAnsiTheme="minorHAnsi" w:cstheme="minorHAnsi"/>
                <w:sz w:val="22"/>
                <w:szCs w:val="22"/>
              </w:rPr>
            </w:pPr>
            <w:r w:rsidRPr="005E4BD9">
              <w:rPr>
                <w:rFonts w:asciiTheme="minorHAnsi" w:hAnsiTheme="minorHAnsi" w:cstheme="minorHAnsi"/>
                <w:sz w:val="22"/>
                <w:szCs w:val="22"/>
              </w:rPr>
              <w:t>Département Santé</w:t>
            </w:r>
          </w:p>
          <w:p w14:paraId="488EA023" w14:textId="77777777" w:rsidR="009E5ECF" w:rsidRPr="00A86E43" w:rsidRDefault="009E5ECF" w:rsidP="009E5ECF">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6B46D2D" w14:textId="22A24478" w:rsidR="00D07897" w:rsidRPr="000D43C1" w:rsidRDefault="009E5ECF" w:rsidP="009E5ECF">
            <w:pPr>
              <w:widowControl w:val="0"/>
              <w:numPr>
                <w:ilvl w:val="12"/>
                <w:numId w:val="0"/>
              </w:numPr>
              <w:spacing w:line="240" w:lineRule="auto"/>
              <w:jc w:val="both"/>
              <w:rPr>
                <w:rFonts w:asciiTheme="minorHAnsi" w:hAnsiTheme="minorHAnsi" w:cs="Arial"/>
                <w:sz w:val="22"/>
                <w:highlight w:val="yellow"/>
              </w:rPr>
            </w:pPr>
            <w:r w:rsidRPr="00A86E43">
              <w:rPr>
                <w:rFonts w:asciiTheme="minorHAnsi" w:hAnsiTheme="minorHAnsi" w:cstheme="minorHAnsi"/>
                <w:sz w:val="22"/>
                <w:szCs w:val="22"/>
              </w:rPr>
              <w:t>F-75005 PARIS</w:t>
            </w:r>
          </w:p>
        </w:tc>
      </w:tr>
      <w:tr w:rsidR="00D07897" w:rsidRPr="005862C9"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8" w:name="_Toc140836338"/>
      <w:r>
        <w:rPr>
          <w:rFonts w:asciiTheme="minorHAnsi" w:hAnsiTheme="minorHAnsi"/>
          <w:sz w:val="22"/>
          <w:lang w:val="en"/>
        </w:rPr>
        <w:lastRenderedPageBreak/>
        <w:t>Understaking against deforestation</w:t>
      </w:r>
      <w:bookmarkEnd w:id="58"/>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C80DC1">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C80DC1">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40836339"/>
      <w:r w:rsidRPr="000D43C1">
        <w:rPr>
          <w:rFonts w:asciiTheme="minorHAnsi" w:hAnsiTheme="minorHAnsi"/>
          <w:b/>
          <w:bCs/>
          <w:caps/>
          <w:sz w:val="24"/>
          <w:u w:val="single"/>
          <w:lang w:val="en"/>
        </w:rPr>
        <w:t>Re-examination clause</w:t>
      </w:r>
      <w:bookmarkEnd w:id="59"/>
    </w:p>
    <w:p w14:paraId="25E43575" w14:textId="77777777"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773A9681" w14:textId="77777777" w:rsidR="009E5ECF" w:rsidRPr="009E5ECF" w:rsidRDefault="009E5ECF" w:rsidP="00C80DC1">
      <w:pPr>
        <w:pStyle w:val="u"/>
        <w:numPr>
          <w:ilvl w:val="0"/>
          <w:numId w:val="25"/>
        </w:numPr>
        <w:rPr>
          <w:rFonts w:asciiTheme="minorHAnsi" w:hAnsiTheme="minorHAnsi" w:cstheme="minorHAnsi"/>
          <w:szCs w:val="22"/>
        </w:rPr>
      </w:pPr>
      <w:r w:rsidRPr="009E5ECF">
        <w:rPr>
          <w:rFonts w:asciiTheme="minorHAnsi" w:hAnsiTheme="minorHAnsi" w:cstheme="minorHAnsi"/>
          <w:szCs w:val="22"/>
        </w:rPr>
        <w:t>Updating technical elements of the specifications (details on deliverables, technical definitions from manufacturers, technical data sheets for equipment, etc.).</w:t>
      </w:r>
    </w:p>
    <w:p w14:paraId="1DACB9AB" w14:textId="77777777" w:rsidR="009E5ECF" w:rsidRPr="009E5ECF" w:rsidRDefault="009E5ECF" w:rsidP="00C80DC1">
      <w:pPr>
        <w:pStyle w:val="u"/>
        <w:numPr>
          <w:ilvl w:val="0"/>
          <w:numId w:val="25"/>
        </w:numPr>
        <w:rPr>
          <w:rFonts w:asciiTheme="minorHAnsi" w:hAnsiTheme="minorHAnsi" w:cstheme="minorHAnsi"/>
          <w:szCs w:val="22"/>
        </w:rPr>
      </w:pPr>
      <w:r w:rsidRPr="009E5ECF">
        <w:rPr>
          <w:rFonts w:asciiTheme="minorHAnsi" w:hAnsiTheme="minorHAnsi" w:cstheme="minorHAnsi"/>
          <w:szCs w:val="22"/>
        </w:rPr>
        <w:t>The integration of additional services required for the proper execution of the contract, upon request of the local project owner.</w:t>
      </w:r>
    </w:p>
    <w:p w14:paraId="065B90B1" w14:textId="77777777" w:rsidR="009E5ECF" w:rsidRPr="009E5ECF" w:rsidRDefault="009E5ECF" w:rsidP="00C80DC1">
      <w:pPr>
        <w:pStyle w:val="u"/>
        <w:numPr>
          <w:ilvl w:val="0"/>
          <w:numId w:val="25"/>
        </w:numPr>
        <w:rPr>
          <w:rFonts w:asciiTheme="minorHAnsi" w:hAnsiTheme="minorHAnsi" w:cstheme="minorHAnsi"/>
          <w:szCs w:val="22"/>
        </w:rPr>
      </w:pPr>
      <w:r w:rsidRPr="009E5ECF">
        <w:rPr>
          <w:rFonts w:asciiTheme="minorHAnsi" w:hAnsiTheme="minorHAnsi" w:cstheme="minorHAnsi"/>
          <w:szCs w:val="22"/>
        </w:rPr>
        <w:t>The extension of the contract duration in case of modification to the donor's contract duration.</w:t>
      </w:r>
    </w:p>
    <w:p w14:paraId="66E3D921" w14:textId="77777777" w:rsidR="009E5ECF" w:rsidRDefault="009E5ECF" w:rsidP="00C80DC1">
      <w:pPr>
        <w:pStyle w:val="u"/>
        <w:widowControl w:val="0"/>
        <w:numPr>
          <w:ilvl w:val="12"/>
          <w:numId w:val="25"/>
        </w:numPr>
        <w:spacing w:before="120"/>
        <w:ind w:left="561"/>
        <w:rPr>
          <w:rFonts w:asciiTheme="minorHAnsi" w:hAnsiTheme="minorHAnsi" w:cs="Arial"/>
          <w:szCs w:val="22"/>
        </w:rPr>
      </w:pPr>
      <w:bookmarkStart w:id="60" w:name="_Toc70411395"/>
      <w:bookmarkStart w:id="61" w:name="_Toc140836340"/>
      <w:r w:rsidRPr="003C3D2C">
        <w:rPr>
          <w:rFonts w:asciiTheme="minorHAnsi" w:hAnsiTheme="minorHAnsi" w:cs="Arial"/>
          <w:szCs w:val="22"/>
        </w:rPr>
        <w:t>Modifications 2 and 3 are notified to the CONTRACTOR through the signing of an amendment. In the case of the modification mentioned in point 1), the CONTRACTOR is notified through a simple exchange of correspondence via the secure PLACE platform or by any means defined by EXPERTISE FRANCE that ensures traceability of communications.</w:t>
      </w:r>
    </w:p>
    <w:p w14:paraId="1E86081C" w14:textId="77777777" w:rsidR="00C64382" w:rsidRPr="000D43C1" w:rsidRDefault="00C64382"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0D43C1">
        <w:rPr>
          <w:rFonts w:asciiTheme="minorHAnsi" w:hAnsiTheme="minorHAnsi"/>
          <w:b/>
          <w:bCs/>
          <w:caps/>
          <w:sz w:val="24"/>
          <w:u w:val="single"/>
          <w:lang w:val="en"/>
        </w:rPr>
        <w:t>Similar services</w:t>
      </w:r>
      <w:bookmarkEnd w:id="60"/>
      <w:bookmarkEnd w:id="61"/>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w:t>
      </w:r>
      <w:r w:rsidRPr="000D43C1">
        <w:rPr>
          <w:rFonts w:asciiTheme="minorHAnsi" w:eastAsia="Times New Roman" w:hAnsiTheme="minorHAnsi" w:cs="Arial"/>
          <w:sz w:val="22"/>
          <w:lang w:val="en"/>
        </w:rPr>
        <w:lastRenderedPageBreak/>
        <w:t>contract for similar services to those of the initial contract without advertising or competitive bidding.</w:t>
      </w:r>
    </w:p>
    <w:p w14:paraId="4B7FA7EC" w14:textId="77777777" w:rsidR="001570D6" w:rsidRPr="000F76A5" w:rsidRDefault="001570D6"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40836341"/>
      <w:r w:rsidRPr="000F76A5">
        <w:rPr>
          <w:rFonts w:asciiTheme="minorHAnsi" w:hAnsiTheme="minorHAnsi"/>
          <w:b/>
          <w:bCs/>
          <w:caps/>
          <w:sz w:val="24"/>
          <w:u w:val="single"/>
          <w:lang w:val="en"/>
        </w:rPr>
        <w:t>penalties</w:t>
      </w:r>
      <w:bookmarkEnd w:id="62"/>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40836342"/>
      <w:r w:rsidRPr="000F76A5">
        <w:rPr>
          <w:rFonts w:asciiTheme="minorHAnsi" w:hAnsiTheme="minorHAnsi"/>
          <w:sz w:val="22"/>
          <w:szCs w:val="22"/>
          <w:lang w:val="en"/>
        </w:rPr>
        <w:t>Penalties for periodic documentary deliverables</w:t>
      </w:r>
      <w:bookmarkEnd w:id="63"/>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4" w:name="_Toc140836343"/>
      <w:r w:rsidRPr="000F76A5">
        <w:rPr>
          <w:rFonts w:asciiTheme="minorHAnsi" w:hAnsiTheme="minorHAnsi"/>
          <w:sz w:val="22"/>
          <w:szCs w:val="22"/>
          <w:lang w:val="en"/>
        </w:rPr>
        <w:t>Penalties applicable to submission of final deliverables</w:t>
      </w:r>
      <w:bookmarkEnd w:id="64"/>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5" w:name="_Toc140836344"/>
      <w:r w:rsidRPr="000F76A5">
        <w:rPr>
          <w:rFonts w:asciiTheme="minorHAnsi" w:hAnsiTheme="minorHAnsi"/>
          <w:b/>
          <w:bCs/>
          <w:caps/>
          <w:sz w:val="24"/>
          <w:u w:val="single"/>
          <w:lang w:val="en"/>
        </w:rPr>
        <w:t>intellectual property</w:t>
      </w:r>
      <w:bookmarkEnd w:id="6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6" w:name="_Toc140836345"/>
      <w:bookmarkStart w:id="67" w:name="_Toc392669651"/>
      <w:r w:rsidRPr="000F76A5">
        <w:rPr>
          <w:rFonts w:asciiTheme="minorHAnsi" w:hAnsiTheme="minorHAnsi"/>
          <w:sz w:val="22"/>
          <w:szCs w:val="22"/>
          <w:lang w:val="en"/>
        </w:rPr>
        <w:t>Definitions</w:t>
      </w:r>
      <w:bookmarkEnd w:id="6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C80DC1">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C80DC1">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C80DC1">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8" w:name="_Toc140836346"/>
      <w:r w:rsidRPr="000F76A5">
        <w:rPr>
          <w:rFonts w:asciiTheme="minorHAnsi" w:hAnsiTheme="minorHAnsi"/>
          <w:sz w:val="22"/>
          <w:szCs w:val="22"/>
          <w:lang w:val="en"/>
        </w:rPr>
        <w:t>Ownership of results</w:t>
      </w:r>
      <w:bookmarkEnd w:id="6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9" w:name="_Toc140836347"/>
      <w:r w:rsidRPr="000F76A5">
        <w:rPr>
          <w:rFonts w:asciiTheme="minorHAnsi" w:hAnsiTheme="minorHAnsi"/>
          <w:sz w:val="22"/>
          <w:szCs w:val="22"/>
          <w:lang w:val="en"/>
        </w:rPr>
        <w:t>Exploitation of results</w:t>
      </w:r>
      <w:bookmarkEnd w:id="6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C80DC1">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internal exploitation:</w:t>
      </w:r>
    </w:p>
    <w:p w14:paraId="35A1F0AA"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C80DC1">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C80DC1">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C80DC1">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C80DC1">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0" w:name="_Toc140836348"/>
      <w:r w:rsidRPr="000F76A5">
        <w:rPr>
          <w:rFonts w:asciiTheme="minorHAnsi" w:hAnsiTheme="minorHAnsi"/>
          <w:sz w:val="22"/>
          <w:szCs w:val="22"/>
          <w:lang w:val="en"/>
        </w:rPr>
        <w:t>Licensing of pre-existing rights</w:t>
      </w:r>
      <w:bookmarkEnd w:id="7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1" w:name="_Toc140836349"/>
      <w:r w:rsidRPr="000F76A5">
        <w:rPr>
          <w:rFonts w:asciiTheme="minorHAnsi" w:hAnsiTheme="minorHAnsi"/>
          <w:sz w:val="22"/>
          <w:szCs w:val="22"/>
          <w:lang w:val="en"/>
        </w:rPr>
        <w:t>Guarantees</w:t>
      </w:r>
      <w:bookmarkEnd w:id="7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2" w:name="_Toc140836350"/>
      <w:r w:rsidRPr="000F76A5">
        <w:rPr>
          <w:rFonts w:asciiTheme="minorHAnsi" w:hAnsiTheme="minorHAnsi"/>
          <w:sz w:val="22"/>
          <w:szCs w:val="22"/>
          <w:lang w:val="en"/>
        </w:rPr>
        <w:t>Image rights</w:t>
      </w:r>
      <w:bookmarkEnd w:id="7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3" w:name="_Toc140836351"/>
      <w:bookmarkEnd w:id="67"/>
      <w:r w:rsidRPr="0026644D">
        <w:rPr>
          <w:rFonts w:asciiTheme="minorHAnsi" w:hAnsiTheme="minorHAnsi"/>
          <w:b/>
          <w:bCs/>
          <w:caps/>
          <w:sz w:val="24"/>
          <w:u w:val="single"/>
          <w:lang w:val="en"/>
        </w:rPr>
        <w:t>Termination of the contract</w:t>
      </w:r>
      <w:bookmarkEnd w:id="7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4" w:name="_Toc140836352"/>
      <w:r w:rsidRPr="0026644D">
        <w:rPr>
          <w:rFonts w:asciiTheme="minorHAnsi" w:hAnsiTheme="minorHAnsi" w:cstheme="minorHAnsi"/>
          <w:sz w:val="22"/>
          <w:szCs w:val="22"/>
          <w:lang w:val="en"/>
        </w:rPr>
        <w:lastRenderedPageBreak/>
        <w:t>General terms of performance</w:t>
      </w:r>
      <w:bookmarkEnd w:id="74"/>
    </w:p>
    <w:p w14:paraId="1BD0A0F2" w14:textId="77777777" w:rsidR="0000635E" w:rsidRPr="0026644D" w:rsidRDefault="0000635E"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140836353"/>
      <w:r w:rsidRPr="0026644D">
        <w:rPr>
          <w:rFonts w:asciiTheme="minorHAnsi" w:hAnsiTheme="minorHAnsi" w:cstheme="minorHAnsi"/>
          <w:sz w:val="22"/>
          <w:szCs w:val="22"/>
          <w:lang w:val="en"/>
        </w:rPr>
        <w:t>Termination of the Contract due to the non-availability of a designated expert</w:t>
      </w:r>
      <w:bookmarkEnd w:id="7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6" w:name="_Toc140836354"/>
      <w:r w:rsidRPr="0026644D">
        <w:rPr>
          <w:rFonts w:asciiTheme="minorHAnsi" w:hAnsiTheme="minorHAnsi" w:cstheme="minorHAnsi"/>
          <w:sz w:val="22"/>
          <w:szCs w:val="22"/>
          <w:lang w:val="en"/>
        </w:rPr>
        <w:t>Procedure</w:t>
      </w:r>
      <w:bookmarkEnd w:id="7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7"/>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9" w:name="_Toc126923320"/>
      <w:bookmarkStart w:id="80" w:name="_Toc127876026"/>
      <w:bookmarkStart w:id="81" w:name="_Toc140836356"/>
      <w:bookmarkStart w:id="82" w:name="_Toc140836357"/>
      <w:bookmarkEnd w:id="78"/>
      <w:bookmarkEnd w:id="79"/>
      <w:bookmarkEnd w:id="80"/>
      <w:bookmarkEnd w:id="81"/>
      <w:r w:rsidRPr="0026644D">
        <w:rPr>
          <w:rFonts w:asciiTheme="minorHAnsi" w:hAnsiTheme="minorHAnsi"/>
          <w:b/>
          <w:bCs/>
          <w:caps/>
          <w:sz w:val="24"/>
          <w:u w:val="single"/>
          <w:lang w:val="en"/>
        </w:rPr>
        <w:t>ethics</w:t>
      </w:r>
      <w:bookmarkEnd w:id="82"/>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3" w:name="_Toc70411566"/>
      <w:bookmarkStart w:id="84" w:name="_Toc70411012"/>
      <w:bookmarkStart w:id="85" w:name="_Toc70410878"/>
      <w:bookmarkStart w:id="86" w:name="_Toc70411565"/>
      <w:bookmarkStart w:id="87" w:name="_Toc70411011"/>
      <w:bookmarkStart w:id="88" w:name="_Toc70410877"/>
      <w:bookmarkStart w:id="89" w:name="_Toc70411564"/>
      <w:bookmarkStart w:id="90" w:name="_Toc70411010"/>
      <w:bookmarkStart w:id="91" w:name="_Toc70410876"/>
      <w:bookmarkStart w:id="92" w:name="_Toc70411560"/>
      <w:bookmarkStart w:id="93" w:name="_Toc70411006"/>
      <w:bookmarkStart w:id="94" w:name="_Toc70410872"/>
      <w:bookmarkStart w:id="95" w:name="_Toc70411559"/>
      <w:bookmarkStart w:id="96" w:name="_Toc70411005"/>
      <w:bookmarkStart w:id="97" w:name="_Toc70410871"/>
      <w:bookmarkStart w:id="98" w:name="_Toc70411556"/>
      <w:bookmarkStart w:id="99" w:name="_Toc70411002"/>
      <w:bookmarkStart w:id="100" w:name="_Toc70410868"/>
      <w:bookmarkStart w:id="101" w:name="_Toc70411555"/>
      <w:bookmarkStart w:id="102" w:name="_Toc70411001"/>
      <w:bookmarkStart w:id="103" w:name="_Toc70410867"/>
      <w:bookmarkStart w:id="104" w:name="_Toc70411554"/>
      <w:bookmarkStart w:id="105" w:name="_Toc70411000"/>
      <w:bookmarkStart w:id="106" w:name="_Toc70410866"/>
      <w:bookmarkStart w:id="107" w:name="_Toc70411551"/>
      <w:bookmarkStart w:id="108" w:name="_Toc70410997"/>
      <w:bookmarkStart w:id="109" w:name="_Toc70410863"/>
      <w:bookmarkStart w:id="110" w:name="_Toc70411550"/>
      <w:bookmarkStart w:id="111" w:name="_Toc70410996"/>
      <w:bookmarkStart w:id="112" w:name="_Toc70410862"/>
      <w:bookmarkStart w:id="113" w:name="_Toc70411549"/>
      <w:bookmarkStart w:id="114" w:name="_Toc70410995"/>
      <w:bookmarkStart w:id="115" w:name="_Toc70410861"/>
      <w:bookmarkStart w:id="116" w:name="_Toc70411548"/>
      <w:bookmarkStart w:id="117" w:name="_Toc70410994"/>
      <w:bookmarkStart w:id="118" w:name="_Toc70410860"/>
      <w:bookmarkStart w:id="119" w:name="_Toc70411547"/>
      <w:bookmarkStart w:id="120" w:name="_Toc70410993"/>
      <w:bookmarkStart w:id="121" w:name="_Toc70410859"/>
      <w:bookmarkStart w:id="122" w:name="_Toc70411546"/>
      <w:bookmarkStart w:id="123" w:name="_Toc70410992"/>
      <w:bookmarkStart w:id="124" w:name="_Toc70410858"/>
      <w:bookmarkStart w:id="125" w:name="_Toc70411545"/>
      <w:bookmarkStart w:id="126" w:name="_Toc70410991"/>
      <w:bookmarkStart w:id="127" w:name="_Toc70410857"/>
      <w:bookmarkStart w:id="128" w:name="_Toc140836358"/>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80375E">
        <w:rPr>
          <w:rFonts w:asciiTheme="minorHAnsi" w:hAnsiTheme="minorHAnsi"/>
          <w:b/>
          <w:bCs/>
          <w:caps/>
          <w:sz w:val="24"/>
          <w:u w:val="single"/>
          <w:lang w:val="en"/>
        </w:rPr>
        <w:t>Administration of personal data</w:t>
      </w:r>
      <w:bookmarkEnd w:id="128"/>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w:t>
      </w:r>
      <w:r w:rsidRPr="0080375E">
        <w:rPr>
          <w:rFonts w:asciiTheme="minorHAnsi" w:eastAsia="Times New Roman" w:hAnsiTheme="minorHAnsi" w:cs="Arial"/>
          <w:sz w:val="22"/>
          <w:lang w:val="en"/>
        </w:rPr>
        <w:lastRenderedPageBreak/>
        <w:t xml:space="preserve">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C80DC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C80DC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C80DC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C80DC1">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9"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40836359"/>
      <w:bookmarkEnd w:id="129"/>
      <w:r w:rsidRPr="00025DBE">
        <w:rPr>
          <w:rFonts w:asciiTheme="minorHAnsi" w:hAnsiTheme="minorHAnsi"/>
          <w:b/>
          <w:bCs/>
          <w:caps/>
          <w:sz w:val="24"/>
          <w:u w:val="single"/>
          <w:lang w:val="en"/>
        </w:rPr>
        <w:t>Dispute resolution - applicable law</w:t>
      </w:r>
      <w:bookmarkEnd w:id="130"/>
    </w:p>
    <w:p w14:paraId="5AED24B8" w14:textId="77777777" w:rsidR="002A19B9" w:rsidRPr="00025DBE" w:rsidRDefault="002A19B9" w:rsidP="00A1761D">
      <w:pPr>
        <w:pStyle w:val="u"/>
        <w:widowControl w:val="0"/>
        <w:numPr>
          <w:ilvl w:val="12"/>
          <w:numId w:val="0"/>
        </w:numPr>
        <w:spacing w:before="120"/>
        <w:ind w:left="561"/>
        <w:rPr>
          <w:rFonts w:asciiTheme="minorHAnsi" w:hAnsiTheme="minorHAnsi" w:cs="Arial"/>
          <w:lang w:val="en-GB"/>
        </w:rPr>
      </w:pPr>
      <w:r w:rsidRPr="00025DBE">
        <w:rPr>
          <w:rFonts w:asciiTheme="minorHAnsi" w:hAnsiTheme="minorHAnsi" w:cs="Arial"/>
          <w:lang w:val="en"/>
        </w:rPr>
        <w:t xml:space="preserve">Any dispute between the </w:t>
      </w:r>
      <w:r w:rsidRPr="00025DBE">
        <w:rPr>
          <w:rFonts w:asciiTheme="minorHAnsi" w:hAnsiTheme="minorHAnsi" w:cs="Arial"/>
          <w:smallCaps/>
          <w:lang w:val="en"/>
        </w:rPr>
        <w:t>parties</w:t>
      </w:r>
      <w:r w:rsidRPr="00025DBE">
        <w:rPr>
          <w:rFonts w:asciiTheme="minorHAnsi" w:hAnsiTheme="minorHAnsi" w:cs="Arial"/>
          <w:lang w:val="en"/>
        </w:rPr>
        <w:t xml:space="preserve"> regarding the existence, validity, interpretation, execution or termination of the </w:t>
      </w:r>
      <w:r w:rsidRPr="00025DBE">
        <w:rPr>
          <w:rFonts w:asciiTheme="minorHAnsi" w:hAnsiTheme="minorHAnsi" w:cs="Arial"/>
          <w:smallCaps/>
          <w:lang w:val="en"/>
        </w:rPr>
        <w:t xml:space="preserve">Contract </w:t>
      </w:r>
      <w:r w:rsidRPr="00025DBE">
        <w:rPr>
          <w:rFonts w:asciiTheme="minorHAnsi" w:hAnsiTheme="minorHAnsi" w:cs="Arial"/>
          <w:lang w:val="en"/>
        </w:rPr>
        <w:t xml:space="preserve">(or any of its clauses), which the </w:t>
      </w:r>
      <w:r w:rsidRPr="00025DBE">
        <w:rPr>
          <w:rFonts w:asciiTheme="minorHAnsi" w:hAnsiTheme="minorHAnsi" w:cs="Arial"/>
          <w:smallCaps/>
          <w:lang w:val="en"/>
        </w:rPr>
        <w:t>Parties</w:t>
      </w:r>
      <w:r w:rsidRPr="00025DBE">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lang w:val="en"/>
        </w:rPr>
      </w:pPr>
      <w:r w:rsidRPr="00025DBE">
        <w:rPr>
          <w:rFonts w:asciiTheme="minorHAnsi" w:hAnsiTheme="minorHAnsi" w:cs="Arial"/>
          <w:lang w:val="en"/>
        </w:rPr>
        <w:t xml:space="preserve">The </w:t>
      </w:r>
      <w:r w:rsidRPr="00025DBE">
        <w:rPr>
          <w:rFonts w:asciiTheme="minorHAnsi" w:hAnsiTheme="minorHAnsi" w:cs="Arial"/>
          <w:smallCaps/>
          <w:lang w:val="en"/>
        </w:rPr>
        <w:t xml:space="preserve">Contract </w:t>
      </w:r>
      <w:r w:rsidRPr="00025DBE">
        <w:rPr>
          <w:rFonts w:asciiTheme="minorHAnsi" w:hAnsiTheme="minorHAnsi" w:cs="Arial"/>
          <w:lang w:val="en"/>
        </w:rPr>
        <w:t>shall be governed by French law alone.</w:t>
      </w:r>
    </w:p>
    <w:p w14:paraId="6A86000F" w14:textId="77777777" w:rsidR="009E4891" w:rsidRPr="00F13E6E" w:rsidRDefault="009E4891"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40836361"/>
      <w:bookmarkEnd w:id="131"/>
      <w:bookmarkEnd w:id="132"/>
      <w:bookmarkEnd w:id="133"/>
      <w:r w:rsidRPr="00D31A4D">
        <w:rPr>
          <w:rFonts w:asciiTheme="minorHAnsi" w:hAnsiTheme="minorHAnsi"/>
          <w:b/>
          <w:bCs/>
          <w:caps/>
          <w:sz w:val="24"/>
          <w:u w:val="single"/>
          <w:lang w:val="en"/>
        </w:rPr>
        <w:t>Derogation from the CCAG</w:t>
      </w:r>
      <w:bookmarkEnd w:id="13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C80DC1">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C80DC1">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5" w:name="_Toc140836362"/>
      <w:r w:rsidRPr="00F13E6E">
        <w:rPr>
          <w:rFonts w:asciiTheme="minorHAnsi" w:hAnsiTheme="minorHAnsi"/>
          <w:b/>
          <w:bCs/>
          <w:caps/>
          <w:sz w:val="24"/>
          <w:u w:val="single"/>
          <w:lang w:val="en"/>
        </w:rPr>
        <w:t>AUDIT</w:t>
      </w:r>
      <w:bookmarkEnd w:id="135"/>
    </w:p>
    <w:p w14:paraId="17AFC1DB" w14:textId="77777777" w:rsidR="005862C9" w:rsidRPr="005862C9" w:rsidRDefault="005862C9" w:rsidP="005862C9">
      <w:pPr>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lastRenderedPageBreak/>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14:paraId="4CAC9FA3" w14:textId="77777777" w:rsidR="005862C9" w:rsidRPr="005862C9" w:rsidRDefault="005862C9" w:rsidP="005862C9">
      <w:pPr>
        <w:ind w:left="567"/>
        <w:rPr>
          <w:rFonts w:asciiTheme="minorHAnsi" w:eastAsia="Times New Roman" w:hAnsiTheme="minorHAnsi" w:cs="Arial"/>
          <w:sz w:val="22"/>
          <w:lang w:val="en"/>
        </w:rPr>
      </w:pPr>
    </w:p>
    <w:p w14:paraId="15750915" w14:textId="77777777" w:rsidR="005862C9" w:rsidRPr="005862C9" w:rsidRDefault="005862C9" w:rsidP="005862C9">
      <w:pPr>
        <w:snapToGrid w:val="0"/>
        <w:ind w:left="567"/>
        <w:jc w:val="both"/>
        <w:rPr>
          <w:rFonts w:asciiTheme="minorHAnsi" w:eastAsia="Times New Roman" w:hAnsiTheme="minorHAnsi" w:cstheme="minorHAnsi"/>
          <w:sz w:val="22"/>
          <w:szCs w:val="22"/>
          <w:lang w:val="en"/>
        </w:rPr>
      </w:pPr>
      <w:r w:rsidRPr="005862C9">
        <w:rPr>
          <w:rFonts w:asciiTheme="minorHAnsi" w:eastAsia="Times New Roman" w:hAnsiTheme="minorHAnsi" w:cs="Arial"/>
          <w:sz w:val="22"/>
          <w:lang w:val="en"/>
        </w:rPr>
        <w:t xml:space="preserve">The </w:t>
      </w:r>
      <w:r w:rsidRPr="005862C9">
        <w:rPr>
          <w:rFonts w:asciiTheme="minorHAnsi" w:eastAsia="Times New Roman" w:hAnsiTheme="minorHAnsi" w:cstheme="minorHAnsi"/>
          <w:sz w:val="22"/>
          <w:szCs w:val="22"/>
          <w:lang w:val="en"/>
        </w:rPr>
        <w:t>contractor therefore undertakes to:</w:t>
      </w:r>
    </w:p>
    <w:p w14:paraId="45EA2E70" w14:textId="77777777" w:rsidR="005862C9" w:rsidRPr="005862C9" w:rsidRDefault="005862C9" w:rsidP="00C80DC1">
      <w:pPr>
        <w:numPr>
          <w:ilvl w:val="0"/>
          <w:numId w:val="2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allow Expertise France or the appointed entity, and facilitate their access to the information required to carry out the audits,</w:t>
      </w:r>
    </w:p>
    <w:p w14:paraId="4404674A" w14:textId="77777777" w:rsidR="005862C9" w:rsidRPr="005862C9" w:rsidRDefault="005862C9" w:rsidP="00C80DC1">
      <w:pPr>
        <w:numPr>
          <w:ilvl w:val="0"/>
          <w:numId w:val="2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submit documents relating to the performance of the present contract as well as any documents required by the auditors, </w:t>
      </w:r>
    </w:p>
    <w:p w14:paraId="77FB4B3C" w14:textId="77777777" w:rsidR="005862C9" w:rsidRPr="005862C9" w:rsidRDefault="005862C9" w:rsidP="00C80DC1">
      <w:pPr>
        <w:numPr>
          <w:ilvl w:val="0"/>
          <w:numId w:val="2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demonstrate transparency and respond to auditors' requests, </w:t>
      </w:r>
    </w:p>
    <w:p w14:paraId="7E823654" w14:textId="77777777" w:rsidR="005862C9" w:rsidRPr="005862C9" w:rsidRDefault="005862C9" w:rsidP="00C80DC1">
      <w:pPr>
        <w:numPr>
          <w:ilvl w:val="0"/>
          <w:numId w:val="2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implement any corrective measures that may be necessary.</w:t>
      </w:r>
    </w:p>
    <w:p w14:paraId="646B2654"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 xml:space="preserve">Expertise France will notify the contractor of the identity of the audit structure selected in the case of an external firm, the purpose of the assignment, the planned duration of the assignment and the names of the experts assigned. </w:t>
      </w:r>
    </w:p>
    <w:p w14:paraId="7DAA616B"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0C683E36"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of the audit report will be sent to each of the Parties by any means deemed appropriate by Expertise France.</w:t>
      </w:r>
    </w:p>
    <w:p w14:paraId="1627464E"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7BC0EA03" w14:textId="77777777" w:rsidR="005862C9" w:rsidRPr="005862C9" w:rsidRDefault="005862C9" w:rsidP="005862C9">
      <w:pPr>
        <w:snapToGrid w:val="0"/>
        <w:ind w:firstLine="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may prescribe the implementation of actions and a deadline for completion.</w:t>
      </w:r>
    </w:p>
    <w:p w14:paraId="32DE6077"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1EE8EFFB" w14:textId="182773F3" w:rsidR="00936414" w:rsidRPr="00FE38D0" w:rsidRDefault="005862C9" w:rsidP="005862C9">
      <w:pPr>
        <w:ind w:left="567"/>
        <w:jc w:val="both"/>
        <w:rPr>
          <w:rFonts w:cstheme="minorHAnsi"/>
          <w:szCs w:val="22"/>
          <w:lang w:val="en-GB"/>
        </w:rPr>
      </w:pPr>
      <w:r w:rsidRPr="005862C9">
        <w:rPr>
          <w:rFonts w:asciiTheme="minorHAnsi" w:eastAsia="Times New Roman" w:hAnsiTheme="minorHAnsi" w:cs="Arial"/>
          <w:sz w:val="22"/>
          <w:lang w:val="en"/>
        </w:rPr>
        <w:t>Any refusal by the contractor to comply with the audit exercises and/or their conclusions gives as of right to Expertise France the possibility to terminate the present contract without compensation</w:t>
      </w:r>
      <w:r>
        <w:rPr>
          <w:color w:val="FF0000"/>
          <w:lang w:val="en-GB"/>
        </w:rPr>
        <w:t>.</w:t>
      </w:r>
      <w:r w:rsidR="001572C1">
        <w:rPr>
          <w:rFonts w:ascii="Calibri" w:hAnsi="Calibri"/>
          <w:sz w:val="22"/>
          <w:lang w:val="en"/>
        </w:rPr>
        <w:t>.</w:t>
      </w:r>
    </w:p>
    <w:p w14:paraId="4C8C8C48" w14:textId="77777777" w:rsidR="00CE4511" w:rsidRPr="00D31A4D" w:rsidRDefault="00CE4511" w:rsidP="00C80DC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6" w:name="_Toc140836363"/>
      <w:r w:rsidRPr="00D31A4D">
        <w:rPr>
          <w:rFonts w:asciiTheme="minorHAnsi" w:hAnsiTheme="minorHAnsi"/>
          <w:b/>
          <w:bCs/>
          <w:caps/>
          <w:sz w:val="24"/>
          <w:u w:val="single"/>
          <w:lang w:val="en"/>
        </w:rPr>
        <w:t>Final provisions</w:t>
      </w:r>
      <w:bookmarkEnd w:id="13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7" w:name="_Toc392669654"/>
      <w:bookmarkStart w:id="138" w:name="_Toc140836364"/>
      <w:r w:rsidRPr="00D31A4D">
        <w:rPr>
          <w:rFonts w:asciiTheme="minorHAnsi" w:hAnsiTheme="minorHAnsi"/>
          <w:sz w:val="22"/>
          <w:szCs w:val="22"/>
          <w:lang w:val="en"/>
        </w:rPr>
        <w:t>Declaration</w:t>
      </w:r>
      <w:bookmarkEnd w:id="137"/>
      <w:bookmarkEnd w:id="13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C80DC1">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C80DC1">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C80DC1">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C80DC1">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lastRenderedPageBreak/>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C80DC1">
      <w:pPr>
        <w:pStyle w:val="Paragraphedeliste"/>
        <w:numPr>
          <w:ilvl w:val="0"/>
          <w:numId w:val="17"/>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C80DC1">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C80DC1">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C80DC1">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C80DC1">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C80DC1">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C80DC1">
      <w:pPr>
        <w:pStyle w:val="En-tte"/>
        <w:numPr>
          <w:ilvl w:val="0"/>
          <w:numId w:val="19"/>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C80DC1">
      <w:pPr>
        <w:pStyle w:val="En-tte"/>
        <w:numPr>
          <w:ilvl w:val="0"/>
          <w:numId w:val="18"/>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D96423"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1"/>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62C1376D" w14:textId="2F8A10D4"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48BD9E01"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39" w:name="_Toc140836365"/>
      <w:r>
        <w:rPr>
          <w:rFonts w:asciiTheme="minorHAnsi" w:hAnsiTheme="minorHAnsi"/>
          <w:b/>
          <w:bCs/>
          <w:caps/>
          <w:sz w:val="24"/>
          <w:lang w:val="en"/>
        </w:rPr>
        <w:t>Annex 1: Specifications</w:t>
      </w:r>
      <w:bookmarkEnd w:id="139"/>
    </w:p>
    <w:p w14:paraId="2D637A22" w14:textId="7B8629BF"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64FC8915" w14:textId="5D9B9DAD"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35FCD801" w14:textId="1D7D7D50"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723D1531" w14:textId="6771E0DC"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16CC48D7" w14:textId="3D9291AA"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3AEB05EB" w14:textId="3A78F28C"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4CFDBD59" w14:textId="286D7220"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09BFF0E6" w14:textId="6B13072C"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54070810" w14:textId="6D1FA4AE"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71FDA3AA" w14:textId="39D9CDF5"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73BEFD8D" w14:textId="33311273"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7C9DA3A9" w14:textId="7F4EBC4E"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0A9B0349" w14:textId="0F27E911"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0924DD2A" w14:textId="4A2F2DBD"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r>
        <w:rPr>
          <w:rFonts w:asciiTheme="minorHAnsi" w:hAnsiTheme="minorHAnsi"/>
          <w:b/>
          <w:bCs/>
          <w:caps/>
          <w:sz w:val="24"/>
          <w:lang w:val="en"/>
        </w:rPr>
        <w:lastRenderedPageBreak/>
        <w:t xml:space="preserve">ANNEXE 2 : </w:t>
      </w:r>
      <w:r w:rsidRPr="003C3D2C">
        <w:rPr>
          <w:rFonts w:asciiTheme="minorHAnsi" w:hAnsiTheme="minorHAnsi"/>
          <w:b/>
          <w:caps/>
          <w:sz w:val="24"/>
        </w:rPr>
        <w:t>Global and Lump-Sum Breakdown of the Price</w:t>
      </w:r>
    </w:p>
    <w:p w14:paraId="108BC360" w14:textId="0312FA62"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bookmarkStart w:id="140" w:name="_GoBack"/>
      <w:bookmarkEnd w:id="140"/>
    </w:p>
    <w:p w14:paraId="0A1C36BB" w14:textId="665ED43E"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5F013B3E" w14:textId="77667375" w:rsidR="009E5ECF" w:rsidRDefault="009E5ECF" w:rsidP="00436E95">
      <w:pPr>
        <w:pStyle w:val="v"/>
        <w:widowControl w:val="0"/>
        <w:spacing w:before="600" w:after="240"/>
        <w:ind w:left="357" w:firstLine="0"/>
        <w:jc w:val="left"/>
        <w:outlineLvl w:val="0"/>
        <w:rPr>
          <w:rFonts w:asciiTheme="minorHAnsi" w:hAnsiTheme="minorHAnsi"/>
          <w:b/>
          <w:bCs/>
          <w:caps/>
          <w:sz w:val="24"/>
          <w:lang w:val="en"/>
        </w:rPr>
      </w:pPr>
    </w:p>
    <w:p w14:paraId="30684C1C" w14:textId="77777777" w:rsidR="009E5ECF" w:rsidRPr="00436E95" w:rsidRDefault="009E5ECF" w:rsidP="00436E95">
      <w:pPr>
        <w:pStyle w:val="v"/>
        <w:widowControl w:val="0"/>
        <w:spacing w:before="600" w:after="240"/>
        <w:ind w:left="357" w:firstLine="0"/>
        <w:jc w:val="left"/>
        <w:outlineLvl w:val="0"/>
        <w:rPr>
          <w:rFonts w:asciiTheme="minorHAnsi" w:hAnsiTheme="minorHAnsi"/>
          <w:b/>
          <w:caps/>
          <w:sz w:val="24"/>
        </w:rPr>
      </w:pPr>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Vincent LECOMTE" w:date="2016-10-03T10:55:00Z" w:initials="VL">
    <w:p w14:paraId="44308996" w14:textId="77777777" w:rsidR="00D96423" w:rsidRPr="00D3526A" w:rsidRDefault="00D96423" w:rsidP="00DE1070">
      <w:pPr>
        <w:pStyle w:val="Commentaire"/>
        <w:rPr>
          <w:u w:val="single"/>
        </w:rPr>
      </w:pPr>
      <w:r>
        <w:rPr>
          <w:u w:val="single"/>
        </w:rPr>
        <w:t>INFO</w:t>
      </w:r>
    </w:p>
    <w:p w14:paraId="151B289F" w14:textId="77777777" w:rsidR="00D96423" w:rsidRDefault="00D96423" w:rsidP="00DE1070">
      <w:pPr>
        <w:pStyle w:val="Commentaire"/>
      </w:pPr>
      <w:r>
        <w:t>Indiquer ici le nom de la 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53F8FE09" w14:textId="77777777" w:rsidR="00D96423" w:rsidRDefault="00D96423" w:rsidP="003115EA">
      <w:pPr>
        <w:pStyle w:val="Commentaire"/>
        <w:rPr>
          <w:smallCaps/>
        </w:rPr>
      </w:pPr>
      <w:r>
        <w:t xml:space="preserve">A RENSEIGNER PAR LE </w:t>
      </w:r>
      <w:r>
        <w:rPr>
          <w:smallCaps/>
        </w:rPr>
        <w:t>CONTRACTANT</w:t>
      </w:r>
    </w:p>
    <w:p w14:paraId="12367D02" w14:textId="77777777" w:rsidR="00D96423" w:rsidRDefault="00D96423" w:rsidP="003115EA">
      <w:pPr>
        <w:pStyle w:val="Commentaire"/>
        <w:rPr>
          <w:smallCaps/>
        </w:rPr>
      </w:pPr>
    </w:p>
    <w:p w14:paraId="4F66721E" w14:textId="77777777" w:rsidR="00D96423" w:rsidRPr="000463BA" w:rsidRDefault="00D96423" w:rsidP="003115EA">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1B289F" w15:done="0"/>
  <w15:commentEx w15:paraId="4F6672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23F47" w14:textId="77777777" w:rsidR="00C80DC1" w:rsidRDefault="00C80DC1">
      <w:r>
        <w:separator/>
      </w:r>
    </w:p>
  </w:endnote>
  <w:endnote w:type="continuationSeparator" w:id="0">
    <w:p w14:paraId="7797C8D1" w14:textId="77777777" w:rsidR="00C80DC1" w:rsidRDefault="00C8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D96423" w:rsidRPr="00EE0FDD" w:rsidRDefault="00D96423"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08160746" w:rsidR="00D96423" w:rsidRPr="00263FD0" w:rsidRDefault="00D96423"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00189">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00189">
              <w:rPr>
                <w:rFonts w:asciiTheme="minorHAnsi" w:hAnsiTheme="minorHAnsi"/>
                <w:noProof/>
                <w:sz w:val="22"/>
                <w:szCs w:val="22"/>
                <w:lang w:val="en"/>
              </w:rPr>
              <w:t>23</w:t>
            </w:r>
            <w:r>
              <w:rPr>
                <w:rFonts w:asciiTheme="minorHAnsi" w:hAnsiTheme="minorHAnsi"/>
                <w:sz w:val="22"/>
                <w:szCs w:val="22"/>
                <w:lang w:val="en"/>
              </w:rPr>
              <w:fldChar w:fldCharType="end"/>
            </w:r>
          </w:p>
        </w:sdtContent>
      </w:sdt>
      <w:p w14:paraId="7D12BE79" w14:textId="7F3D7026" w:rsidR="00D96423" w:rsidRPr="00FF1F8E" w:rsidRDefault="00D96423"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D96423" w:rsidRPr="00EE0FDD" w:rsidRDefault="00D96423"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20AD1380" w:rsidR="00D96423" w:rsidRPr="00263FD0" w:rsidRDefault="00D96423"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E5EC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E5ECF">
                  <w:rPr>
                    <w:rFonts w:asciiTheme="minorHAnsi" w:hAnsiTheme="minorHAnsi"/>
                    <w:noProof/>
                    <w:sz w:val="22"/>
                    <w:szCs w:val="22"/>
                    <w:lang w:val="en"/>
                  </w:rPr>
                  <w:t>23</w:t>
                </w:r>
                <w:r>
                  <w:rPr>
                    <w:rFonts w:asciiTheme="minorHAnsi" w:hAnsiTheme="minorHAnsi"/>
                    <w:sz w:val="22"/>
                    <w:szCs w:val="22"/>
                    <w:lang w:val="en"/>
                  </w:rPr>
                  <w:fldChar w:fldCharType="end"/>
                </w:r>
              </w:p>
              <w:p w14:paraId="3FBAA432" w14:textId="727D6203" w:rsidR="00D96423" w:rsidRPr="0036169C" w:rsidRDefault="00D9642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14:paraId="1A26881B" w14:textId="11CBACA4" w:rsidR="00D96423" w:rsidRDefault="00D9642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D96423" w:rsidRPr="0036169C" w:rsidRDefault="00D9642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D96423" w:rsidRDefault="00D96423">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3C22E" w14:textId="77777777" w:rsidR="00C80DC1" w:rsidRDefault="00C80DC1">
      <w:r>
        <w:separator/>
      </w:r>
    </w:p>
  </w:footnote>
  <w:footnote w:type="continuationSeparator" w:id="0">
    <w:p w14:paraId="194D4D14" w14:textId="77777777" w:rsidR="00C80DC1" w:rsidRDefault="00C80DC1">
      <w:r>
        <w:continuationSeparator/>
      </w:r>
    </w:p>
  </w:footnote>
  <w:footnote w:id="1">
    <w:p w14:paraId="55132C3A" w14:textId="77777777" w:rsidR="00D96423" w:rsidRDefault="00D96423"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5B9481D0" w14:textId="77777777" w:rsidR="00D96423" w:rsidRDefault="00D96423"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D96423" w:rsidRDefault="00D96423"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D96423" w:rsidRDefault="00D96423">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D96423" w:rsidRDefault="00D96423"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D96423" w:rsidRDefault="00D9642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D96423" w:rsidRPr="00707B69" w:rsidRDefault="00D96423"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D96423" w:rsidRPr="00AC48DD" w:rsidRDefault="00D9642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D96423" w:rsidRPr="00F13E6E" w:rsidRDefault="00D96423"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D96423" w:rsidRPr="00AC48DD" w:rsidRDefault="00D9642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D96423" w:rsidRPr="00707B69" w:rsidRDefault="00D96423"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D96423" w:rsidRPr="00AC48DD" w:rsidRDefault="00D96423"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D96423" w:rsidRDefault="00D96423"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D96423" w:rsidRPr="00AC48DD" w:rsidRDefault="00D9642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D96423" w:rsidRPr="00707B69" w:rsidRDefault="00D96423"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D96423" w:rsidRPr="00AC48DD" w:rsidRDefault="00D96423"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D96423" w:rsidRDefault="00D96423"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D96423" w:rsidRPr="00996FEA" w:rsidRDefault="00D96423"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75B5AF7"/>
    <w:multiLevelType w:val="hybridMultilevel"/>
    <w:tmpl w:val="414A017C"/>
    <w:lvl w:ilvl="0" w:tplc="31D29658">
      <w:start w:val="1"/>
      <w:numFmt w:val="decimal"/>
      <w:lvlText w:val="%1."/>
      <w:lvlJc w:val="left"/>
      <w:pPr>
        <w:ind w:left="720" w:hanging="360"/>
      </w:pPr>
      <w:rPr>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B861FB8"/>
    <w:multiLevelType w:val="hybridMultilevel"/>
    <w:tmpl w:val="E8B6301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6A369B"/>
    <w:multiLevelType w:val="hybridMultilevel"/>
    <w:tmpl w:val="2794DEA8"/>
    <w:lvl w:ilvl="0" w:tplc="040C000F">
      <w:start w:val="1"/>
      <w:numFmt w:val="decimal"/>
      <w:lvlText w:val="%1."/>
      <w:lvlJc w:val="left"/>
      <w:pPr>
        <w:ind w:left="1281" w:hanging="360"/>
      </w:pPr>
      <w:rPr>
        <w:rFonts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21"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18"/>
  </w:num>
  <w:num w:numId="4">
    <w:abstractNumId w:val="3"/>
  </w:num>
  <w:num w:numId="5">
    <w:abstractNumId w:val="14"/>
  </w:num>
  <w:num w:numId="6">
    <w:abstractNumId w:val="7"/>
  </w:num>
  <w:num w:numId="7">
    <w:abstractNumId w:val="10"/>
  </w:num>
  <w:num w:numId="8">
    <w:abstractNumId w:val="12"/>
  </w:num>
  <w:num w:numId="9">
    <w:abstractNumId w:val="6"/>
  </w:num>
  <w:num w:numId="10">
    <w:abstractNumId w:val="22"/>
  </w:num>
  <w:num w:numId="11">
    <w:abstractNumId w:val="15"/>
  </w:num>
  <w:num w:numId="12">
    <w:abstractNumId w:val="5"/>
  </w:num>
  <w:num w:numId="13">
    <w:abstractNumId w:val="19"/>
  </w:num>
  <w:num w:numId="14">
    <w:abstractNumId w:val="16"/>
  </w:num>
  <w:num w:numId="15">
    <w:abstractNumId w:val="13"/>
  </w:num>
  <w:num w:numId="16">
    <w:abstractNumId w:val="11"/>
  </w:num>
  <w:num w:numId="17">
    <w:abstractNumId w:val="23"/>
  </w:num>
  <w:num w:numId="18">
    <w:abstractNumId w:val="21"/>
  </w:num>
  <w:num w:numId="19">
    <w:abstractNumId w:val="8"/>
  </w:num>
  <w:num w:numId="20">
    <w:abstractNumId w:val="21"/>
  </w:num>
  <w:num w:numId="21">
    <w:abstractNumId w:val="9"/>
  </w:num>
  <w:num w:numId="22">
    <w:abstractNumId w:val="24"/>
  </w:num>
  <w:num w:numId="23">
    <w:abstractNumId w:val="2"/>
  </w:num>
  <w:num w:numId="24">
    <w:abstractNumId w:val="17"/>
  </w:num>
  <w:num w:numId="25">
    <w:abstractNumId w:val="20"/>
  </w:num>
  <w:numIdMacAtCleanup w:val="2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0005"/>
    <w:rsid w:val="00020E02"/>
    <w:rsid w:val="000243D6"/>
    <w:rsid w:val="00024709"/>
    <w:rsid w:val="00025DBE"/>
    <w:rsid w:val="00031F69"/>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4A75"/>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67964"/>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52D4"/>
    <w:rsid w:val="007476F1"/>
    <w:rsid w:val="00747CC5"/>
    <w:rsid w:val="00750307"/>
    <w:rsid w:val="00752055"/>
    <w:rsid w:val="007563BB"/>
    <w:rsid w:val="0076291C"/>
    <w:rsid w:val="00765047"/>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0189"/>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5ECF"/>
    <w:rsid w:val="009E79B2"/>
    <w:rsid w:val="009F3B5B"/>
    <w:rsid w:val="009F3ED9"/>
    <w:rsid w:val="009F49E3"/>
    <w:rsid w:val="00A0090D"/>
    <w:rsid w:val="00A0436E"/>
    <w:rsid w:val="00A04B43"/>
    <w:rsid w:val="00A0594E"/>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0DC1"/>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423"/>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3A40"/>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Grilledutableau2">
    <w:name w:val="Grille du tableau2"/>
    <w:basedOn w:val="TableauNormal"/>
    <w:next w:val="Grilledutableau"/>
    <w:rsid w:val="00D96423"/>
    <w:rPr>
      <w:rFonts w:ascii="Times New Roman" w:eastAsia="Times New Roman" w:hAnsi="Times New Roman"/>
      <w:lang w:val="en" w:eastAsia="en" w:bidi="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BA099-F159-47A4-880B-0AA72852F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23</Pages>
  <Words>7051</Words>
  <Characters>38784</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45744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Charlotte LAZERAS</cp:lastModifiedBy>
  <cp:revision>2</cp:revision>
  <cp:lastPrinted>2014-11-19T14:39:00Z</cp:lastPrinted>
  <dcterms:created xsi:type="dcterms:W3CDTF">2025-01-14T13:38:00Z</dcterms:created>
  <dcterms:modified xsi:type="dcterms:W3CDTF">2025-01-14T13:38:00Z</dcterms:modified>
</cp:coreProperties>
</file>