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4E5CA" w14:textId="29A5D4A5" w:rsidR="00E348C5" w:rsidRDefault="00362449" w:rsidP="00C2612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4"/>
          <w:szCs w:val="24"/>
        </w:rPr>
      </w:pPr>
      <w:r>
        <w:rPr>
          <w:b/>
          <w:sz w:val="28"/>
          <w:szCs w:val="28"/>
        </w:rPr>
        <w:t>Accord-cadre</w:t>
      </w:r>
      <w:r w:rsidR="00CC6340">
        <w:rPr>
          <w:b/>
          <w:sz w:val="28"/>
          <w:szCs w:val="28"/>
        </w:rPr>
        <w:t xml:space="preserve"> n°24-2756</w:t>
      </w:r>
    </w:p>
    <w:p w14:paraId="7C0AA650" w14:textId="77777777" w:rsidR="00E348C5" w:rsidRDefault="00E348C5" w:rsidP="00C2612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4"/>
          <w:szCs w:val="24"/>
        </w:rPr>
      </w:pPr>
    </w:p>
    <w:p w14:paraId="05627B9F" w14:textId="795C8633" w:rsidR="00355993" w:rsidRDefault="005004CB" w:rsidP="00C2612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4"/>
          <w:szCs w:val="24"/>
        </w:rPr>
      </w:pPr>
      <w:r w:rsidRPr="005004CB">
        <w:rPr>
          <w:rFonts w:ascii="Arial" w:hAnsi="Arial"/>
          <w:b/>
          <w:sz w:val="24"/>
          <w:szCs w:val="24"/>
        </w:rPr>
        <w:t>Acquisition et maintenance des matériels de nettoyage et stérilisation : thermo-désinfecteur, autoclave, soudeuse, bac à ultrasons.</w:t>
      </w:r>
    </w:p>
    <w:p w14:paraId="6AD5B707" w14:textId="256A92E7" w:rsidR="00B73355" w:rsidRPr="00E348C5" w:rsidRDefault="00B73355" w:rsidP="00E348C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b/>
          <w:sz w:val="28"/>
          <w:szCs w:val="28"/>
        </w:rPr>
      </w:pPr>
    </w:p>
    <w:p w14:paraId="23DB7311" w14:textId="3C32A2CF" w:rsidR="00B73355" w:rsidRPr="0034315B" w:rsidRDefault="008444B9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  <w:r w:rsidRPr="0034315B">
        <w:rPr>
          <w:b/>
          <w:sz w:val="28"/>
          <w:szCs w:val="28"/>
        </w:rPr>
        <w:t xml:space="preserve">CADRE </w:t>
      </w:r>
      <w:r w:rsidR="00C26128">
        <w:rPr>
          <w:b/>
          <w:sz w:val="28"/>
          <w:szCs w:val="28"/>
        </w:rPr>
        <w:t>DE REPONSE TECHNIQUE</w:t>
      </w:r>
    </w:p>
    <w:p w14:paraId="34DA1FD4" w14:textId="77777777" w:rsidR="001B2B49" w:rsidRPr="00B7335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2F03DAE3" w14:textId="55452298" w:rsidR="008444B9" w:rsidRPr="00AC3B74" w:rsidRDefault="008444B9" w:rsidP="00AC3B74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84D0745" w14:textId="1E1CCB0B" w:rsidR="00D765B4" w:rsidRPr="00AC3B74" w:rsidRDefault="00D765B4" w:rsidP="00AC3B74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1A62AD4" w14:textId="77777777" w:rsidR="00D765B4" w:rsidRPr="00AC3B74" w:rsidRDefault="00D765B4" w:rsidP="00AC3B74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41F10C42" w14:textId="77777777" w:rsidR="00C164D2" w:rsidRPr="00AC3B74" w:rsidRDefault="00C164D2" w:rsidP="00AC3B74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27B9A06" w14:textId="2FDD3B9F" w:rsidR="008444B9" w:rsidRDefault="00D765B4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D765B4">
        <w:rPr>
          <w:rFonts w:cs="Arial"/>
          <w:sz w:val="24"/>
          <w:szCs w:val="24"/>
        </w:rPr>
        <w:t xml:space="preserve">L’utilisation de ce cadre de réponse est </w:t>
      </w:r>
      <w:r w:rsidRPr="00D765B4">
        <w:rPr>
          <w:rFonts w:cs="Arial"/>
          <w:b/>
          <w:bCs/>
          <w:sz w:val="24"/>
          <w:szCs w:val="24"/>
        </w:rPr>
        <w:t>obligatoire</w:t>
      </w:r>
      <w:r w:rsidRPr="00D765B4">
        <w:rPr>
          <w:rFonts w:cs="Arial"/>
          <w:sz w:val="24"/>
          <w:szCs w:val="24"/>
        </w:rPr>
        <w:t>. La non remise de ce document sera éliminatoire.</w:t>
      </w:r>
    </w:p>
    <w:p w14:paraId="5E4CB0E3" w14:textId="3F2ACE74" w:rsidR="00D765B4" w:rsidRDefault="00D765B4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683F17BF" w14:textId="77777777" w:rsidR="00D765B4" w:rsidRPr="00C164D2" w:rsidRDefault="00D765B4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AD0922C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0E849275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EF34F46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Il servira de base à l’analyse des offres, chaque élément étant en relation avec un critère d’appréciation de l’offre. </w:t>
      </w:r>
    </w:p>
    <w:p w14:paraId="2734EFD2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34E11864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C164D2">
        <w:rPr>
          <w:rFonts w:cs="Arial"/>
          <w:b/>
          <w:sz w:val="24"/>
          <w:szCs w:val="24"/>
        </w:rPr>
        <w:t xml:space="preserve">Le cadre de réponse peut être étendu ou bien renvoyé à des annexes </w:t>
      </w:r>
      <w:r w:rsidR="00580B4B">
        <w:rPr>
          <w:rFonts w:cs="Arial"/>
          <w:b/>
          <w:sz w:val="24"/>
          <w:szCs w:val="24"/>
        </w:rPr>
        <w:t xml:space="preserve">(photos, planning, organigramme, qualifications, …) </w:t>
      </w:r>
      <w:r w:rsidRPr="00C164D2">
        <w:rPr>
          <w:rFonts w:cs="Arial"/>
          <w:b/>
          <w:sz w:val="24"/>
          <w:szCs w:val="24"/>
        </w:rPr>
        <w:t>clairement identifiées (par un numéro d’annexe, de page…).</w:t>
      </w:r>
    </w:p>
    <w:p w14:paraId="3A718AA5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30E0BF5F" w14:textId="77777777" w:rsid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Toute absence de réponse ou preuve non fournie sera considérée comme une réponse négative.</w:t>
      </w:r>
    </w:p>
    <w:p w14:paraId="391A7AC6" w14:textId="77777777" w:rsidR="00580B4B" w:rsidRDefault="00580B4B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32952276" w14:textId="77777777" w:rsidR="005F483D" w:rsidRPr="005F483D" w:rsidRDefault="00C164D2" w:rsidP="00C164D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tbl>
      <w:tblPr>
        <w:tblStyle w:val="Grilledutableau"/>
        <w:tblW w:w="10612" w:type="dxa"/>
        <w:jc w:val="center"/>
        <w:tblLook w:val="04A0" w:firstRow="1" w:lastRow="0" w:firstColumn="1" w:lastColumn="0" w:noHBand="0" w:noVBand="1"/>
      </w:tblPr>
      <w:tblGrid>
        <w:gridCol w:w="10612"/>
      </w:tblGrid>
      <w:tr w:rsidR="003E6A9E" w14:paraId="284E44F9" w14:textId="77777777" w:rsidTr="005D2580">
        <w:trPr>
          <w:trHeight w:val="891"/>
          <w:jc w:val="center"/>
        </w:trPr>
        <w:tc>
          <w:tcPr>
            <w:tcW w:w="10612" w:type="dxa"/>
            <w:shd w:val="clear" w:color="auto" w:fill="C6D9F1" w:themeFill="text2" w:themeFillTint="33"/>
            <w:vAlign w:val="center"/>
          </w:tcPr>
          <w:p w14:paraId="1E57DE37" w14:textId="77777777" w:rsidR="003E6A9E" w:rsidRPr="00FB467C" w:rsidRDefault="003E6A9E" w:rsidP="003E6A9E">
            <w:pPr>
              <w:jc w:val="center"/>
              <w:rPr>
                <w:b/>
                <w:sz w:val="26"/>
                <w:szCs w:val="26"/>
              </w:rPr>
            </w:pPr>
            <w:r w:rsidRPr="00FB467C">
              <w:rPr>
                <w:b/>
                <w:sz w:val="26"/>
                <w:szCs w:val="26"/>
              </w:rPr>
              <w:lastRenderedPageBreak/>
              <w:t>REPONSE DU CANDIDAT</w:t>
            </w:r>
          </w:p>
          <w:p w14:paraId="60BF5C8C" w14:textId="1559F1FE" w:rsidR="003E6A9E" w:rsidRDefault="003E6A9E" w:rsidP="00D765B4">
            <w:pPr>
              <w:jc w:val="center"/>
              <w:rPr>
                <w:b/>
              </w:rPr>
            </w:pPr>
            <w:r w:rsidRPr="00D765B4">
              <w:rPr>
                <w:b/>
                <w:sz w:val="20"/>
                <w:szCs w:val="20"/>
              </w:rPr>
              <w:t>Compléter le document et le cas échéant indiquer précisément pour chaque élément à fournir,</w:t>
            </w:r>
            <w:r w:rsidR="00D765B4">
              <w:rPr>
                <w:b/>
                <w:sz w:val="20"/>
                <w:szCs w:val="20"/>
              </w:rPr>
              <w:t xml:space="preserve"> </w:t>
            </w:r>
            <w:r w:rsidRPr="00D765B4">
              <w:rPr>
                <w:b/>
                <w:sz w:val="20"/>
                <w:szCs w:val="20"/>
              </w:rPr>
              <w:t>le document de référence ainsi que la page de référence, fournir tout document permettant de valider vos réponses.</w:t>
            </w:r>
          </w:p>
        </w:tc>
      </w:tr>
      <w:tr w:rsidR="006D024D" w14:paraId="30C03463" w14:textId="77777777" w:rsidTr="005D2580">
        <w:trPr>
          <w:trHeight w:val="448"/>
          <w:jc w:val="center"/>
        </w:trPr>
        <w:tc>
          <w:tcPr>
            <w:tcW w:w="10612" w:type="dxa"/>
            <w:shd w:val="clear" w:color="auto" w:fill="C6D9F1" w:themeFill="text2" w:themeFillTint="33"/>
            <w:vAlign w:val="center"/>
          </w:tcPr>
          <w:p w14:paraId="35EF19DE" w14:textId="1C914E52" w:rsidR="004F19F4" w:rsidRDefault="00B65768" w:rsidP="00C261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</w:t>
            </w:r>
            <w:r w:rsidR="00A31EE4" w:rsidRPr="00A31EE4">
              <w:rPr>
                <w:b/>
                <w:sz w:val="24"/>
                <w:szCs w:val="24"/>
              </w:rPr>
              <w:t xml:space="preserve">Critère </w:t>
            </w:r>
            <w:r>
              <w:rPr>
                <w:b/>
                <w:sz w:val="24"/>
                <w:szCs w:val="24"/>
              </w:rPr>
              <w:t>1</w:t>
            </w:r>
            <w:r w:rsidR="00A31EE4">
              <w:rPr>
                <w:b/>
                <w:sz w:val="24"/>
                <w:szCs w:val="24"/>
              </w:rPr>
              <w:t xml:space="preserve"> : </w:t>
            </w:r>
            <w:r w:rsidR="00230460">
              <w:rPr>
                <w:b/>
                <w:sz w:val="24"/>
                <w:szCs w:val="24"/>
              </w:rPr>
              <w:t>Qualité technique</w:t>
            </w:r>
            <w:r w:rsidR="009B531E">
              <w:rPr>
                <w:b/>
                <w:sz w:val="24"/>
                <w:szCs w:val="24"/>
              </w:rPr>
              <w:t xml:space="preserve"> </w:t>
            </w:r>
            <w:r w:rsidR="00C26128">
              <w:rPr>
                <w:b/>
                <w:sz w:val="24"/>
                <w:szCs w:val="24"/>
              </w:rPr>
              <w:t>du produit (Fiches produits) – 25%</w:t>
            </w:r>
          </w:p>
        </w:tc>
      </w:tr>
      <w:tr w:rsidR="006D024D" w14:paraId="65C2A779" w14:textId="77777777" w:rsidTr="005D2580">
        <w:trPr>
          <w:trHeight w:val="895"/>
          <w:jc w:val="center"/>
        </w:trPr>
        <w:tc>
          <w:tcPr>
            <w:tcW w:w="10612" w:type="dxa"/>
          </w:tcPr>
          <w:p w14:paraId="6CD00DF3" w14:textId="1B515BB0" w:rsidR="00D765B4" w:rsidRDefault="00C26128" w:rsidP="001661E5">
            <w:pPr>
              <w:pStyle w:val="Paragraphedeliste"/>
              <w:numPr>
                <w:ilvl w:val="0"/>
                <w:numId w:val="10"/>
              </w:numPr>
              <w:spacing w:before="120"/>
              <w:rPr>
                <w:b/>
              </w:rPr>
            </w:pPr>
            <w:r w:rsidRPr="001661E5">
              <w:t xml:space="preserve">Pour ce sous-critère, </w:t>
            </w:r>
            <w:r w:rsidR="001943E9">
              <w:t>l</w:t>
            </w:r>
            <w:r w:rsidR="001661E5" w:rsidRPr="001661E5">
              <w:t>'analyse repose sur les informations fournies par le candidat dans les différentes « fiches produits ».</w:t>
            </w:r>
          </w:p>
          <w:p w14:paraId="095039B6" w14:textId="10281591" w:rsidR="00D765B4" w:rsidRPr="00D765B4" w:rsidRDefault="00D765B4" w:rsidP="00D765B4">
            <w:pPr>
              <w:pStyle w:val="Paragraphedeliste"/>
              <w:spacing w:before="120"/>
              <w:ind w:left="306"/>
              <w:rPr>
                <w:b/>
              </w:rPr>
            </w:pPr>
          </w:p>
        </w:tc>
      </w:tr>
      <w:tr w:rsidR="00E01DE8" w14:paraId="6B44C43D" w14:textId="77777777" w:rsidTr="005D2580">
        <w:trPr>
          <w:trHeight w:val="448"/>
          <w:jc w:val="center"/>
        </w:trPr>
        <w:tc>
          <w:tcPr>
            <w:tcW w:w="10612" w:type="dxa"/>
            <w:shd w:val="clear" w:color="auto" w:fill="C6D9F1" w:themeFill="text2" w:themeFillTint="33"/>
            <w:vAlign w:val="center"/>
          </w:tcPr>
          <w:p w14:paraId="403C7AEE" w14:textId="6E60BFEE" w:rsidR="004F19F4" w:rsidRPr="00FB467C" w:rsidRDefault="00B65768" w:rsidP="00C261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</w:t>
            </w:r>
            <w:r w:rsidRPr="00A31EE4">
              <w:rPr>
                <w:b/>
                <w:sz w:val="24"/>
                <w:szCs w:val="24"/>
              </w:rPr>
              <w:t xml:space="preserve">Critère </w:t>
            </w:r>
            <w:r w:rsidR="00355993">
              <w:rPr>
                <w:b/>
                <w:sz w:val="24"/>
                <w:szCs w:val="24"/>
              </w:rPr>
              <w:t>n°</w:t>
            </w:r>
            <w:r>
              <w:rPr>
                <w:b/>
                <w:sz w:val="24"/>
                <w:szCs w:val="24"/>
              </w:rPr>
              <w:t>2</w:t>
            </w:r>
            <w:r w:rsidR="00580B4B">
              <w:rPr>
                <w:b/>
                <w:sz w:val="24"/>
                <w:szCs w:val="24"/>
              </w:rPr>
              <w:t xml:space="preserve"> : </w:t>
            </w:r>
            <w:r w:rsidR="00C26128">
              <w:rPr>
                <w:b/>
                <w:sz w:val="24"/>
                <w:szCs w:val="24"/>
              </w:rPr>
              <w:t>Organisation de la maintenance – 25%</w:t>
            </w:r>
          </w:p>
        </w:tc>
      </w:tr>
      <w:tr w:rsidR="00E01DE8" w14:paraId="5893F21B" w14:textId="77777777" w:rsidTr="005D2580">
        <w:trPr>
          <w:trHeight w:val="895"/>
          <w:jc w:val="center"/>
        </w:trPr>
        <w:tc>
          <w:tcPr>
            <w:tcW w:w="10612" w:type="dxa"/>
          </w:tcPr>
          <w:p w14:paraId="57BE302C" w14:textId="13CD5B3D" w:rsidR="00D765B4" w:rsidRPr="001661E5" w:rsidRDefault="00C26128" w:rsidP="0043706C">
            <w:pPr>
              <w:pStyle w:val="Paragraphedeliste"/>
              <w:numPr>
                <w:ilvl w:val="0"/>
                <w:numId w:val="7"/>
              </w:numPr>
              <w:spacing w:before="120"/>
            </w:pPr>
            <w:r w:rsidRPr="001661E5">
              <w:t>Il</w:t>
            </w:r>
            <w:r w:rsidR="00C30C6B">
              <w:t xml:space="preserve"> est attendu une </w:t>
            </w:r>
            <w:r w:rsidRPr="001661E5">
              <w:t xml:space="preserve">description type d'une </w:t>
            </w:r>
            <w:r w:rsidR="0043706C" w:rsidRPr="001661E5">
              <w:t>maintenance</w:t>
            </w:r>
            <w:r w:rsidR="001661E5" w:rsidRPr="001661E5">
              <w:t xml:space="preserve"> curative (de la prise en charge jusqu’à la remise en ordre de marche)</w:t>
            </w:r>
            <w:r w:rsidRPr="001661E5">
              <w:t xml:space="preserve">, </w:t>
            </w:r>
            <w:r w:rsidR="001943E9">
              <w:t>les moyens mise en œuvre pour respecter les</w:t>
            </w:r>
            <w:r w:rsidRPr="001661E5">
              <w:t xml:space="preserve"> délais</w:t>
            </w:r>
            <w:r w:rsidR="004526DF" w:rsidRPr="001661E5">
              <w:t>,</w:t>
            </w:r>
            <w:r w:rsidRPr="001661E5">
              <w:t xml:space="preserve"> et </w:t>
            </w:r>
            <w:r w:rsidR="004526DF" w:rsidRPr="001661E5">
              <w:t>les dispositions concernant les équipements</w:t>
            </w:r>
            <w:r w:rsidRPr="001661E5">
              <w:t xml:space="preserve"> </w:t>
            </w:r>
            <w:r w:rsidR="004526DF" w:rsidRPr="001661E5">
              <w:t>à l’expiration de la</w:t>
            </w:r>
            <w:r w:rsidRPr="001661E5">
              <w:t xml:space="preserve"> période de garantie.</w:t>
            </w:r>
          </w:p>
          <w:p w14:paraId="71A3AEE0" w14:textId="0717E783" w:rsidR="00D765B4" w:rsidRDefault="00D765B4" w:rsidP="00D765B4">
            <w:pPr>
              <w:pStyle w:val="Paragraphedeliste"/>
              <w:spacing w:before="120"/>
              <w:ind w:left="306"/>
              <w:rPr>
                <w:b/>
              </w:rPr>
            </w:pPr>
          </w:p>
          <w:p w14:paraId="3B193B45" w14:textId="5203A620" w:rsidR="001661E5" w:rsidRDefault="001661E5" w:rsidP="00D765B4">
            <w:pPr>
              <w:pStyle w:val="Paragraphedeliste"/>
              <w:spacing w:before="120"/>
              <w:ind w:left="306"/>
              <w:rPr>
                <w:b/>
              </w:rPr>
            </w:pPr>
          </w:p>
          <w:p w14:paraId="7108EE37" w14:textId="69A2F39D" w:rsidR="001661E5" w:rsidRDefault="001661E5" w:rsidP="00D765B4">
            <w:pPr>
              <w:pStyle w:val="Paragraphedeliste"/>
              <w:spacing w:before="120"/>
              <w:ind w:left="306"/>
              <w:rPr>
                <w:b/>
              </w:rPr>
            </w:pPr>
            <w:bookmarkStart w:id="0" w:name="_GoBack"/>
            <w:bookmarkEnd w:id="0"/>
          </w:p>
          <w:p w14:paraId="2B68BC8E" w14:textId="2692806C" w:rsidR="001661E5" w:rsidRDefault="001661E5" w:rsidP="00D765B4">
            <w:pPr>
              <w:pStyle w:val="Paragraphedeliste"/>
              <w:spacing w:before="120"/>
              <w:ind w:left="306"/>
              <w:rPr>
                <w:b/>
              </w:rPr>
            </w:pPr>
          </w:p>
          <w:p w14:paraId="5D556854" w14:textId="77777777" w:rsidR="001661E5" w:rsidRDefault="001661E5" w:rsidP="00D765B4">
            <w:pPr>
              <w:pStyle w:val="Paragraphedeliste"/>
              <w:spacing w:before="120"/>
              <w:ind w:left="306"/>
              <w:rPr>
                <w:b/>
              </w:rPr>
            </w:pPr>
          </w:p>
          <w:p w14:paraId="32FAE593" w14:textId="77777777" w:rsidR="001661E5" w:rsidRPr="00D765B4" w:rsidRDefault="001661E5" w:rsidP="00D765B4">
            <w:pPr>
              <w:pStyle w:val="Paragraphedeliste"/>
              <w:spacing w:before="120"/>
              <w:ind w:left="306"/>
              <w:rPr>
                <w:b/>
              </w:rPr>
            </w:pPr>
          </w:p>
          <w:p w14:paraId="7540F8C1" w14:textId="022FEF6C" w:rsidR="00D765B4" w:rsidRPr="000D172B" w:rsidRDefault="00D765B4" w:rsidP="00D765B4">
            <w:pPr>
              <w:spacing w:before="120"/>
            </w:pPr>
          </w:p>
        </w:tc>
      </w:tr>
      <w:tr w:rsidR="00AC3B74" w:rsidRPr="000D172B" w14:paraId="7FFE76C3" w14:textId="77777777" w:rsidTr="00230460">
        <w:trPr>
          <w:trHeight w:val="428"/>
          <w:jc w:val="center"/>
        </w:trPr>
        <w:tc>
          <w:tcPr>
            <w:tcW w:w="10612" w:type="dxa"/>
            <w:shd w:val="clear" w:color="auto" w:fill="C6D9F1" w:themeFill="text2" w:themeFillTint="33"/>
            <w:vAlign w:val="center"/>
          </w:tcPr>
          <w:p w14:paraId="34FD99B5" w14:textId="4A62B039" w:rsidR="00AC3B74" w:rsidRDefault="00AC3B74" w:rsidP="00C26128">
            <w:pPr>
              <w:rPr>
                <w:b/>
                <w:sz w:val="24"/>
                <w:szCs w:val="24"/>
              </w:rPr>
            </w:pPr>
            <w:bookmarkStart w:id="1" w:name="_Hlk79056318"/>
            <w:r>
              <w:rPr>
                <w:b/>
                <w:sz w:val="24"/>
                <w:szCs w:val="24"/>
              </w:rPr>
              <w:t>Sous-</w:t>
            </w:r>
            <w:r w:rsidRPr="00A31EE4">
              <w:rPr>
                <w:b/>
                <w:sz w:val="24"/>
                <w:szCs w:val="24"/>
              </w:rPr>
              <w:t xml:space="preserve">Critère </w:t>
            </w:r>
            <w:r w:rsidR="00230460">
              <w:rPr>
                <w:b/>
                <w:sz w:val="24"/>
                <w:szCs w:val="24"/>
              </w:rPr>
              <w:t>n°3</w:t>
            </w:r>
            <w:r>
              <w:rPr>
                <w:b/>
                <w:sz w:val="24"/>
                <w:szCs w:val="24"/>
              </w:rPr>
              <w:t xml:space="preserve"> : </w:t>
            </w:r>
            <w:r w:rsidR="00C26128">
              <w:rPr>
                <w:b/>
                <w:sz w:val="24"/>
                <w:szCs w:val="24"/>
              </w:rPr>
              <w:t>Formation et assistance à l’utilisation – 10%</w:t>
            </w:r>
          </w:p>
        </w:tc>
      </w:tr>
      <w:tr w:rsidR="00AC3B74" w:rsidRPr="000D172B" w14:paraId="2711CD6A" w14:textId="77777777" w:rsidTr="00B25B75">
        <w:trPr>
          <w:trHeight w:val="895"/>
          <w:jc w:val="center"/>
        </w:trPr>
        <w:tc>
          <w:tcPr>
            <w:tcW w:w="10612" w:type="dxa"/>
          </w:tcPr>
          <w:p w14:paraId="73AE9B13" w14:textId="1FCA3889" w:rsidR="00AC3B74" w:rsidRPr="001661E5" w:rsidRDefault="0043706C" w:rsidP="00AC3B74">
            <w:pPr>
              <w:pStyle w:val="Paragraphedeliste"/>
              <w:numPr>
                <w:ilvl w:val="0"/>
                <w:numId w:val="7"/>
              </w:numPr>
            </w:pPr>
            <w:r w:rsidRPr="001661E5">
              <w:t>Description attendue sur l'accompagnement général proposé pour les utilisateurs lors de l'installation des équipements et durant l'exécution du marché.</w:t>
            </w:r>
          </w:p>
          <w:p w14:paraId="2BE7B258" w14:textId="7EA7B6F4" w:rsidR="0043706C" w:rsidRDefault="0043706C" w:rsidP="0043706C">
            <w:pPr>
              <w:pStyle w:val="Paragraphedeliste"/>
              <w:ind w:left="360"/>
              <w:rPr>
                <w:b/>
              </w:rPr>
            </w:pPr>
          </w:p>
          <w:p w14:paraId="03229BF7" w14:textId="78DB58EC" w:rsidR="001661E5" w:rsidRDefault="001661E5" w:rsidP="0043706C">
            <w:pPr>
              <w:pStyle w:val="Paragraphedeliste"/>
              <w:ind w:left="360"/>
              <w:rPr>
                <w:b/>
              </w:rPr>
            </w:pPr>
          </w:p>
          <w:p w14:paraId="11EF5B69" w14:textId="77777777" w:rsidR="001661E5" w:rsidRDefault="001661E5" w:rsidP="0043706C">
            <w:pPr>
              <w:pStyle w:val="Paragraphedeliste"/>
              <w:ind w:left="360"/>
              <w:rPr>
                <w:b/>
              </w:rPr>
            </w:pPr>
          </w:p>
          <w:p w14:paraId="3DBB8E49" w14:textId="30904817" w:rsidR="001661E5" w:rsidRDefault="001661E5" w:rsidP="0043706C">
            <w:pPr>
              <w:pStyle w:val="Paragraphedeliste"/>
              <w:ind w:left="360"/>
              <w:rPr>
                <w:b/>
              </w:rPr>
            </w:pPr>
          </w:p>
          <w:p w14:paraId="2A2A7193" w14:textId="77777777" w:rsidR="001661E5" w:rsidRDefault="001661E5" w:rsidP="0043706C">
            <w:pPr>
              <w:pStyle w:val="Paragraphedeliste"/>
              <w:ind w:left="360"/>
              <w:rPr>
                <w:b/>
              </w:rPr>
            </w:pPr>
          </w:p>
          <w:p w14:paraId="5E7CE7F4" w14:textId="77777777" w:rsidR="001661E5" w:rsidRDefault="001661E5" w:rsidP="0043706C">
            <w:pPr>
              <w:pStyle w:val="Paragraphedeliste"/>
              <w:ind w:left="360"/>
              <w:rPr>
                <w:b/>
              </w:rPr>
            </w:pPr>
          </w:p>
          <w:p w14:paraId="04FFEFE6" w14:textId="77777777" w:rsidR="001661E5" w:rsidRPr="0043706C" w:rsidRDefault="001661E5" w:rsidP="0043706C">
            <w:pPr>
              <w:pStyle w:val="Paragraphedeliste"/>
              <w:ind w:left="360"/>
              <w:rPr>
                <w:b/>
              </w:rPr>
            </w:pPr>
          </w:p>
          <w:p w14:paraId="7D865FB0" w14:textId="527079B8" w:rsidR="00AC3B74" w:rsidRPr="00D765B4" w:rsidRDefault="00AC3B74" w:rsidP="00AC3B74">
            <w:pPr>
              <w:rPr>
                <w:b/>
              </w:rPr>
            </w:pPr>
          </w:p>
        </w:tc>
      </w:tr>
      <w:bookmarkEnd w:id="1"/>
    </w:tbl>
    <w:p w14:paraId="3EBBE886" w14:textId="4FAA00FE" w:rsidR="001B2B49" w:rsidRPr="00C164D2" w:rsidRDefault="001B2B49" w:rsidP="002A7FFA">
      <w:pPr>
        <w:rPr>
          <w:b/>
          <w:sz w:val="24"/>
          <w:szCs w:val="24"/>
        </w:rPr>
      </w:pPr>
    </w:p>
    <w:sectPr w:rsidR="001B2B49" w:rsidRPr="00C164D2" w:rsidSect="00D765B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720" w:right="720" w:bottom="720" w:left="720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1CB34" w14:textId="77777777" w:rsidR="00866F06" w:rsidRDefault="00866F06" w:rsidP="0015043E">
      <w:pPr>
        <w:spacing w:after="0" w:line="240" w:lineRule="auto"/>
      </w:pPr>
      <w:r>
        <w:separator/>
      </w:r>
    </w:p>
  </w:endnote>
  <w:endnote w:type="continuationSeparator" w:id="0">
    <w:p w14:paraId="38F1D70D" w14:textId="77777777" w:rsidR="00866F06" w:rsidRDefault="00866F06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05C4B" w14:textId="1FB7C25B" w:rsidR="00AC3B74" w:rsidRDefault="00AC3B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64F2" w14:textId="222C7CAD" w:rsidR="00AC3B74" w:rsidRDefault="00AC3B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3B97" w14:textId="2813FF0E" w:rsidR="00AC3B74" w:rsidRDefault="00AC3B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74A72" w14:textId="77777777" w:rsidR="00866F06" w:rsidRDefault="00866F06" w:rsidP="0015043E">
      <w:pPr>
        <w:spacing w:after="0" w:line="240" w:lineRule="auto"/>
      </w:pPr>
      <w:r>
        <w:separator/>
      </w:r>
    </w:p>
  </w:footnote>
  <w:footnote w:type="continuationSeparator" w:id="0">
    <w:p w14:paraId="21FBA5F9" w14:textId="77777777" w:rsidR="00866F06" w:rsidRDefault="00866F06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65142" w14:textId="5AC524B1" w:rsidR="007A791B" w:rsidRDefault="00D765B4" w:rsidP="00D765B4">
    <w:pPr>
      <w:pStyle w:val="En-tte"/>
      <w:jc w:val="center"/>
    </w:pPr>
    <w:r>
      <w:rPr>
        <w:b/>
        <w:noProof/>
        <w:sz w:val="40"/>
        <w:szCs w:val="40"/>
        <w:lang w:eastAsia="fr-FR"/>
      </w:rPr>
      <w:drawing>
        <wp:anchor distT="0" distB="0" distL="114300" distR="114300" simplePos="0" relativeHeight="251659264" behindDoc="0" locked="0" layoutInCell="1" allowOverlap="1" wp14:anchorId="0E2BC723" wp14:editId="07044D38">
          <wp:simplePos x="0" y="0"/>
          <wp:positionH relativeFrom="column">
            <wp:posOffset>1447800</wp:posOffset>
          </wp:positionH>
          <wp:positionV relativeFrom="paragraph">
            <wp:posOffset>-581660</wp:posOffset>
          </wp:positionV>
          <wp:extent cx="2867025" cy="1068705"/>
          <wp:effectExtent l="0" t="0" r="0" b="0"/>
          <wp:wrapSquare wrapText="bothSides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0460E2" w14:textId="581D7364" w:rsidR="00D765B4" w:rsidRDefault="00D765B4" w:rsidP="00A31EE4">
    <w:pPr>
      <w:pStyle w:val="En-tte"/>
    </w:pPr>
  </w:p>
  <w:p w14:paraId="7CE09C0A" w14:textId="4FCF2E3B" w:rsidR="00D765B4" w:rsidRDefault="00D765B4" w:rsidP="00A31EE4">
    <w:pPr>
      <w:pStyle w:val="En-tte"/>
    </w:pPr>
  </w:p>
  <w:p w14:paraId="5A2D7E59" w14:textId="77777777" w:rsidR="00D765B4" w:rsidRDefault="00D765B4" w:rsidP="00A31EE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8739F"/>
    <w:multiLevelType w:val="hybridMultilevel"/>
    <w:tmpl w:val="D90C54B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E7AF2"/>
    <w:multiLevelType w:val="hybridMultilevel"/>
    <w:tmpl w:val="B97C54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240C2"/>
    <w:multiLevelType w:val="hybridMultilevel"/>
    <w:tmpl w:val="8E1C62C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B098A"/>
    <w:multiLevelType w:val="hybridMultilevel"/>
    <w:tmpl w:val="4C689FD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45B9F"/>
    <w:rsid w:val="00055352"/>
    <w:rsid w:val="00057AB6"/>
    <w:rsid w:val="000D172B"/>
    <w:rsid w:val="000D77B9"/>
    <w:rsid w:val="000E1B5D"/>
    <w:rsid w:val="000F7F6A"/>
    <w:rsid w:val="001314E5"/>
    <w:rsid w:val="00142C56"/>
    <w:rsid w:val="00147721"/>
    <w:rsid w:val="0015043E"/>
    <w:rsid w:val="00160630"/>
    <w:rsid w:val="001661E5"/>
    <w:rsid w:val="001943E9"/>
    <w:rsid w:val="001B2B49"/>
    <w:rsid w:val="00230460"/>
    <w:rsid w:val="0023586E"/>
    <w:rsid w:val="00245E31"/>
    <w:rsid w:val="002A70B8"/>
    <w:rsid w:val="002A7FFA"/>
    <w:rsid w:val="002C7070"/>
    <w:rsid w:val="002E20C7"/>
    <w:rsid w:val="003036C6"/>
    <w:rsid w:val="003213E4"/>
    <w:rsid w:val="0034315B"/>
    <w:rsid w:val="003475CD"/>
    <w:rsid w:val="00355993"/>
    <w:rsid w:val="00362449"/>
    <w:rsid w:val="003647C8"/>
    <w:rsid w:val="00376130"/>
    <w:rsid w:val="003864E2"/>
    <w:rsid w:val="003D55BD"/>
    <w:rsid w:val="003E4C3A"/>
    <w:rsid w:val="003E6A9E"/>
    <w:rsid w:val="003F6350"/>
    <w:rsid w:val="0043706C"/>
    <w:rsid w:val="004526DF"/>
    <w:rsid w:val="00463097"/>
    <w:rsid w:val="00496EE6"/>
    <w:rsid w:val="004D1710"/>
    <w:rsid w:val="004E0343"/>
    <w:rsid w:val="004F19F4"/>
    <w:rsid w:val="005004CB"/>
    <w:rsid w:val="005013A8"/>
    <w:rsid w:val="005215D8"/>
    <w:rsid w:val="0053674E"/>
    <w:rsid w:val="0055292F"/>
    <w:rsid w:val="00580B4B"/>
    <w:rsid w:val="005B47B1"/>
    <w:rsid w:val="005D2580"/>
    <w:rsid w:val="005F483D"/>
    <w:rsid w:val="005F5F04"/>
    <w:rsid w:val="006121A3"/>
    <w:rsid w:val="00666CE5"/>
    <w:rsid w:val="006757AD"/>
    <w:rsid w:val="006D024D"/>
    <w:rsid w:val="00731E32"/>
    <w:rsid w:val="00736646"/>
    <w:rsid w:val="00736F61"/>
    <w:rsid w:val="00741B6D"/>
    <w:rsid w:val="00767F71"/>
    <w:rsid w:val="00783FA2"/>
    <w:rsid w:val="00792EBE"/>
    <w:rsid w:val="0079552B"/>
    <w:rsid w:val="007A50E8"/>
    <w:rsid w:val="007A791B"/>
    <w:rsid w:val="007B257D"/>
    <w:rsid w:val="007E6EE9"/>
    <w:rsid w:val="007F5D55"/>
    <w:rsid w:val="00843280"/>
    <w:rsid w:val="008444B9"/>
    <w:rsid w:val="008568E1"/>
    <w:rsid w:val="00866F06"/>
    <w:rsid w:val="008E6E49"/>
    <w:rsid w:val="00906A7F"/>
    <w:rsid w:val="00913658"/>
    <w:rsid w:val="009409D7"/>
    <w:rsid w:val="00947077"/>
    <w:rsid w:val="009A248C"/>
    <w:rsid w:val="009A2E68"/>
    <w:rsid w:val="009B531E"/>
    <w:rsid w:val="00A31EE4"/>
    <w:rsid w:val="00A35FA9"/>
    <w:rsid w:val="00A4190D"/>
    <w:rsid w:val="00A436C5"/>
    <w:rsid w:val="00A84FC5"/>
    <w:rsid w:val="00AC3B74"/>
    <w:rsid w:val="00AC6C9B"/>
    <w:rsid w:val="00AD1DC4"/>
    <w:rsid w:val="00AD22F0"/>
    <w:rsid w:val="00AF7025"/>
    <w:rsid w:val="00B65768"/>
    <w:rsid w:val="00B73355"/>
    <w:rsid w:val="00C1431A"/>
    <w:rsid w:val="00C164D2"/>
    <w:rsid w:val="00C25B5B"/>
    <w:rsid w:val="00C260F8"/>
    <w:rsid w:val="00C26128"/>
    <w:rsid w:val="00C269CB"/>
    <w:rsid w:val="00C30C6B"/>
    <w:rsid w:val="00C41966"/>
    <w:rsid w:val="00C94575"/>
    <w:rsid w:val="00C95FF5"/>
    <w:rsid w:val="00CC6340"/>
    <w:rsid w:val="00D25847"/>
    <w:rsid w:val="00D321AE"/>
    <w:rsid w:val="00D41DCE"/>
    <w:rsid w:val="00D71BDC"/>
    <w:rsid w:val="00D765B4"/>
    <w:rsid w:val="00DF1E49"/>
    <w:rsid w:val="00DF793A"/>
    <w:rsid w:val="00E01DE8"/>
    <w:rsid w:val="00E1171E"/>
    <w:rsid w:val="00E348C5"/>
    <w:rsid w:val="00E74CF1"/>
    <w:rsid w:val="00EA109D"/>
    <w:rsid w:val="00EB3572"/>
    <w:rsid w:val="00ED7150"/>
    <w:rsid w:val="00EF7BC9"/>
    <w:rsid w:val="00F0723D"/>
    <w:rsid w:val="00F72920"/>
    <w:rsid w:val="00F8751F"/>
    <w:rsid w:val="00F9141F"/>
    <w:rsid w:val="00FA395C"/>
    <w:rsid w:val="00FB467C"/>
    <w:rsid w:val="00FD67AC"/>
    <w:rsid w:val="00FE15D6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D31FCCE"/>
  <w15:docId w15:val="{11CF1F2E-EC29-4CAD-922F-4EA2B559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031F-7C21-4F45-9AE8-D4526A9D5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VIALA GHISLAIN (CPAM RHONE)</cp:lastModifiedBy>
  <cp:revision>6</cp:revision>
  <cp:lastPrinted>2018-07-09T12:32:00Z</cp:lastPrinted>
  <dcterms:created xsi:type="dcterms:W3CDTF">2024-08-09T08:37:00Z</dcterms:created>
  <dcterms:modified xsi:type="dcterms:W3CDTF">2025-01-14T09:51:00Z</dcterms:modified>
</cp:coreProperties>
</file>