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Style w:val="TableNormal"/>
        <w:tblW w:w="0" w:type="auto"/>
        <w:tblInd w:w="43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2B5E2D" w14:paraId="051AE9E3" w14:textId="77777777" w:rsidTr="004F219B">
        <w:trPr>
          <w:trHeight w:val="340"/>
        </w:trPr>
        <w:tc>
          <w:tcPr>
            <w:tcW w:w="9357" w:type="dxa"/>
            <w:tcBorders>
              <w:bottom w:val="single" w:sz="2" w:space="0" w:color="000000"/>
            </w:tcBorders>
            <w:shd w:val="clear" w:color="auto" w:fill="CCCCCC"/>
          </w:tcPr>
          <w:p w14:paraId="1B2C147E" w14:textId="77777777" w:rsidR="002B5E2D" w:rsidRDefault="002B5E2D" w:rsidP="004F219B">
            <w:pPr>
              <w:pStyle w:val="TableParagraph"/>
              <w:spacing w:line="320" w:lineRule="exact"/>
              <w:ind w:left="2278" w:right="2213"/>
              <w:jc w:val="center"/>
              <w:rPr>
                <w:rFonts w:ascii="Calibri Light"/>
                <w:i/>
                <w:sz w:val="28"/>
              </w:rPr>
            </w:pPr>
            <w:proofErr w:type="spellStart"/>
            <w:r>
              <w:rPr>
                <w:rFonts w:ascii="Calibri Light"/>
                <w:i/>
                <w:color w:val="000009"/>
                <w:sz w:val="28"/>
              </w:rPr>
              <w:t>Num</w:t>
            </w:r>
            <w:r>
              <w:rPr>
                <w:rFonts w:ascii="Calibri Light"/>
                <w:i/>
                <w:color w:val="000009"/>
                <w:sz w:val="28"/>
              </w:rPr>
              <w:t>é</w:t>
            </w:r>
            <w:r>
              <w:rPr>
                <w:rFonts w:ascii="Calibri Light"/>
                <w:i/>
                <w:color w:val="000009"/>
                <w:sz w:val="28"/>
              </w:rPr>
              <w:t>ro</w:t>
            </w:r>
            <w:proofErr w:type="spellEnd"/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de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la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 xml:space="preserve">consultation </w:t>
            </w:r>
          </w:p>
        </w:tc>
      </w:tr>
      <w:tr w:rsidR="002B5E2D" w14:paraId="20260FBD" w14:textId="77777777" w:rsidTr="004F219B">
        <w:trPr>
          <w:trHeight w:val="636"/>
        </w:trPr>
        <w:tc>
          <w:tcPr>
            <w:tcW w:w="9357" w:type="dxa"/>
            <w:tcBorders>
              <w:top w:val="single" w:sz="2" w:space="0" w:color="000000"/>
            </w:tcBorders>
          </w:tcPr>
          <w:p w14:paraId="748B6135" w14:textId="77777777" w:rsidR="002B5E2D" w:rsidRPr="00CC52C3" w:rsidRDefault="002B5E2D" w:rsidP="004F219B">
            <w:pPr>
              <w:pStyle w:val="TableParagraph"/>
              <w:spacing w:before="73"/>
              <w:ind w:left="1533" w:right="320" w:hanging="171"/>
              <w:rPr>
                <w:rFonts w:ascii="Calibri Light" w:hAnsi="Calibri Light"/>
                <w:color w:val="000009"/>
                <w:sz w:val="10"/>
                <w:szCs w:val="10"/>
              </w:rPr>
            </w:pPr>
          </w:p>
          <w:p w14:paraId="221D33DA" w14:textId="77777777" w:rsidR="002B5E2D" w:rsidRDefault="002B5E2D" w:rsidP="004F219B">
            <w:pPr>
              <w:pStyle w:val="TableParagraph"/>
              <w:spacing w:before="73"/>
              <w:ind w:left="1110" w:right="320" w:hanging="707"/>
              <w:jc w:val="center"/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</w:pPr>
            <w:bookmarkStart w:id="0" w:name="_Hlk182819240"/>
            <w:r w:rsidRPr="006F6485"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2024-214-REC-ETA-1</w:t>
            </w:r>
            <w:r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26</w:t>
            </w:r>
          </w:p>
          <w:bookmarkEnd w:id="0"/>
          <w:p w14:paraId="555B06F0" w14:textId="77777777" w:rsidR="002B5E2D" w:rsidRDefault="002B5E2D" w:rsidP="004F219B">
            <w:pPr>
              <w:pStyle w:val="TableParagraph"/>
              <w:spacing w:before="73"/>
              <w:ind w:left="1110" w:right="320" w:hanging="707"/>
              <w:jc w:val="center"/>
              <w:rPr>
                <w:rFonts w:ascii="Calibri Light" w:hAnsi="Calibri Light"/>
                <w:sz w:val="20"/>
              </w:rPr>
            </w:pPr>
          </w:p>
        </w:tc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6731727C" w14:textId="6E82E0BD" w:rsidR="002B5E2D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651607" w:history="1">
            <w:r w:rsidR="002B5E2D" w:rsidRPr="00FA1339">
              <w:rPr>
                <w:rStyle w:val="Lienhypertexte"/>
                <w:noProof/>
              </w:rPr>
              <w:t>1.</w:t>
            </w:r>
            <w:r w:rsidR="002B5E2D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2B5E2D" w:rsidRPr="00FA1339">
              <w:rPr>
                <w:rStyle w:val="Lienhypertexte"/>
                <w:noProof/>
              </w:rPr>
              <w:t>Règles d’utilisation du cadre de réponse</w:t>
            </w:r>
            <w:r w:rsidR="002B5E2D">
              <w:rPr>
                <w:noProof/>
                <w:webHidden/>
              </w:rPr>
              <w:tab/>
            </w:r>
            <w:r w:rsidR="002B5E2D">
              <w:rPr>
                <w:noProof/>
                <w:webHidden/>
              </w:rPr>
              <w:fldChar w:fldCharType="begin"/>
            </w:r>
            <w:r w:rsidR="002B5E2D">
              <w:rPr>
                <w:noProof/>
                <w:webHidden/>
              </w:rPr>
              <w:instrText xml:space="preserve"> PAGEREF _Toc184651607 \h </w:instrText>
            </w:r>
            <w:r w:rsidR="002B5E2D">
              <w:rPr>
                <w:noProof/>
                <w:webHidden/>
              </w:rPr>
            </w:r>
            <w:r w:rsidR="002B5E2D">
              <w:rPr>
                <w:noProof/>
                <w:webHidden/>
              </w:rPr>
              <w:fldChar w:fldCharType="separate"/>
            </w:r>
            <w:r w:rsidR="002B5E2D">
              <w:rPr>
                <w:noProof/>
                <w:webHidden/>
              </w:rPr>
              <w:t>3</w:t>
            </w:r>
            <w:r w:rsidR="002B5E2D">
              <w:rPr>
                <w:noProof/>
                <w:webHidden/>
              </w:rPr>
              <w:fldChar w:fldCharType="end"/>
            </w:r>
          </w:hyperlink>
        </w:p>
        <w:p w14:paraId="6F01E060" w14:textId="3F3E689F" w:rsidR="002B5E2D" w:rsidRDefault="002B5E2D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08" w:history="1">
            <w:r w:rsidRPr="00FA1339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FA1339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9C134" w14:textId="59E78930" w:rsidR="002B5E2D" w:rsidRDefault="002B5E2D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09" w:history="1">
            <w:r w:rsidRPr="00FA1339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FA1339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5CB52" w14:textId="0426B89D" w:rsidR="002B5E2D" w:rsidRDefault="002B5E2D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10" w:history="1">
            <w:r w:rsidRPr="00FA1339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FA1339">
              <w:rPr>
                <w:rStyle w:val="Lienhypertexte"/>
                <w:b/>
                <w:noProof/>
              </w:rPr>
              <w:t>Moyens humains et qualification des équipes (40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5E40E" w14:textId="13EA049B" w:rsidR="002B5E2D" w:rsidRDefault="002B5E2D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11" w:history="1">
            <w:r w:rsidRPr="00FA1339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FA1339">
              <w:rPr>
                <w:rStyle w:val="Lienhypertexte"/>
                <w:b/>
                <w:noProof/>
              </w:rPr>
              <w:t>Références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AA9B4" w14:textId="27B3E4E9" w:rsidR="002B5E2D" w:rsidRDefault="002B5E2D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12" w:history="1">
            <w:r w:rsidRPr="00FA1339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FA1339">
              <w:rPr>
                <w:rStyle w:val="Lienhypertexte"/>
                <w:b/>
                <w:noProof/>
              </w:rPr>
              <w:t>Délai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2D3635" w14:textId="202A9247" w:rsidR="002B5E2D" w:rsidRDefault="002B5E2D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13" w:history="1">
            <w:r w:rsidRPr="00FA1339">
              <w:rPr>
                <w:rStyle w:val="Lienhypertexte"/>
                <w:b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FA1339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36856499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41FD4563" w:rsidR="003E4469" w:rsidRPr="000D34CE" w:rsidRDefault="00A724AC" w:rsidP="000D34CE">
      <w:pPr>
        <w:pStyle w:val="Titre1"/>
      </w:pPr>
      <w:bookmarkStart w:id="1" w:name="_Toc184651607"/>
      <w:r w:rsidRPr="000D34CE">
        <w:lastRenderedPageBreak/>
        <w:t>Règles d’</w:t>
      </w:r>
      <w:r w:rsidR="003E4469" w:rsidRPr="000D34CE">
        <w:t xml:space="preserve">utilisation du cadre </w:t>
      </w:r>
      <w:r w:rsidR="00EA25AD" w:rsidRPr="00EA25AD">
        <w:t>de réponse</w:t>
      </w:r>
      <w:bookmarkEnd w:id="1"/>
    </w:p>
    <w:p w14:paraId="26312BA6" w14:textId="2574AC7F" w:rsidR="006245E5" w:rsidRDefault="006245E5" w:rsidP="00A724AC"/>
    <w:p w14:paraId="080A4B8C" w14:textId="4361CC75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1A6704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09D47F6D" w14:textId="59336F08" w:rsidR="001525B8" w:rsidRDefault="003E4469" w:rsidP="001E0BFB">
      <w:pPr>
        <w:pStyle w:val="Titre1"/>
      </w:pPr>
      <w:bookmarkStart w:id="2" w:name="_Toc184651608"/>
      <w:r w:rsidRPr="000D34CE">
        <w:lastRenderedPageBreak/>
        <w:t>Offre technique</w:t>
      </w:r>
      <w:bookmarkEnd w:id="2"/>
    </w:p>
    <w:p w14:paraId="0B1B47DF" w14:textId="1494CDC6" w:rsidR="003D337B" w:rsidRDefault="003D337B" w:rsidP="003D337B">
      <w:pPr>
        <w:pStyle w:val="Titre2"/>
        <w:jc w:val="both"/>
        <w:rPr>
          <w:b/>
        </w:rPr>
      </w:pPr>
      <w:bookmarkStart w:id="3" w:name="_Toc180659064"/>
      <w:bookmarkStart w:id="4" w:name="_Toc180747140"/>
      <w:bookmarkStart w:id="5" w:name="_Toc180747817"/>
      <w:bookmarkStart w:id="6" w:name="_Toc184651609"/>
      <w:r>
        <w:rPr>
          <w:b/>
        </w:rPr>
        <w:t>Méthodologie dédiée au respect des exigences de l’accord-cadre (</w:t>
      </w:r>
      <w:r w:rsidR="004A5388">
        <w:rPr>
          <w:b/>
        </w:rPr>
        <w:t>30</w:t>
      </w:r>
      <w:r>
        <w:rPr>
          <w:b/>
        </w:rPr>
        <w:t xml:space="preserve"> points)</w:t>
      </w:r>
      <w:bookmarkEnd w:id="3"/>
      <w:bookmarkEnd w:id="4"/>
      <w:bookmarkEnd w:id="5"/>
      <w:bookmarkEnd w:id="6"/>
    </w:p>
    <w:p w14:paraId="30A0F6E7" w14:textId="77777777" w:rsidR="003D337B" w:rsidRDefault="003D337B" w:rsidP="003D337B">
      <w:r>
        <w:t xml:space="preserve">1/ Présentation de la méthodologie depuis la réception du marché subséquent jusqu’à la fin des prestations </w:t>
      </w:r>
    </w:p>
    <w:sdt>
      <w:sdtPr>
        <w:id w:val="-1302064012"/>
      </w:sdtPr>
      <w:sdtEndPr/>
      <w:sdtContent>
        <w:p w14:paraId="2A2CBAEF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t xml:space="preserve"> </w:t>
          </w:r>
        </w:p>
        <w:p w14:paraId="110C3373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1E8757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A3ACFCC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D42B1FC" w14:textId="77777777" w:rsidR="003D337B" w:rsidRDefault="002B5E2D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2B2C11A" w14:textId="77777777" w:rsidR="003D337B" w:rsidRDefault="003D337B" w:rsidP="003D337B"/>
    <w:p w14:paraId="3EA6D0E5" w14:textId="77777777" w:rsidR="003D337B" w:rsidRDefault="003D337B" w:rsidP="003D337B">
      <w:r>
        <w:t xml:space="preserve">2/ Présentation de la méthodologie afin d’assurer le pilotage de plusieurs missions en simultanée (recours à la sous-traitance, modulation des plans de charges… etc.) </w:t>
      </w:r>
    </w:p>
    <w:p w14:paraId="20A8C1DA" w14:textId="77777777" w:rsidR="003D337B" w:rsidRDefault="003D337B" w:rsidP="003D337B"/>
    <w:sdt>
      <w:sdtPr>
        <w:id w:val="-1742481634"/>
      </w:sdtPr>
      <w:sdtEndPr/>
      <w:sdtContent>
        <w:p w14:paraId="052187D0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t xml:space="preserve"> </w:t>
          </w:r>
        </w:p>
        <w:p w14:paraId="7263F234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F4FA534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D81C6E2" w14:textId="77777777" w:rsidR="003D337B" w:rsidRDefault="003D337B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6B7A3D7" w14:textId="77777777" w:rsidR="003D337B" w:rsidRDefault="002B5E2D" w:rsidP="003D337B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37649E" w14:textId="77777777" w:rsidR="003D337B" w:rsidRPr="003D337B" w:rsidRDefault="003D337B" w:rsidP="003D337B"/>
    <w:p w14:paraId="3843EA68" w14:textId="6C3DAAF8" w:rsidR="005160D8" w:rsidRPr="004946A6" w:rsidRDefault="001446A8" w:rsidP="004946A6">
      <w:pPr>
        <w:pStyle w:val="Titre2"/>
        <w:rPr>
          <w:b/>
        </w:rPr>
      </w:pPr>
      <w:bookmarkStart w:id="7" w:name="_Toc184651610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7D295E">
        <w:rPr>
          <w:b/>
        </w:rPr>
        <w:t xml:space="preserve"> (</w:t>
      </w:r>
      <w:r w:rsidR="004A5388">
        <w:rPr>
          <w:b/>
        </w:rPr>
        <w:t>40</w:t>
      </w:r>
      <w:r w:rsidR="007D295E">
        <w:rPr>
          <w:b/>
        </w:rPr>
        <w:t xml:space="preserve"> points)</w:t>
      </w:r>
      <w:bookmarkEnd w:id="7"/>
    </w:p>
    <w:p w14:paraId="41CAC02F" w14:textId="04F4D06D" w:rsidR="00AA026E" w:rsidRPr="00AA026E" w:rsidRDefault="004946A6" w:rsidP="00AA026E">
      <w:r w:rsidRPr="004946A6"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2B5E2D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3EECA8E2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2B5E2D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1817C44A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2B5E2D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480F6AA2" w:rsidR="00AA026E" w:rsidRPr="0036226C" w:rsidRDefault="00CD4092" w:rsidP="00C827F3">
      <w:pPr>
        <w:pStyle w:val="Titre2"/>
        <w:rPr>
          <w:b/>
          <w:szCs w:val="24"/>
        </w:rPr>
      </w:pPr>
      <w:bookmarkStart w:id="8" w:name="_Toc184651611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7D295E">
        <w:rPr>
          <w:b/>
          <w:szCs w:val="24"/>
        </w:rPr>
        <w:t>(</w:t>
      </w:r>
      <w:r w:rsidR="004A5388">
        <w:rPr>
          <w:b/>
          <w:szCs w:val="24"/>
        </w:rPr>
        <w:t>2</w:t>
      </w:r>
      <w:r w:rsidR="007D295E">
        <w:rPr>
          <w:b/>
          <w:szCs w:val="24"/>
        </w:rPr>
        <w:t>0 points)</w:t>
      </w:r>
      <w:bookmarkEnd w:id="8"/>
    </w:p>
    <w:p w14:paraId="23163A25" w14:textId="62D20AB8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</w:t>
      </w:r>
      <w:proofErr w:type="gramStart"/>
      <w:r w:rsidR="001525B8">
        <w:t>missions réalisés</w:t>
      </w:r>
      <w:proofErr w:type="gramEnd"/>
      <w:r w:rsidR="001525B8">
        <w:t xml:space="preserve">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2B5E2D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003064D1" w:rsidR="00657162" w:rsidRDefault="00657162" w:rsidP="00657162"/>
    <w:p w14:paraId="5B98689C" w14:textId="77777777" w:rsidR="001E0BFB" w:rsidRPr="00657162" w:rsidRDefault="001E0BFB" w:rsidP="00657162"/>
    <w:p w14:paraId="04AE92B5" w14:textId="035BED86" w:rsidR="00B47480" w:rsidRPr="007D295E" w:rsidRDefault="00B47480" w:rsidP="00B47480">
      <w:pPr>
        <w:pStyle w:val="Titre2"/>
        <w:rPr>
          <w:b/>
          <w:szCs w:val="22"/>
        </w:rPr>
      </w:pPr>
      <w:bookmarkStart w:id="9" w:name="_Toc165972607"/>
      <w:bookmarkStart w:id="10" w:name="_Toc165650361"/>
      <w:bookmarkStart w:id="11" w:name="_Toc184651612"/>
      <w:r w:rsidRPr="007D295E">
        <w:rPr>
          <w:b/>
          <w:szCs w:val="22"/>
        </w:rPr>
        <w:t xml:space="preserve">Délai </w:t>
      </w:r>
      <w:r w:rsidR="007D295E">
        <w:rPr>
          <w:b/>
          <w:szCs w:val="22"/>
        </w:rPr>
        <w:t>(</w:t>
      </w:r>
      <w:r w:rsidR="004A5388">
        <w:rPr>
          <w:b/>
          <w:szCs w:val="22"/>
        </w:rPr>
        <w:t>2</w:t>
      </w:r>
      <w:r w:rsidR="007D295E">
        <w:rPr>
          <w:b/>
          <w:szCs w:val="22"/>
        </w:rPr>
        <w:t>0 points)</w:t>
      </w:r>
      <w:bookmarkEnd w:id="11"/>
    </w:p>
    <w:p w14:paraId="5EF041EB" w14:textId="77777777" w:rsidR="00CF406A" w:rsidRDefault="00CF406A" w:rsidP="00CF406A">
      <w:pPr>
        <w:keepLines/>
        <w:widowControl w:val="0"/>
        <w:numPr>
          <w:ilvl w:val="0"/>
          <w:numId w:val="16"/>
        </w:numPr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contextualSpacing/>
        <w:jc w:val="left"/>
        <w:rPr>
          <w:rFonts w:eastAsia="Calibri" w:cs="Arial"/>
          <w:b/>
          <w:color w:val="000000"/>
          <w:u w:val="single"/>
        </w:rPr>
      </w:pPr>
      <w:r w:rsidRPr="00CB2437">
        <w:rPr>
          <w:rFonts w:eastAsia="Calibri" w:cs="Arial"/>
          <w:b/>
          <w:color w:val="000000"/>
          <w:u w:val="single"/>
        </w:rPr>
        <w:t xml:space="preserve">Phase conception </w:t>
      </w:r>
    </w:p>
    <w:p w14:paraId="421DCE21" w14:textId="77777777" w:rsidR="00CF406A" w:rsidRPr="00CB2437" w:rsidRDefault="00CF406A" w:rsidP="00CF40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720" w:right="111"/>
        <w:contextualSpacing/>
        <w:jc w:val="left"/>
        <w:rPr>
          <w:rFonts w:eastAsia="Calibri" w:cs="Arial"/>
          <w:b/>
          <w:color w:val="000000"/>
          <w:u w:val="single"/>
        </w:rPr>
      </w:pPr>
    </w:p>
    <w:tbl>
      <w:tblPr>
        <w:tblStyle w:val="Grilledutableau1"/>
        <w:tblW w:w="9968" w:type="dxa"/>
        <w:jc w:val="center"/>
        <w:tblBorders>
          <w:insideH w:val="single" w:sz="4" w:space="0" w:color="BFBF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1"/>
        <w:gridCol w:w="2356"/>
        <w:gridCol w:w="2377"/>
        <w:gridCol w:w="2634"/>
      </w:tblGrid>
      <w:tr w:rsidR="00CF406A" w:rsidRPr="00CB2437" w14:paraId="18DD8D31" w14:textId="77777777" w:rsidTr="00A90717">
        <w:trPr>
          <w:trHeight w:val="567"/>
          <w:jc w:val="center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BDD6EE" w:themeFill="accent1" w:themeFillTint="66"/>
            <w:vAlign w:val="center"/>
          </w:tcPr>
          <w:p w14:paraId="0C79A833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Phase :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BDD6EE" w:themeFill="accent1" w:themeFillTint="66"/>
            <w:vAlign w:val="center"/>
          </w:tcPr>
          <w:p w14:paraId="323668B2" w14:textId="77777777" w:rsidR="00CF406A" w:rsidRPr="00CB2437" w:rsidRDefault="00CF406A" w:rsidP="00A90717">
            <w:pPr>
              <w:widowControl w:val="0"/>
              <w:spacing w:before="0" w:after="0"/>
              <w:jc w:val="center"/>
              <w:rPr>
                <w:rFonts w:eastAsia="Calibri" w:cs="Arial"/>
                <w:b/>
              </w:rPr>
            </w:pPr>
            <w:r w:rsidRPr="00CB2437">
              <w:rPr>
                <w:rFonts w:eastAsia="Calibri" w:cs="Arial"/>
                <w:b/>
              </w:rPr>
              <w:t>Délais d’exécution minimum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BDD6EE" w:themeFill="accent1" w:themeFillTint="66"/>
            <w:vAlign w:val="center"/>
          </w:tcPr>
          <w:p w14:paraId="6C5B4908" w14:textId="77777777" w:rsidR="00CF406A" w:rsidRPr="00CB2437" w:rsidRDefault="00CF406A" w:rsidP="00A90717">
            <w:pPr>
              <w:widowControl w:val="0"/>
              <w:spacing w:before="0" w:after="0"/>
              <w:jc w:val="center"/>
              <w:rPr>
                <w:rFonts w:eastAsia="Calibri" w:cs="Arial"/>
                <w:b/>
              </w:rPr>
            </w:pPr>
            <w:r w:rsidRPr="00CB2437">
              <w:rPr>
                <w:rFonts w:eastAsia="Calibri" w:cs="Arial"/>
                <w:b/>
              </w:rPr>
              <w:t>Délais d’exécution maximum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50DA5FB" w14:textId="77777777" w:rsidR="00CF406A" w:rsidRPr="00F8160C" w:rsidRDefault="00CF406A" w:rsidP="00A90717">
            <w:pPr>
              <w:spacing w:before="0" w:after="0"/>
              <w:jc w:val="center"/>
              <w:rPr>
                <w:rFonts w:eastAsia="Calibri" w:cs="Arial"/>
                <w:b/>
                <w:color w:val="FF0000"/>
              </w:rPr>
            </w:pPr>
            <w:r w:rsidRPr="00F8160C">
              <w:rPr>
                <w:rFonts w:eastAsia="Calibri" w:cs="Arial"/>
                <w:b/>
                <w:color w:val="FF0000"/>
              </w:rPr>
              <w:t xml:space="preserve">Délai proposé </w:t>
            </w:r>
          </w:p>
          <w:p w14:paraId="77A53B36" w14:textId="77777777" w:rsidR="00CF406A" w:rsidRPr="00CB2437" w:rsidRDefault="00CF406A" w:rsidP="00A90717">
            <w:pPr>
              <w:spacing w:before="0" w:after="0"/>
              <w:jc w:val="center"/>
              <w:rPr>
                <w:b/>
              </w:rPr>
            </w:pPr>
            <w:r w:rsidRPr="00F8160C">
              <w:rPr>
                <w:rFonts w:eastAsia="Calibri" w:cs="Arial"/>
                <w:b/>
                <w:color w:val="FF0000"/>
              </w:rPr>
              <w:t>(</w:t>
            </w:r>
            <w:proofErr w:type="gramStart"/>
            <w:r w:rsidRPr="00F8160C">
              <w:rPr>
                <w:rFonts w:eastAsia="Calibri" w:cs="Arial"/>
                <w:b/>
                <w:color w:val="FF0000"/>
              </w:rPr>
              <w:t>ce</w:t>
            </w:r>
            <w:proofErr w:type="gramEnd"/>
            <w:r w:rsidRPr="00F8160C">
              <w:rPr>
                <w:rFonts w:eastAsia="Calibri" w:cs="Arial"/>
                <w:b/>
                <w:color w:val="FF0000"/>
              </w:rPr>
              <w:t xml:space="preserve"> délai sera analysé)</w:t>
            </w:r>
          </w:p>
        </w:tc>
      </w:tr>
      <w:tr w:rsidR="00CF406A" w:rsidRPr="00CB2437" w14:paraId="6CD6BD9F" w14:textId="77777777" w:rsidTr="00A90717">
        <w:trPr>
          <w:jc w:val="center"/>
        </w:trPr>
        <w:tc>
          <w:tcPr>
            <w:tcW w:w="2601" w:type="dxa"/>
            <w:tcBorders>
              <w:top w:val="single" w:sz="4" w:space="0" w:color="auto"/>
              <w:right w:val="single" w:sz="4" w:space="0" w:color="BFBFBF"/>
            </w:tcBorders>
            <w:vAlign w:val="center"/>
          </w:tcPr>
          <w:p w14:paraId="067E4CF9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APD/PRO</w:t>
            </w:r>
          </w:p>
          <w:p w14:paraId="365B9A77" w14:textId="77777777" w:rsidR="00CF406A" w:rsidRPr="00CB2437" w:rsidRDefault="00CF406A" w:rsidP="00A90717">
            <w:pPr>
              <w:spacing w:before="0" w:after="0"/>
              <w:jc w:val="left"/>
            </w:pPr>
            <w:r w:rsidRPr="00CB2437">
              <w:t>Analyse du projet et remise du calendrier prévisionnel des travaux</w:t>
            </w:r>
          </w:p>
          <w:p w14:paraId="73418EEF" w14:textId="77777777" w:rsidR="00CF406A" w:rsidRPr="00CB2437" w:rsidRDefault="00CF406A" w:rsidP="00A90717">
            <w:pPr>
              <w:spacing w:before="0" w:after="0"/>
              <w:jc w:val="left"/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BFBFBF"/>
              <w:right w:val="single" w:sz="4" w:space="0" w:color="BFBFBF"/>
            </w:tcBorders>
            <w:vAlign w:val="center"/>
          </w:tcPr>
          <w:p w14:paraId="35156082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2 semaines</w:t>
            </w:r>
          </w:p>
          <w:p w14:paraId="10243478" w14:textId="77777777" w:rsidR="00CF406A" w:rsidRPr="00CB2437" w:rsidRDefault="00CF406A" w:rsidP="00A90717">
            <w:pPr>
              <w:spacing w:before="0" w:after="0"/>
              <w:jc w:val="left"/>
              <w:rPr>
                <w:i/>
              </w:rPr>
            </w:pPr>
            <w:r w:rsidRPr="00CB2437">
              <w:rPr>
                <w:i/>
              </w:rPr>
              <w:t>A compter de la date de réception du dossier APD/PRO.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BFBFBF"/>
              <w:right w:val="single" w:sz="4" w:space="0" w:color="BFBFBF"/>
            </w:tcBorders>
            <w:vAlign w:val="center"/>
          </w:tcPr>
          <w:p w14:paraId="57FD9FE2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3 semaines</w:t>
            </w:r>
          </w:p>
          <w:p w14:paraId="37EB7519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i/>
              </w:rPr>
              <w:t>A compter de la date de réception du dossier APD/PRO.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BFBFBF"/>
            </w:tcBorders>
            <w:vAlign w:val="center"/>
          </w:tcPr>
          <w:p w14:paraId="5EF80B4F" w14:textId="77777777" w:rsidR="00CF406A" w:rsidRPr="00CB2437" w:rsidRDefault="00CF406A" w:rsidP="00A90717">
            <w:pPr>
              <w:spacing w:before="0" w:after="0"/>
              <w:jc w:val="left"/>
              <w:rPr>
                <w:i/>
              </w:rPr>
            </w:pPr>
          </w:p>
        </w:tc>
      </w:tr>
      <w:tr w:rsidR="00CF406A" w:rsidRPr="00CB2437" w14:paraId="33F00419" w14:textId="77777777" w:rsidTr="00A90717">
        <w:trPr>
          <w:jc w:val="center"/>
        </w:trPr>
        <w:tc>
          <w:tcPr>
            <w:tcW w:w="2601" w:type="dxa"/>
            <w:tcBorders>
              <w:right w:val="single" w:sz="4" w:space="0" w:color="BFBFBF"/>
            </w:tcBorders>
            <w:vAlign w:val="center"/>
          </w:tcPr>
          <w:p w14:paraId="05357A7F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DCE</w:t>
            </w:r>
          </w:p>
          <w:p w14:paraId="6FA905D1" w14:textId="77777777" w:rsidR="00CF406A" w:rsidRPr="00CB2437" w:rsidRDefault="00CF406A" w:rsidP="00A90717">
            <w:pPr>
              <w:spacing w:before="0" w:after="0"/>
              <w:jc w:val="left"/>
            </w:pPr>
            <w:r w:rsidRPr="00CB2437">
              <w:t>Analyse du dossier de consultation des entreprises et mise à jour du calendrier prévisionnel des travaux</w:t>
            </w:r>
          </w:p>
          <w:p w14:paraId="42511F28" w14:textId="77777777" w:rsidR="00CF406A" w:rsidRPr="00CB2437" w:rsidRDefault="00CF406A" w:rsidP="00A90717">
            <w:pPr>
              <w:spacing w:before="0" w:after="0"/>
              <w:jc w:val="left"/>
            </w:pPr>
          </w:p>
        </w:tc>
        <w:tc>
          <w:tcPr>
            <w:tcW w:w="2356" w:type="dxa"/>
            <w:tcBorders>
              <w:left w:val="single" w:sz="4" w:space="0" w:color="BFBFBF"/>
              <w:right w:val="single" w:sz="4" w:space="0" w:color="BFBFBF"/>
            </w:tcBorders>
            <w:vAlign w:val="center"/>
          </w:tcPr>
          <w:p w14:paraId="3D2521AA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1 semaine</w:t>
            </w:r>
          </w:p>
          <w:p w14:paraId="54895252" w14:textId="77777777" w:rsidR="00CF406A" w:rsidRPr="00CB2437" w:rsidRDefault="00CF406A" w:rsidP="00A90717">
            <w:pPr>
              <w:spacing w:before="0" w:after="0"/>
              <w:jc w:val="left"/>
              <w:rPr>
                <w:i/>
              </w:rPr>
            </w:pPr>
            <w:r w:rsidRPr="00CB2437">
              <w:rPr>
                <w:i/>
              </w:rPr>
              <w:t>A compter de la date de réception du DCE.</w:t>
            </w:r>
          </w:p>
        </w:tc>
        <w:tc>
          <w:tcPr>
            <w:tcW w:w="2377" w:type="dxa"/>
            <w:tcBorders>
              <w:left w:val="single" w:sz="4" w:space="0" w:color="BFBFBF"/>
              <w:right w:val="single" w:sz="4" w:space="0" w:color="BFBFBF"/>
            </w:tcBorders>
            <w:vAlign w:val="center"/>
          </w:tcPr>
          <w:p w14:paraId="3327EC48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2 semaines</w:t>
            </w:r>
          </w:p>
          <w:p w14:paraId="1DA04D7E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i/>
              </w:rPr>
              <w:t>A compter de la date de réception du DCE.</w:t>
            </w:r>
          </w:p>
        </w:tc>
        <w:tc>
          <w:tcPr>
            <w:tcW w:w="2634" w:type="dxa"/>
            <w:tcBorders>
              <w:left w:val="single" w:sz="4" w:space="0" w:color="BFBFBF"/>
            </w:tcBorders>
            <w:vAlign w:val="center"/>
          </w:tcPr>
          <w:p w14:paraId="29C98B41" w14:textId="77777777" w:rsidR="00CF406A" w:rsidRPr="00CB2437" w:rsidRDefault="00CF406A" w:rsidP="00A90717">
            <w:pPr>
              <w:spacing w:before="0" w:after="0"/>
              <w:jc w:val="left"/>
              <w:rPr>
                <w:i/>
              </w:rPr>
            </w:pPr>
          </w:p>
        </w:tc>
      </w:tr>
      <w:tr w:rsidR="00CF406A" w:rsidRPr="00CB2437" w14:paraId="684F7AD7" w14:textId="77777777" w:rsidTr="00A90717">
        <w:trPr>
          <w:jc w:val="center"/>
        </w:trPr>
        <w:tc>
          <w:tcPr>
            <w:tcW w:w="2601" w:type="dxa"/>
            <w:tcBorders>
              <w:bottom w:val="single" w:sz="4" w:space="0" w:color="auto"/>
              <w:right w:val="single" w:sz="4" w:space="0" w:color="BFBFBF"/>
            </w:tcBorders>
            <w:vAlign w:val="center"/>
          </w:tcPr>
          <w:p w14:paraId="19D9F180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ACT</w:t>
            </w:r>
          </w:p>
          <w:p w14:paraId="59127ABD" w14:textId="77777777" w:rsidR="00CF406A" w:rsidRPr="00CB2437" w:rsidRDefault="00CF406A" w:rsidP="00A90717">
            <w:pPr>
              <w:spacing w:before="0" w:after="0"/>
              <w:jc w:val="left"/>
            </w:pPr>
            <w:r w:rsidRPr="00CB2437">
              <w:t>Analyse des offres des entreprises et de leur calendrier d’exécution, avis sur le calendrier proposé, le délai contractuel d’exécution des travaux et le cout des travaux.</w:t>
            </w:r>
          </w:p>
          <w:p w14:paraId="34FB8A30" w14:textId="77777777" w:rsidR="00CF406A" w:rsidRPr="00CB2437" w:rsidRDefault="00CF406A" w:rsidP="00A90717">
            <w:pPr>
              <w:spacing w:before="0" w:after="0"/>
              <w:jc w:val="left"/>
            </w:pPr>
          </w:p>
        </w:tc>
        <w:tc>
          <w:tcPr>
            <w:tcW w:w="2356" w:type="dxa"/>
            <w:tcBorders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14:paraId="30F13200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1 semaine</w:t>
            </w:r>
          </w:p>
          <w:p w14:paraId="3017E652" w14:textId="77777777" w:rsidR="00CF406A" w:rsidRPr="00CB2437" w:rsidRDefault="00CF406A" w:rsidP="00A90717">
            <w:pPr>
              <w:spacing w:before="0" w:after="0"/>
              <w:jc w:val="left"/>
              <w:rPr>
                <w:i/>
              </w:rPr>
            </w:pPr>
            <w:r w:rsidRPr="00CB2437">
              <w:rPr>
                <w:i/>
              </w:rPr>
              <w:t>A compter de la date de réception des offres des entreprises.</w:t>
            </w:r>
          </w:p>
        </w:tc>
        <w:tc>
          <w:tcPr>
            <w:tcW w:w="2377" w:type="dxa"/>
            <w:tcBorders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14:paraId="1FEB93BC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b/>
              </w:rPr>
              <w:t>2 semaines</w:t>
            </w:r>
          </w:p>
          <w:p w14:paraId="2B8F52C3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  <w:r w:rsidRPr="00CB2437">
              <w:rPr>
                <w:i/>
              </w:rPr>
              <w:t>A compter de la date de réception des offres des entreprises.</w:t>
            </w:r>
          </w:p>
        </w:tc>
        <w:tc>
          <w:tcPr>
            <w:tcW w:w="2634" w:type="dxa"/>
            <w:tcBorders>
              <w:left w:val="single" w:sz="4" w:space="0" w:color="BFBFBF"/>
              <w:bottom w:val="single" w:sz="4" w:space="0" w:color="auto"/>
            </w:tcBorders>
            <w:vAlign w:val="center"/>
          </w:tcPr>
          <w:p w14:paraId="3466D6E9" w14:textId="77777777" w:rsidR="00CF406A" w:rsidRPr="00CB2437" w:rsidRDefault="00CF406A" w:rsidP="00A90717">
            <w:pPr>
              <w:spacing w:before="0" w:after="0"/>
              <w:jc w:val="left"/>
              <w:rPr>
                <w:b/>
              </w:rPr>
            </w:pPr>
          </w:p>
        </w:tc>
      </w:tr>
    </w:tbl>
    <w:p w14:paraId="4C286DE9" w14:textId="77777777" w:rsidR="00CF406A" w:rsidRPr="00CB2437" w:rsidRDefault="00CF406A" w:rsidP="00CF406A">
      <w:pPr>
        <w:spacing w:before="120" w:after="120"/>
        <w:contextualSpacing/>
        <w:jc w:val="left"/>
        <w:rPr>
          <w:rFonts w:eastAsia="Calibri" w:cs="Times New Roman"/>
        </w:rPr>
      </w:pPr>
    </w:p>
    <w:p w14:paraId="460D5B63" w14:textId="77777777" w:rsidR="00CF406A" w:rsidRPr="00F8160C" w:rsidRDefault="00CF406A" w:rsidP="00CF406A">
      <w:pPr>
        <w:numPr>
          <w:ilvl w:val="0"/>
          <w:numId w:val="16"/>
        </w:numPr>
        <w:spacing w:before="120" w:after="120"/>
        <w:contextualSpacing/>
        <w:jc w:val="left"/>
        <w:rPr>
          <w:rFonts w:eastAsia="Calibri" w:cs="Times New Roman"/>
        </w:rPr>
      </w:pPr>
      <w:r w:rsidRPr="00CB2437">
        <w:rPr>
          <w:rFonts w:eastAsia="Calibri" w:cs="Times New Roman"/>
          <w:b/>
          <w:bCs/>
          <w:u w:val="single"/>
        </w:rPr>
        <w:t>Phase réalisation</w:t>
      </w:r>
      <w:r w:rsidRPr="00CB2437">
        <w:rPr>
          <w:rFonts w:eastAsia="Calibri" w:cs="Times New Roman"/>
          <w:b/>
          <w:bCs/>
        </w:rPr>
        <w:t xml:space="preserve"> </w:t>
      </w:r>
    </w:p>
    <w:p w14:paraId="0977B358" w14:textId="77777777" w:rsidR="00CF406A" w:rsidRPr="00CB2437" w:rsidRDefault="00CF406A" w:rsidP="00CF406A">
      <w:pPr>
        <w:spacing w:before="120" w:after="120"/>
        <w:ind w:left="720"/>
        <w:contextualSpacing/>
        <w:jc w:val="left"/>
        <w:rPr>
          <w:rFonts w:eastAsia="Calibri" w:cs="Times New Roman"/>
        </w:rPr>
      </w:pPr>
    </w:p>
    <w:tbl>
      <w:tblPr>
        <w:tblStyle w:val="Grilledutableau"/>
        <w:tblW w:w="5324" w:type="pct"/>
        <w:jc w:val="center"/>
        <w:tblBorders>
          <w:insideH w:val="single" w:sz="4" w:space="0" w:color="BFBF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3034"/>
        <w:gridCol w:w="1920"/>
      </w:tblGrid>
      <w:tr w:rsidR="00CF406A" w:rsidRPr="00CB2437" w14:paraId="4A3CE508" w14:textId="77777777" w:rsidTr="00A90717">
        <w:trPr>
          <w:trHeight w:val="617"/>
          <w:jc w:val="center"/>
        </w:trPr>
        <w:tc>
          <w:tcPr>
            <w:tcW w:w="2433" w:type="pct"/>
            <w:tcBorders>
              <w:top w:val="single" w:sz="4" w:space="0" w:color="auto"/>
              <w:right w:val="single" w:sz="4" w:space="0" w:color="BFBFBF"/>
            </w:tcBorders>
            <w:shd w:val="clear" w:color="auto" w:fill="BDD6EE" w:themeFill="accent1" w:themeFillTint="66"/>
          </w:tcPr>
          <w:p w14:paraId="5027EA4B" w14:textId="77777777" w:rsidR="00CF406A" w:rsidRPr="00CB2437" w:rsidRDefault="00CF406A" w:rsidP="00A90717">
            <w:pPr>
              <w:spacing w:before="240" w:after="0"/>
              <w:rPr>
                <w:rFonts w:eastAsia="Calibri" w:cs="Times New Roman"/>
                <w:b/>
              </w:rPr>
            </w:pPr>
            <w:r w:rsidRPr="00CB2437">
              <w:rPr>
                <w:rFonts w:eastAsia="Calibri" w:cs="Times New Roman"/>
                <w:b/>
              </w:rPr>
              <w:t>Elément de mission</w:t>
            </w:r>
            <w:r w:rsidRPr="00CB2437">
              <w:rPr>
                <w:rFonts w:ascii="Calibri" w:eastAsia="Calibri" w:hAnsi="Calibri" w:cs="Calibri"/>
                <w:b/>
              </w:rPr>
              <w:t> </w:t>
            </w:r>
            <w:r w:rsidRPr="00CB2437">
              <w:rPr>
                <w:rFonts w:eastAsia="Calibri" w:cs="Times New Roman"/>
                <w:b/>
              </w:rPr>
              <w:t>: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BFBFBF"/>
            </w:tcBorders>
            <w:shd w:val="clear" w:color="auto" w:fill="BDD6EE" w:themeFill="accent1" w:themeFillTint="66"/>
            <w:vAlign w:val="center"/>
          </w:tcPr>
          <w:p w14:paraId="26542959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  <w:r w:rsidRPr="00CB2437">
              <w:rPr>
                <w:rFonts w:eastAsia="Calibri" w:cs="Times New Roman"/>
                <w:b/>
              </w:rPr>
              <w:t>Délais d’exécution maximum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BFBFBF"/>
            </w:tcBorders>
            <w:shd w:val="clear" w:color="auto" w:fill="BDD6EE" w:themeFill="accent1" w:themeFillTint="66"/>
          </w:tcPr>
          <w:p w14:paraId="05C2F69B" w14:textId="77777777" w:rsidR="00CF406A" w:rsidRPr="00F8160C" w:rsidRDefault="00CF406A" w:rsidP="00A90717">
            <w:pPr>
              <w:spacing w:before="0" w:after="0"/>
              <w:jc w:val="center"/>
              <w:rPr>
                <w:rFonts w:eastAsia="Calibri" w:cs="Arial"/>
                <w:b/>
                <w:color w:val="FF0000"/>
              </w:rPr>
            </w:pPr>
            <w:r w:rsidRPr="00F8160C">
              <w:rPr>
                <w:rFonts w:eastAsia="Calibri" w:cs="Arial"/>
                <w:b/>
                <w:color w:val="FF0000"/>
              </w:rPr>
              <w:t>Délai proposé</w:t>
            </w:r>
          </w:p>
          <w:p w14:paraId="237B3F6C" w14:textId="77777777" w:rsidR="00CF406A" w:rsidRPr="00CB2437" w:rsidRDefault="00CF406A" w:rsidP="00A90717">
            <w:pPr>
              <w:spacing w:before="0" w:after="0"/>
              <w:jc w:val="center"/>
              <w:rPr>
                <w:rFonts w:eastAsia="Calibri" w:cs="Times New Roman"/>
                <w:b/>
              </w:rPr>
            </w:pPr>
            <w:r w:rsidRPr="00F8160C">
              <w:rPr>
                <w:rFonts w:eastAsia="Calibri" w:cs="Arial"/>
                <w:b/>
                <w:color w:val="FF0000"/>
              </w:rPr>
              <w:t>(</w:t>
            </w:r>
            <w:proofErr w:type="gramStart"/>
            <w:r w:rsidRPr="00F8160C">
              <w:rPr>
                <w:rFonts w:eastAsia="Calibri" w:cs="Arial"/>
                <w:b/>
                <w:color w:val="FF0000"/>
              </w:rPr>
              <w:t>ce</w:t>
            </w:r>
            <w:proofErr w:type="gramEnd"/>
            <w:r w:rsidRPr="00F8160C">
              <w:rPr>
                <w:rFonts w:eastAsia="Calibri" w:cs="Arial"/>
                <w:b/>
                <w:color w:val="FF0000"/>
              </w:rPr>
              <w:t xml:space="preserve"> délai sera analysé)</w:t>
            </w:r>
          </w:p>
        </w:tc>
      </w:tr>
      <w:tr w:rsidR="00CF406A" w:rsidRPr="00CB2437" w14:paraId="077DE565" w14:textId="77777777" w:rsidTr="00A90717">
        <w:trPr>
          <w:trHeight w:val="836"/>
          <w:jc w:val="center"/>
        </w:trPr>
        <w:tc>
          <w:tcPr>
            <w:tcW w:w="2433" w:type="pct"/>
            <w:tcBorders>
              <w:top w:val="single" w:sz="4" w:space="0" w:color="auto"/>
              <w:right w:val="single" w:sz="4" w:space="0" w:color="BFBFBF"/>
            </w:tcBorders>
          </w:tcPr>
          <w:p w14:paraId="1D2B32BC" w14:textId="77777777" w:rsidR="00CF406A" w:rsidRPr="00CB2437" w:rsidRDefault="00CF406A" w:rsidP="00CF406A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 w:cs="Times New Roman"/>
              </w:rPr>
            </w:pPr>
            <w:r w:rsidRPr="00CB2437">
              <w:rPr>
                <w:rFonts w:eastAsia="Calibri" w:cs="Times New Roman"/>
              </w:rPr>
              <w:lastRenderedPageBreak/>
              <w:t>Mise à jour des calendriers détaillés des travaux.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BFBFBF"/>
            </w:tcBorders>
            <w:vAlign w:val="center"/>
          </w:tcPr>
          <w:p w14:paraId="1D460D12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  <w:r w:rsidRPr="00CB2437">
              <w:rPr>
                <w:rFonts w:eastAsia="Calibri" w:cs="Times New Roman"/>
                <w:b/>
              </w:rPr>
              <w:t>7 jours</w:t>
            </w:r>
          </w:p>
          <w:p w14:paraId="23703CEA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i/>
              </w:rPr>
            </w:pPr>
            <w:r w:rsidRPr="00CB2437">
              <w:rPr>
                <w:rFonts w:eastAsia="Calibri" w:cs="Times New Roman"/>
                <w:i/>
              </w:rPr>
              <w:t>A compter de la date de réception des calendriers des entreprises.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BFBFBF"/>
            </w:tcBorders>
          </w:tcPr>
          <w:p w14:paraId="23DD9A87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</w:p>
        </w:tc>
      </w:tr>
      <w:tr w:rsidR="00CF406A" w:rsidRPr="00CB2437" w14:paraId="7F23790C" w14:textId="77777777" w:rsidTr="00A90717">
        <w:trPr>
          <w:jc w:val="center"/>
        </w:trPr>
        <w:tc>
          <w:tcPr>
            <w:tcW w:w="2433" w:type="pct"/>
            <w:tcBorders>
              <w:right w:val="single" w:sz="4" w:space="0" w:color="BFBFBF"/>
            </w:tcBorders>
          </w:tcPr>
          <w:p w14:paraId="03D5F796" w14:textId="77777777" w:rsidR="00CF406A" w:rsidRPr="00CB2437" w:rsidRDefault="00CF406A" w:rsidP="00CF406A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 w:cs="Times New Roman"/>
              </w:rPr>
            </w:pPr>
            <w:r w:rsidRPr="00CB2437">
              <w:rPr>
                <w:rFonts w:eastAsia="Calibri" w:cs="Times New Roman"/>
              </w:rPr>
              <w:t>Vérification des documents d’exécution des entreprises et tenue du calendrier de diffusion/validation des documents</w:t>
            </w:r>
          </w:p>
        </w:tc>
        <w:tc>
          <w:tcPr>
            <w:tcW w:w="1572" w:type="pct"/>
            <w:tcBorders>
              <w:left w:val="single" w:sz="4" w:space="0" w:color="BFBFBF"/>
            </w:tcBorders>
            <w:vAlign w:val="center"/>
          </w:tcPr>
          <w:p w14:paraId="4287E931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  <w:r w:rsidRPr="00CB2437">
              <w:rPr>
                <w:rFonts w:eastAsia="Calibri" w:cs="Times New Roman"/>
                <w:b/>
              </w:rPr>
              <w:t>7 jours</w:t>
            </w:r>
          </w:p>
          <w:p w14:paraId="7309E360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i/>
              </w:rPr>
            </w:pPr>
            <w:r w:rsidRPr="00CB2437">
              <w:rPr>
                <w:rFonts w:eastAsia="Calibri" w:cs="Times New Roman"/>
                <w:i/>
              </w:rPr>
              <w:t>A compter de la date de réception des documents d’exécution.</w:t>
            </w:r>
          </w:p>
        </w:tc>
        <w:tc>
          <w:tcPr>
            <w:tcW w:w="995" w:type="pct"/>
            <w:tcBorders>
              <w:left w:val="single" w:sz="4" w:space="0" w:color="BFBFBF"/>
            </w:tcBorders>
          </w:tcPr>
          <w:p w14:paraId="5D64CD43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</w:p>
        </w:tc>
      </w:tr>
      <w:tr w:rsidR="00CF406A" w:rsidRPr="00CB2437" w14:paraId="480299EF" w14:textId="77777777" w:rsidTr="00A90717">
        <w:trPr>
          <w:jc w:val="center"/>
        </w:trPr>
        <w:tc>
          <w:tcPr>
            <w:tcW w:w="2433" w:type="pct"/>
            <w:tcBorders>
              <w:right w:val="single" w:sz="4" w:space="0" w:color="BFBFBF"/>
            </w:tcBorders>
          </w:tcPr>
          <w:p w14:paraId="0EE7CF47" w14:textId="77777777" w:rsidR="00CF406A" w:rsidRPr="00CB2437" w:rsidRDefault="00CF406A" w:rsidP="00CF406A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 w:cs="Times New Roman"/>
              </w:rPr>
            </w:pPr>
            <w:r w:rsidRPr="00CB2437">
              <w:rPr>
                <w:rFonts w:eastAsia="Calibri" w:cs="Times New Roman"/>
              </w:rPr>
              <w:t>Etablissement et diffusion des compte-rendu de réunions de chantier, de ces avis, du planning actualisé et de tout autre document</w:t>
            </w:r>
          </w:p>
        </w:tc>
        <w:tc>
          <w:tcPr>
            <w:tcW w:w="1572" w:type="pct"/>
            <w:tcBorders>
              <w:left w:val="single" w:sz="4" w:space="0" w:color="BFBFBF"/>
            </w:tcBorders>
            <w:vAlign w:val="center"/>
          </w:tcPr>
          <w:p w14:paraId="6E078B77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  <w:r w:rsidRPr="00CB2437">
              <w:rPr>
                <w:rFonts w:eastAsia="Calibri" w:cs="Times New Roman"/>
                <w:b/>
              </w:rPr>
              <w:t>48 heures</w:t>
            </w:r>
          </w:p>
          <w:p w14:paraId="327E48AC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i/>
              </w:rPr>
            </w:pPr>
            <w:r w:rsidRPr="00CB2437">
              <w:rPr>
                <w:rFonts w:eastAsia="Calibri" w:cs="Times New Roman"/>
                <w:i/>
              </w:rPr>
              <w:t>Après la date de la réunion</w:t>
            </w:r>
          </w:p>
        </w:tc>
        <w:tc>
          <w:tcPr>
            <w:tcW w:w="995" w:type="pct"/>
            <w:tcBorders>
              <w:left w:val="single" w:sz="4" w:space="0" w:color="BFBFBF"/>
            </w:tcBorders>
          </w:tcPr>
          <w:p w14:paraId="31B6AC74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</w:p>
        </w:tc>
      </w:tr>
      <w:tr w:rsidR="00CF406A" w:rsidRPr="00CB2437" w14:paraId="6667CEE4" w14:textId="77777777" w:rsidTr="00A90717">
        <w:trPr>
          <w:jc w:val="center"/>
        </w:trPr>
        <w:tc>
          <w:tcPr>
            <w:tcW w:w="2433" w:type="pct"/>
            <w:tcBorders>
              <w:bottom w:val="single" w:sz="4" w:space="0" w:color="auto"/>
              <w:right w:val="single" w:sz="4" w:space="0" w:color="BFBFBF"/>
            </w:tcBorders>
          </w:tcPr>
          <w:p w14:paraId="26D83DB8" w14:textId="77777777" w:rsidR="00CF406A" w:rsidRPr="00CB2437" w:rsidRDefault="00CF406A" w:rsidP="00CF406A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 w:cs="Times New Roman"/>
              </w:rPr>
            </w:pPr>
            <w:r w:rsidRPr="00CB2437">
              <w:rPr>
                <w:rFonts w:eastAsia="Calibri" w:cs="Times New Roman"/>
              </w:rPr>
              <w:t>Contrôle périodique de l’avancement des travaux au regard des calendriers en vigueur, diffusion des avis et actions coercitives.</w:t>
            </w:r>
          </w:p>
        </w:tc>
        <w:tc>
          <w:tcPr>
            <w:tcW w:w="1572" w:type="pct"/>
            <w:tcBorders>
              <w:left w:val="single" w:sz="4" w:space="0" w:color="BFBFBF"/>
              <w:bottom w:val="single" w:sz="4" w:space="0" w:color="auto"/>
            </w:tcBorders>
            <w:vAlign w:val="center"/>
          </w:tcPr>
          <w:p w14:paraId="50C471CB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  <w:r w:rsidRPr="00CB2437">
              <w:rPr>
                <w:rFonts w:eastAsia="Calibri" w:cs="Times New Roman"/>
                <w:b/>
              </w:rPr>
              <w:t>48 heures</w:t>
            </w:r>
          </w:p>
          <w:p w14:paraId="1B4E4A32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i/>
              </w:rPr>
            </w:pPr>
            <w:r w:rsidRPr="00CB2437">
              <w:rPr>
                <w:rFonts w:eastAsia="Calibri" w:cs="Times New Roman"/>
                <w:i/>
              </w:rPr>
              <w:t>Après la date du contrôle</w:t>
            </w:r>
          </w:p>
        </w:tc>
        <w:tc>
          <w:tcPr>
            <w:tcW w:w="995" w:type="pct"/>
            <w:tcBorders>
              <w:left w:val="single" w:sz="4" w:space="0" w:color="BFBFBF"/>
              <w:bottom w:val="single" w:sz="4" w:space="0" w:color="auto"/>
            </w:tcBorders>
          </w:tcPr>
          <w:p w14:paraId="258124A7" w14:textId="77777777" w:rsidR="00CF406A" w:rsidRPr="00CB2437" w:rsidRDefault="00CF406A" w:rsidP="00A90717">
            <w:pPr>
              <w:spacing w:before="0" w:after="0"/>
              <w:rPr>
                <w:rFonts w:eastAsia="Calibri" w:cs="Times New Roman"/>
                <w:b/>
              </w:rPr>
            </w:pPr>
          </w:p>
        </w:tc>
      </w:tr>
    </w:tbl>
    <w:p w14:paraId="3778F1D2" w14:textId="77777777" w:rsidR="00CF406A" w:rsidRDefault="00CF406A" w:rsidP="00CF406A">
      <w:pPr>
        <w:spacing w:before="120" w:after="120"/>
        <w:ind w:left="720"/>
        <w:contextualSpacing/>
        <w:jc w:val="left"/>
        <w:rPr>
          <w:rFonts w:eastAsia="Calibri" w:cs="Times New Roman"/>
          <w:b/>
          <w:bCs/>
          <w:u w:val="single"/>
        </w:rPr>
      </w:pPr>
    </w:p>
    <w:p w14:paraId="35E1DBD5" w14:textId="77777777" w:rsidR="00CF406A" w:rsidRPr="00F8160C" w:rsidRDefault="00CF406A" w:rsidP="00CF406A">
      <w:pPr>
        <w:numPr>
          <w:ilvl w:val="0"/>
          <w:numId w:val="16"/>
        </w:numPr>
        <w:spacing w:before="120" w:after="120"/>
        <w:contextualSpacing/>
        <w:jc w:val="left"/>
        <w:rPr>
          <w:rFonts w:eastAsia="Calibri" w:cs="Times New Roman"/>
          <w:b/>
          <w:bCs/>
          <w:u w:val="single"/>
        </w:rPr>
      </w:pPr>
      <w:r w:rsidRPr="00CB2437">
        <w:rPr>
          <w:rFonts w:eastAsia="Calibri" w:cs="Times New Roman"/>
          <w:b/>
          <w:bCs/>
          <w:u w:val="single"/>
        </w:rPr>
        <w:t>Phase assistance aux opérations de réception</w:t>
      </w:r>
      <w:r w:rsidRPr="00CB2437">
        <w:rPr>
          <w:rFonts w:eastAsia="Calibri" w:cs="Times New Roman"/>
          <w:b/>
          <w:bCs/>
        </w:rPr>
        <w:t xml:space="preserve"> </w:t>
      </w:r>
    </w:p>
    <w:p w14:paraId="34BB4C5A" w14:textId="77777777" w:rsidR="00CF406A" w:rsidRPr="00CB2437" w:rsidRDefault="00CF406A" w:rsidP="00CF406A">
      <w:pPr>
        <w:spacing w:before="120" w:after="120"/>
        <w:ind w:left="720"/>
        <w:contextualSpacing/>
        <w:jc w:val="left"/>
        <w:rPr>
          <w:rFonts w:eastAsia="Calibri" w:cs="Times New Roman"/>
          <w:b/>
          <w:bCs/>
          <w:u w:val="single"/>
        </w:rPr>
      </w:pPr>
    </w:p>
    <w:tbl>
      <w:tblPr>
        <w:tblStyle w:val="Grilledutableau2"/>
        <w:tblW w:w="0" w:type="auto"/>
        <w:jc w:val="center"/>
        <w:tblBorders>
          <w:insideH w:val="single" w:sz="4" w:space="0" w:color="BFBF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2871"/>
        <w:gridCol w:w="1805"/>
      </w:tblGrid>
      <w:tr w:rsidR="00CF406A" w:rsidRPr="00CB2437" w14:paraId="04C09BAD" w14:textId="77777777" w:rsidTr="007D295E">
        <w:trPr>
          <w:trHeight w:val="509"/>
          <w:jc w:val="center"/>
        </w:trPr>
        <w:tc>
          <w:tcPr>
            <w:tcW w:w="4386" w:type="dxa"/>
            <w:tcBorders>
              <w:top w:val="single" w:sz="4" w:space="0" w:color="auto"/>
              <w:right w:val="single" w:sz="4" w:space="0" w:color="BFBFBF"/>
            </w:tcBorders>
            <w:shd w:val="clear" w:color="auto" w:fill="BDD6EE" w:themeFill="accent1" w:themeFillTint="66"/>
            <w:vAlign w:val="center"/>
          </w:tcPr>
          <w:p w14:paraId="106CE799" w14:textId="77777777" w:rsidR="00CF406A" w:rsidRPr="00CB2437" w:rsidRDefault="00CF406A" w:rsidP="00A90717">
            <w:pPr>
              <w:keepLines/>
              <w:widowControl w:val="0"/>
              <w:autoSpaceDE w:val="0"/>
              <w:autoSpaceDN w:val="0"/>
              <w:adjustRightInd w:val="0"/>
              <w:spacing w:before="0" w:after="0"/>
              <w:rPr>
                <w:b/>
              </w:rPr>
            </w:pPr>
            <w:r w:rsidRPr="00CB2437">
              <w:rPr>
                <w:b/>
              </w:rPr>
              <w:t>Elément de mission</w:t>
            </w:r>
            <w:r w:rsidRPr="00CB2437">
              <w:rPr>
                <w:rFonts w:ascii="Calibri" w:hAnsi="Calibri" w:cs="Calibri"/>
                <w:b/>
              </w:rPr>
              <w:t> </w:t>
            </w:r>
            <w:r w:rsidRPr="00CB2437">
              <w:rPr>
                <w:b/>
              </w:rPr>
              <w:t>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BFBFBF"/>
            </w:tcBorders>
            <w:shd w:val="clear" w:color="auto" w:fill="BDD6EE" w:themeFill="accent1" w:themeFillTint="66"/>
            <w:vAlign w:val="center"/>
          </w:tcPr>
          <w:p w14:paraId="3CFD9653" w14:textId="77777777" w:rsidR="00CF406A" w:rsidRPr="00CB2437" w:rsidRDefault="00CF406A" w:rsidP="00A90717">
            <w:pPr>
              <w:spacing w:before="0" w:after="0"/>
              <w:rPr>
                <w:b/>
              </w:rPr>
            </w:pPr>
            <w:r w:rsidRPr="00CB2437">
              <w:rPr>
                <w:b/>
              </w:rPr>
              <w:t>Délais d’exécution maximum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BFBFBF"/>
            </w:tcBorders>
            <w:shd w:val="clear" w:color="auto" w:fill="BDD6EE" w:themeFill="accent1" w:themeFillTint="66"/>
          </w:tcPr>
          <w:p w14:paraId="677CBB67" w14:textId="77777777" w:rsidR="00CF406A" w:rsidRPr="00F8160C" w:rsidRDefault="00CF406A" w:rsidP="00A90717">
            <w:pPr>
              <w:spacing w:before="0" w:after="0"/>
              <w:jc w:val="center"/>
              <w:rPr>
                <w:rFonts w:cs="Arial"/>
                <w:b/>
                <w:color w:val="FF0000"/>
              </w:rPr>
            </w:pPr>
            <w:r w:rsidRPr="00F8160C">
              <w:rPr>
                <w:rFonts w:cs="Arial"/>
                <w:b/>
                <w:color w:val="FF0000"/>
              </w:rPr>
              <w:t>Délai proposé</w:t>
            </w:r>
          </w:p>
          <w:p w14:paraId="372E42AC" w14:textId="77777777" w:rsidR="00CF406A" w:rsidRPr="00CB2437" w:rsidRDefault="00CF406A" w:rsidP="00A90717">
            <w:pPr>
              <w:spacing w:before="0" w:after="0"/>
              <w:jc w:val="center"/>
              <w:rPr>
                <w:b/>
              </w:rPr>
            </w:pPr>
            <w:r w:rsidRPr="00F8160C">
              <w:rPr>
                <w:rFonts w:cs="Arial"/>
                <w:b/>
                <w:color w:val="FF0000"/>
              </w:rPr>
              <w:t>(</w:t>
            </w:r>
            <w:proofErr w:type="gramStart"/>
            <w:r w:rsidRPr="00F8160C">
              <w:rPr>
                <w:rFonts w:cs="Arial"/>
                <w:b/>
                <w:color w:val="FF0000"/>
              </w:rPr>
              <w:t>ce</w:t>
            </w:r>
            <w:proofErr w:type="gramEnd"/>
            <w:r w:rsidRPr="00F8160C">
              <w:rPr>
                <w:rFonts w:cs="Arial"/>
                <w:b/>
                <w:color w:val="FF0000"/>
              </w:rPr>
              <w:t xml:space="preserve"> délai sera analysé)</w:t>
            </w:r>
          </w:p>
        </w:tc>
      </w:tr>
      <w:tr w:rsidR="00CF406A" w:rsidRPr="00CB2437" w14:paraId="31E0E60D" w14:textId="77777777" w:rsidTr="007D295E">
        <w:trPr>
          <w:jc w:val="center"/>
        </w:trPr>
        <w:tc>
          <w:tcPr>
            <w:tcW w:w="4386" w:type="dxa"/>
            <w:tcBorders>
              <w:top w:val="single" w:sz="4" w:space="0" w:color="auto"/>
              <w:right w:val="single" w:sz="4" w:space="0" w:color="BFBFBF"/>
            </w:tcBorders>
          </w:tcPr>
          <w:p w14:paraId="6C20F17E" w14:textId="77777777" w:rsidR="00CF406A" w:rsidRPr="00CB2437" w:rsidRDefault="00CF406A" w:rsidP="00CF406A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59" w:lineRule="auto"/>
              <w:jc w:val="left"/>
            </w:pPr>
            <w:r w:rsidRPr="00CB2437">
              <w:t>Calendrier des opérations de réception. Contrôle, suivi et mise à jour.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BFBFBF"/>
            </w:tcBorders>
            <w:vAlign w:val="center"/>
          </w:tcPr>
          <w:p w14:paraId="46DD7113" w14:textId="77777777" w:rsidR="00CF406A" w:rsidRPr="00CB2437" w:rsidRDefault="00CF406A" w:rsidP="00A90717">
            <w:pPr>
              <w:spacing w:before="0" w:after="0" w:line="259" w:lineRule="auto"/>
              <w:rPr>
                <w:b/>
              </w:rPr>
            </w:pPr>
            <w:r w:rsidRPr="00CB2437">
              <w:rPr>
                <w:b/>
              </w:rPr>
              <w:t>6 jours</w:t>
            </w:r>
          </w:p>
          <w:p w14:paraId="3847BAF2" w14:textId="77777777" w:rsidR="00CF406A" w:rsidRPr="00CB2437" w:rsidRDefault="00CF406A" w:rsidP="00A90717">
            <w:pPr>
              <w:spacing w:before="0" w:after="0" w:line="259" w:lineRule="auto"/>
              <w:rPr>
                <w:i/>
              </w:rPr>
            </w:pPr>
            <w:r w:rsidRPr="00CB2437">
              <w:rPr>
                <w:i/>
              </w:rPr>
              <w:t>Avant la date des OPR fixée par le maître d’œuvre.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BFBFBF"/>
            </w:tcBorders>
          </w:tcPr>
          <w:p w14:paraId="32DBB5F9" w14:textId="77777777" w:rsidR="00CF406A" w:rsidRPr="00CB2437" w:rsidRDefault="00CF406A" w:rsidP="00A90717">
            <w:pPr>
              <w:spacing w:before="0" w:after="0"/>
              <w:rPr>
                <w:b/>
              </w:rPr>
            </w:pPr>
          </w:p>
        </w:tc>
      </w:tr>
      <w:tr w:rsidR="00CF406A" w:rsidRPr="00CB2437" w14:paraId="25190EA8" w14:textId="77777777" w:rsidTr="007D295E">
        <w:trPr>
          <w:jc w:val="center"/>
        </w:trPr>
        <w:tc>
          <w:tcPr>
            <w:tcW w:w="4386" w:type="dxa"/>
            <w:tcBorders>
              <w:right w:val="single" w:sz="4" w:space="0" w:color="BFBFBF"/>
            </w:tcBorders>
          </w:tcPr>
          <w:p w14:paraId="1BE65D56" w14:textId="77777777" w:rsidR="00CF406A" w:rsidRPr="00CB2437" w:rsidRDefault="00CF406A" w:rsidP="00CF406A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59" w:lineRule="auto"/>
              <w:jc w:val="left"/>
            </w:pPr>
            <w:r w:rsidRPr="00CB2437">
              <w:t>Calendrier des levées de réserves. Contrôle, suivi et mise à jour.</w:t>
            </w:r>
          </w:p>
        </w:tc>
        <w:tc>
          <w:tcPr>
            <w:tcW w:w="2871" w:type="dxa"/>
            <w:tcBorders>
              <w:left w:val="single" w:sz="4" w:space="0" w:color="BFBFBF"/>
            </w:tcBorders>
            <w:vAlign w:val="center"/>
          </w:tcPr>
          <w:p w14:paraId="6F977332" w14:textId="77777777" w:rsidR="00CF406A" w:rsidRPr="00CB2437" w:rsidRDefault="00CF406A" w:rsidP="00A90717">
            <w:pPr>
              <w:spacing w:before="0" w:after="0" w:line="259" w:lineRule="auto"/>
              <w:rPr>
                <w:b/>
              </w:rPr>
            </w:pPr>
            <w:r w:rsidRPr="00CB2437">
              <w:rPr>
                <w:b/>
              </w:rPr>
              <w:t>6 jours</w:t>
            </w:r>
          </w:p>
          <w:p w14:paraId="202B45E5" w14:textId="77777777" w:rsidR="00CF406A" w:rsidRPr="00CB2437" w:rsidRDefault="00CF406A" w:rsidP="00A90717">
            <w:pPr>
              <w:spacing w:before="0" w:after="0" w:line="259" w:lineRule="auto"/>
              <w:rPr>
                <w:b/>
              </w:rPr>
            </w:pPr>
            <w:r w:rsidRPr="00CB2437">
              <w:rPr>
                <w:i/>
              </w:rPr>
              <w:t>Après la date d’établissement du procès-verbal des OPR.</w:t>
            </w:r>
          </w:p>
        </w:tc>
        <w:tc>
          <w:tcPr>
            <w:tcW w:w="1805" w:type="dxa"/>
            <w:tcBorders>
              <w:left w:val="single" w:sz="4" w:space="0" w:color="BFBFBF"/>
            </w:tcBorders>
          </w:tcPr>
          <w:p w14:paraId="37251811" w14:textId="77777777" w:rsidR="00CF406A" w:rsidRPr="00CB2437" w:rsidRDefault="00CF406A" w:rsidP="00A90717">
            <w:pPr>
              <w:spacing w:before="0" w:after="0"/>
              <w:rPr>
                <w:b/>
              </w:rPr>
            </w:pPr>
          </w:p>
        </w:tc>
      </w:tr>
      <w:tr w:rsidR="00CF406A" w:rsidRPr="00CB2437" w14:paraId="187C1B0A" w14:textId="77777777" w:rsidTr="007D295E">
        <w:trPr>
          <w:jc w:val="center"/>
        </w:trPr>
        <w:tc>
          <w:tcPr>
            <w:tcW w:w="4386" w:type="dxa"/>
            <w:tcBorders>
              <w:right w:val="single" w:sz="4" w:space="0" w:color="BFBFBF"/>
            </w:tcBorders>
          </w:tcPr>
          <w:p w14:paraId="4D540BA3" w14:textId="77777777" w:rsidR="00CF406A" w:rsidRPr="00CB2437" w:rsidRDefault="00CF406A" w:rsidP="00CF406A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jc w:val="left"/>
            </w:pPr>
            <w:r w:rsidRPr="00CB2437">
              <w:t>Etablissement et diffusion des compte-rendu de réunions, de ces avis, du planning actualisé et de tout autre document.</w:t>
            </w:r>
          </w:p>
        </w:tc>
        <w:tc>
          <w:tcPr>
            <w:tcW w:w="2871" w:type="dxa"/>
            <w:tcBorders>
              <w:left w:val="single" w:sz="4" w:space="0" w:color="BFBFBF"/>
            </w:tcBorders>
            <w:vAlign w:val="center"/>
          </w:tcPr>
          <w:p w14:paraId="2C4F466E" w14:textId="77777777" w:rsidR="00CF406A" w:rsidRPr="00CB2437" w:rsidRDefault="00CF406A" w:rsidP="00A90717">
            <w:pPr>
              <w:spacing w:before="0" w:after="0"/>
              <w:rPr>
                <w:b/>
              </w:rPr>
            </w:pPr>
            <w:r w:rsidRPr="00CB2437">
              <w:rPr>
                <w:b/>
              </w:rPr>
              <w:t>48 heures</w:t>
            </w:r>
          </w:p>
          <w:p w14:paraId="784DB81C" w14:textId="77777777" w:rsidR="00CF406A" w:rsidRPr="00CB2437" w:rsidRDefault="00CF406A" w:rsidP="00A90717">
            <w:pPr>
              <w:spacing w:before="0" w:after="0"/>
              <w:rPr>
                <w:b/>
              </w:rPr>
            </w:pPr>
            <w:r w:rsidRPr="00CB2437">
              <w:rPr>
                <w:i/>
              </w:rPr>
              <w:t>A compter de la demande de la Maitrise d’œuvre</w:t>
            </w:r>
            <w:r w:rsidRPr="00CB2437">
              <w:rPr>
                <w:b/>
              </w:rPr>
              <w:t>.</w:t>
            </w:r>
          </w:p>
        </w:tc>
        <w:tc>
          <w:tcPr>
            <w:tcW w:w="1805" w:type="dxa"/>
            <w:tcBorders>
              <w:left w:val="single" w:sz="4" w:space="0" w:color="BFBFBF"/>
            </w:tcBorders>
          </w:tcPr>
          <w:p w14:paraId="589CF551" w14:textId="77777777" w:rsidR="00CF406A" w:rsidRPr="00CB2437" w:rsidRDefault="00CF406A" w:rsidP="00A90717">
            <w:pPr>
              <w:spacing w:before="0" w:after="0"/>
              <w:rPr>
                <w:b/>
              </w:rPr>
            </w:pPr>
          </w:p>
        </w:tc>
      </w:tr>
    </w:tbl>
    <w:p w14:paraId="64E07DFD" w14:textId="77777777" w:rsidR="007D295E" w:rsidRDefault="007D295E" w:rsidP="007D295E">
      <w:pPr>
        <w:pStyle w:val="Titre2"/>
        <w:rPr>
          <w:b/>
          <w:szCs w:val="24"/>
        </w:rPr>
      </w:pPr>
      <w:bookmarkStart w:id="12" w:name="_Toc180659067"/>
      <w:bookmarkStart w:id="13" w:name="_Toc180678303"/>
      <w:bookmarkStart w:id="14" w:name="_Toc184651613"/>
      <w:bookmarkEnd w:id="9"/>
      <w:r>
        <w:rPr>
          <w:b/>
          <w:szCs w:val="24"/>
        </w:rPr>
        <w:t>Critère environnemental (10 points)</w:t>
      </w:r>
      <w:bookmarkEnd w:id="12"/>
      <w:bookmarkEnd w:id="13"/>
      <w:bookmarkEnd w:id="14"/>
    </w:p>
    <w:p w14:paraId="134E404F" w14:textId="77777777" w:rsidR="007D295E" w:rsidRDefault="007D295E" w:rsidP="007D295E">
      <w:r>
        <w:t xml:space="preserve">Le soumissionnaire propose une méthodologie pour réduire l’impact carbone de sa propre mission </w:t>
      </w:r>
    </w:p>
    <w:p w14:paraId="3C05D1AB" w14:textId="77777777" w:rsidR="007D295E" w:rsidRDefault="007D295E" w:rsidP="007D295E">
      <w:r>
        <w:t>Descriptif des taches</w:t>
      </w:r>
    </w:p>
    <w:p w14:paraId="46496516" w14:textId="77777777" w:rsidR="007D295E" w:rsidRDefault="007D295E" w:rsidP="007D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</w:p>
    <w:p w14:paraId="08B7E047" w14:textId="77777777" w:rsidR="007D295E" w:rsidRDefault="007D295E" w:rsidP="007D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23AAC2" w14:textId="77777777" w:rsidR="007D295E" w:rsidRDefault="007D295E" w:rsidP="007D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5A9957" w14:textId="77777777" w:rsidR="007D295E" w:rsidRDefault="007D295E" w:rsidP="007D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FCE669" w14:textId="5D86C80F" w:rsidR="003B4AFE" w:rsidRDefault="003B4AFE" w:rsidP="00A86259"/>
    <w:bookmarkEnd w:id="10"/>
    <w:sectPr w:rsidR="003B4AF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3F8A8A24" w14:textId="55CFEE67" w:rsidR="000D34CE" w:rsidRDefault="0036226C" w:rsidP="000D34CE">
    <w:pPr>
      <w:pStyle w:val="Pieddepage"/>
      <w:jc w:val="left"/>
    </w:pPr>
    <w:proofErr w:type="gramStart"/>
    <w:r>
      <w:t xml:space="preserve">Marché </w:t>
    </w:r>
    <w:r w:rsidR="00E34904">
      <w:t xml:space="preserve"> </w:t>
    </w:r>
    <w:r>
      <w:t>N</w:t>
    </w:r>
    <w:proofErr w:type="gramEnd"/>
    <w:r w:rsidR="00E34904">
      <w:t xml:space="preserve">° </w:t>
    </w:r>
    <w:r>
      <w:t>2024-214-REC-XXXXX</w:t>
    </w:r>
  </w:p>
  <w:p w14:paraId="40E26C02" w14:textId="3312DC70" w:rsidR="000D34CE" w:rsidRDefault="002B5E2D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F212B8"/>
    <w:multiLevelType w:val="hybridMultilevel"/>
    <w:tmpl w:val="9704FA84"/>
    <w:lvl w:ilvl="0" w:tplc="909049E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D37BE"/>
    <w:multiLevelType w:val="hybridMultilevel"/>
    <w:tmpl w:val="39EC71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033565">
    <w:abstractNumId w:val="11"/>
  </w:num>
  <w:num w:numId="2" w16cid:durableId="349651087">
    <w:abstractNumId w:val="3"/>
  </w:num>
  <w:num w:numId="3" w16cid:durableId="1699741886">
    <w:abstractNumId w:val="13"/>
  </w:num>
  <w:num w:numId="4" w16cid:durableId="1073940164">
    <w:abstractNumId w:val="9"/>
  </w:num>
  <w:num w:numId="5" w16cid:durableId="435946840">
    <w:abstractNumId w:val="6"/>
  </w:num>
  <w:num w:numId="6" w16cid:durableId="854537109">
    <w:abstractNumId w:val="8"/>
  </w:num>
  <w:num w:numId="7" w16cid:durableId="1323461998">
    <w:abstractNumId w:val="2"/>
  </w:num>
  <w:num w:numId="8" w16cid:durableId="1747142251">
    <w:abstractNumId w:val="10"/>
  </w:num>
  <w:num w:numId="9" w16cid:durableId="1378506573">
    <w:abstractNumId w:val="1"/>
  </w:num>
  <w:num w:numId="10" w16cid:durableId="210968160">
    <w:abstractNumId w:val="4"/>
  </w:num>
  <w:num w:numId="11" w16cid:durableId="855771193">
    <w:abstractNumId w:val="0"/>
  </w:num>
  <w:num w:numId="12" w16cid:durableId="1251354492">
    <w:abstractNumId w:val="14"/>
  </w:num>
  <w:num w:numId="13" w16cid:durableId="580985918">
    <w:abstractNumId w:val="6"/>
  </w:num>
  <w:num w:numId="14" w16cid:durableId="478503212">
    <w:abstractNumId w:val="5"/>
  </w:num>
  <w:num w:numId="15" w16cid:durableId="18286984">
    <w:abstractNumId w:val="7"/>
  </w:num>
  <w:num w:numId="16" w16cid:durableId="17316164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D34CE"/>
    <w:rsid w:val="001172CD"/>
    <w:rsid w:val="001446A8"/>
    <w:rsid w:val="0014778A"/>
    <w:rsid w:val="001525B8"/>
    <w:rsid w:val="001A6704"/>
    <w:rsid w:val="001B7077"/>
    <w:rsid w:val="001D5528"/>
    <w:rsid w:val="001E0BFB"/>
    <w:rsid w:val="00217F36"/>
    <w:rsid w:val="00291E0A"/>
    <w:rsid w:val="00296C7A"/>
    <w:rsid w:val="002A3E72"/>
    <w:rsid w:val="002B5E2D"/>
    <w:rsid w:val="00313DD6"/>
    <w:rsid w:val="0034200B"/>
    <w:rsid w:val="0036226C"/>
    <w:rsid w:val="003823EA"/>
    <w:rsid w:val="003B4AFE"/>
    <w:rsid w:val="003D337B"/>
    <w:rsid w:val="003E4469"/>
    <w:rsid w:val="00453C18"/>
    <w:rsid w:val="004946A6"/>
    <w:rsid w:val="004A5388"/>
    <w:rsid w:val="004F0E12"/>
    <w:rsid w:val="005160D8"/>
    <w:rsid w:val="00614A57"/>
    <w:rsid w:val="006245E5"/>
    <w:rsid w:val="00633D6C"/>
    <w:rsid w:val="00636179"/>
    <w:rsid w:val="00657162"/>
    <w:rsid w:val="007660BF"/>
    <w:rsid w:val="0077730B"/>
    <w:rsid w:val="007A7B54"/>
    <w:rsid w:val="007D295E"/>
    <w:rsid w:val="007F4C7C"/>
    <w:rsid w:val="0080219B"/>
    <w:rsid w:val="008340FD"/>
    <w:rsid w:val="00874AA7"/>
    <w:rsid w:val="008F6618"/>
    <w:rsid w:val="009A265E"/>
    <w:rsid w:val="00A01095"/>
    <w:rsid w:val="00A43061"/>
    <w:rsid w:val="00A724AC"/>
    <w:rsid w:val="00A86259"/>
    <w:rsid w:val="00A87159"/>
    <w:rsid w:val="00AA026E"/>
    <w:rsid w:val="00AC158A"/>
    <w:rsid w:val="00B47480"/>
    <w:rsid w:val="00B64261"/>
    <w:rsid w:val="00B93A28"/>
    <w:rsid w:val="00C37196"/>
    <w:rsid w:val="00C827F3"/>
    <w:rsid w:val="00CA6AAB"/>
    <w:rsid w:val="00CD4092"/>
    <w:rsid w:val="00CD417E"/>
    <w:rsid w:val="00CF406A"/>
    <w:rsid w:val="00D07B3A"/>
    <w:rsid w:val="00D35898"/>
    <w:rsid w:val="00D635FC"/>
    <w:rsid w:val="00DD6FFC"/>
    <w:rsid w:val="00E26856"/>
    <w:rsid w:val="00E34904"/>
    <w:rsid w:val="00E719E0"/>
    <w:rsid w:val="00EA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CF4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F40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B5E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E2D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313DD6"/>
    <w:rsid w:val="00546E1C"/>
    <w:rsid w:val="00617F65"/>
    <w:rsid w:val="00633D6C"/>
    <w:rsid w:val="006A558F"/>
    <w:rsid w:val="007F7B91"/>
    <w:rsid w:val="00947E91"/>
    <w:rsid w:val="00C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E1C"/>
    <w:rPr>
      <w:color w:val="808080"/>
    </w:rPr>
  </w:style>
  <w:style w:type="paragraph" w:customStyle="1" w:styleId="22918DE113E142DDB9058E6F1CD8E127">
    <w:name w:val="22918DE113E142DDB9058E6F1CD8E127"/>
    <w:rsid w:val="000266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732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11</cp:revision>
  <dcterms:created xsi:type="dcterms:W3CDTF">2024-06-14T06:51:00Z</dcterms:created>
  <dcterms:modified xsi:type="dcterms:W3CDTF">2024-12-09T12:46:00Z</dcterms:modified>
</cp:coreProperties>
</file>