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Pr="00207909" w:rsidRDefault="000F4BD7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p w14:paraId="7929990F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p w14:paraId="4BE1BE19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6E14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77777777" w:rsidR="000F4BD7" w:rsidRPr="00207909" w:rsidRDefault="000F4BD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79D213DF" w14:textId="55BF4E79" w:rsidR="000F4BD7" w:rsidRPr="00207909" w:rsidRDefault="00BA6D1F" w:rsidP="00BA6D1F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BA6D1F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PUBLIC DE FOURNITURES COURANTES ET SERVICES</w:t>
      </w:r>
    </w:p>
    <w:p w14:paraId="0B515690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4A72923A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BA6D1F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E33E4BC" w14:textId="77777777" w:rsidR="00BA6D1F" w:rsidRPr="00BA6D1F" w:rsidRDefault="00BA6D1F" w:rsidP="00BA6D1F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bookmarkStart w:id="0" w:name="_Hlk107493918"/>
            <w:r w:rsidRPr="00BA6D1F">
              <w:rPr>
                <w:rFonts w:asciiTheme="minorHAnsi" w:hAnsiTheme="minorHAnsi" w:cstheme="minorHAnsi"/>
                <w:b/>
                <w:bCs/>
                <w:lang w:val="fr-FR"/>
              </w:rPr>
              <w:t>Prestations de nettoyage des locaux et fournitures associées pour le centre Inria de Lyon</w:t>
            </w:r>
          </w:p>
          <w:p w14:paraId="07DAE84D" w14:textId="77777777" w:rsidR="00BA6D1F" w:rsidRPr="00BA6D1F" w:rsidRDefault="00BA6D1F" w:rsidP="00BA6D1F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  <w:p w14:paraId="471CD29D" w14:textId="740E89F1" w:rsidR="00D50E31" w:rsidRPr="00207909" w:rsidRDefault="00BA6D1F" w:rsidP="00BA6D1F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 w:rsidRPr="00BA6D1F">
              <w:rPr>
                <w:rFonts w:asciiTheme="minorHAnsi" w:hAnsiTheme="minorHAnsi" w:cstheme="minorHAnsi"/>
                <w:b/>
                <w:bCs/>
                <w:lang w:val="fr-FR"/>
              </w:rPr>
              <w:t>MARCHÉ N° 2025-0013</w:t>
            </w:r>
          </w:p>
        </w:tc>
      </w:tr>
    </w:tbl>
    <w:bookmarkEnd w:id="0"/>
    <w:p w14:paraId="266A5AE8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4BD7" w:rsidRPr="00BA6D1F" w14:paraId="0465B8A0" w14:textId="77777777" w:rsidTr="008B1E13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CA9" w14:textId="77777777" w:rsidR="000F4BD7" w:rsidRPr="00207909" w:rsidRDefault="000F4BD7" w:rsidP="006E140C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77D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7B40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21BD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212F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D38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883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4499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4E3E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5DE5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01A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5696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</w:tr>
    </w:tbl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449A2A1A" w14:textId="77777777" w:rsidR="00BA6D1F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BA6D1F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LYON</w:t>
      </w:r>
    </w:p>
    <w:p w14:paraId="694DEE40" w14:textId="77777777" w:rsidR="00BA6D1F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r w:rsidRPr="00BA6D1F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Campus La Doua</w:t>
      </w:r>
    </w:p>
    <w:p w14:paraId="6DBA000A" w14:textId="77777777" w:rsidR="00BA6D1F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r w:rsidRPr="00BA6D1F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Bâtiment CEI-2</w:t>
      </w:r>
    </w:p>
    <w:p w14:paraId="13A063F7" w14:textId="77777777" w:rsidR="00BA6D1F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r w:rsidRPr="00BA6D1F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56 Boulevard Niels Bohr</w:t>
      </w:r>
    </w:p>
    <w:p w14:paraId="0B27B69A" w14:textId="77777777" w:rsidR="00BA6D1F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r w:rsidRPr="00BA6D1F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CS 52132</w:t>
      </w:r>
    </w:p>
    <w:p w14:paraId="033CB574" w14:textId="0D94EA72" w:rsidR="000F4BD7" w:rsidRPr="00BA6D1F" w:rsidRDefault="00BA6D1F" w:rsidP="00BA6D1F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BA6D1F">
          <w:pgSz w:w="11900" w:h="16840"/>
          <w:pgMar w:top="1134" w:right="1134" w:bottom="1134" w:left="1134" w:header="1134" w:footer="1134" w:gutter="0"/>
          <w:cols w:space="708"/>
        </w:sectPr>
      </w:pPr>
      <w:r w:rsidRPr="00BA6D1F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69603 VILLEURBANNE</w:t>
      </w:r>
    </w:p>
    <w:p w14:paraId="4B09CAC7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207909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207909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B783726" w14:textId="1EE4661C" w:rsidR="00207909" w:rsidRPr="00207909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207909"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207909" w:rsidRPr="00207909">
        <w:rPr>
          <w:noProof/>
          <w:lang w:val="fr-FR"/>
        </w:rPr>
        <w:tab/>
      </w:r>
      <w:r w:rsidR="00207909" w:rsidRPr="00207909">
        <w:rPr>
          <w:noProof/>
          <w:lang w:val="fr-FR"/>
        </w:rPr>
        <w:fldChar w:fldCharType="begin"/>
      </w:r>
      <w:r w:rsidR="00207909" w:rsidRPr="00207909">
        <w:rPr>
          <w:noProof/>
          <w:lang w:val="fr-FR"/>
        </w:rPr>
        <w:instrText xml:space="preserve"> PAGEREF _Toc163572096 \h </w:instrText>
      </w:r>
      <w:r w:rsidR="00207909" w:rsidRPr="00207909">
        <w:rPr>
          <w:noProof/>
          <w:lang w:val="fr-FR"/>
        </w:rPr>
      </w:r>
      <w:r w:rsidR="00207909" w:rsidRPr="00207909">
        <w:rPr>
          <w:noProof/>
          <w:lang w:val="fr-FR"/>
        </w:rPr>
        <w:fldChar w:fldCharType="separate"/>
      </w:r>
      <w:r w:rsidR="00207909" w:rsidRPr="00207909">
        <w:rPr>
          <w:noProof/>
          <w:lang w:val="fr-FR"/>
        </w:rPr>
        <w:t>3</w:t>
      </w:r>
      <w:r w:rsidR="00207909" w:rsidRPr="00207909">
        <w:rPr>
          <w:noProof/>
          <w:lang w:val="fr-FR"/>
        </w:rPr>
        <w:fldChar w:fldCharType="end"/>
      </w:r>
    </w:p>
    <w:p w14:paraId="2DE89182" w14:textId="3C9865DE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_Toc163572097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3</w:t>
      </w:r>
      <w:r w:rsidRPr="00207909">
        <w:rPr>
          <w:noProof/>
          <w:lang w:val="fr-FR"/>
        </w:rPr>
        <w:fldChar w:fldCharType="end"/>
      </w:r>
    </w:p>
    <w:p w14:paraId="4E2306DC" w14:textId="7C1A0025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_Toc163572098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4</w:t>
      </w:r>
      <w:r w:rsidRPr="00207909">
        <w:rPr>
          <w:noProof/>
          <w:lang w:val="fr-FR"/>
        </w:rPr>
        <w:fldChar w:fldCharType="end"/>
      </w:r>
    </w:p>
    <w:p w14:paraId="30CB0F92" w14:textId="07AD6302" w:rsidR="00207909" w:rsidRPr="00207909" w:rsidRDefault="0020790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_Toc163572099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4</w:t>
      </w:r>
      <w:r w:rsidRPr="00207909">
        <w:rPr>
          <w:noProof/>
          <w:lang w:val="fr-FR"/>
        </w:rPr>
        <w:fldChar w:fldCharType="end"/>
      </w:r>
    </w:p>
    <w:p w14:paraId="79213239" w14:textId="46F5CE8B" w:rsidR="00207909" w:rsidRPr="00207909" w:rsidRDefault="0020790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_Toc163572100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4</w:t>
      </w:r>
      <w:r w:rsidRPr="00207909">
        <w:rPr>
          <w:noProof/>
          <w:lang w:val="fr-FR"/>
        </w:rPr>
        <w:fldChar w:fldCharType="end"/>
      </w:r>
    </w:p>
    <w:p w14:paraId="09909AEA" w14:textId="674E7A90" w:rsidR="00207909" w:rsidRPr="00207909" w:rsidRDefault="00207909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_Toc163572101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4</w:t>
      </w:r>
      <w:r w:rsidRPr="00207909">
        <w:rPr>
          <w:noProof/>
          <w:lang w:val="fr-FR"/>
        </w:rPr>
        <w:fldChar w:fldCharType="end"/>
      </w:r>
    </w:p>
    <w:p w14:paraId="0B93AD32" w14:textId="6A405252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_Toc163572102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4</w:t>
      </w:r>
      <w:r w:rsidRPr="00207909">
        <w:rPr>
          <w:noProof/>
          <w:lang w:val="fr-FR"/>
        </w:rPr>
        <w:fldChar w:fldCharType="end"/>
      </w:r>
    </w:p>
    <w:p w14:paraId="3B6814C1" w14:textId="07CE1351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_Toc163572103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5</w:t>
      </w:r>
      <w:r w:rsidRPr="00207909">
        <w:rPr>
          <w:noProof/>
          <w:lang w:val="fr-FR"/>
        </w:rPr>
        <w:fldChar w:fldCharType="end"/>
      </w:r>
    </w:p>
    <w:p w14:paraId="22F115CB" w14:textId="4A8E2B46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_Toc163572104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5</w:t>
      </w:r>
      <w:r w:rsidRPr="00207909">
        <w:rPr>
          <w:noProof/>
          <w:lang w:val="fr-FR"/>
        </w:rPr>
        <w:fldChar w:fldCharType="end"/>
      </w:r>
    </w:p>
    <w:p w14:paraId="15DDD2E2" w14:textId="785E6229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_Toc163572105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6</w:t>
      </w:r>
      <w:r w:rsidRPr="00207909">
        <w:rPr>
          <w:noProof/>
          <w:lang w:val="fr-FR"/>
        </w:rPr>
        <w:fldChar w:fldCharType="end"/>
      </w:r>
    </w:p>
    <w:p w14:paraId="79EFDC2C" w14:textId="7884AFDE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_Toc163572106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6</w:t>
      </w:r>
      <w:r w:rsidRPr="00207909">
        <w:rPr>
          <w:noProof/>
          <w:lang w:val="fr-FR"/>
        </w:rPr>
        <w:fldChar w:fldCharType="end"/>
      </w:r>
    </w:p>
    <w:p w14:paraId="01DE8D68" w14:textId="62049562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_Toc163572107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6</w:t>
      </w:r>
      <w:r w:rsidRPr="00207909">
        <w:rPr>
          <w:noProof/>
          <w:lang w:val="fr-FR"/>
        </w:rPr>
        <w:fldChar w:fldCharType="end"/>
      </w:r>
    </w:p>
    <w:p w14:paraId="51E3875A" w14:textId="5724A21F" w:rsidR="00207909" w:rsidRPr="00207909" w:rsidRDefault="00207909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207909">
        <w:rPr>
          <w:noProof/>
          <w:lang w:val="fr-FR"/>
        </w:rPr>
        <w:tab/>
      </w:r>
      <w:r w:rsidRPr="00207909">
        <w:rPr>
          <w:noProof/>
          <w:lang w:val="fr-FR"/>
        </w:rPr>
        <w:fldChar w:fldCharType="begin"/>
      </w:r>
      <w:r w:rsidRPr="00207909">
        <w:rPr>
          <w:noProof/>
          <w:lang w:val="fr-FR"/>
        </w:rPr>
        <w:instrText xml:space="preserve"> PAGEREF _Toc163572108 \h </w:instrText>
      </w:r>
      <w:r w:rsidRPr="00207909">
        <w:rPr>
          <w:noProof/>
          <w:lang w:val="fr-FR"/>
        </w:rPr>
      </w:r>
      <w:r w:rsidRPr="00207909">
        <w:rPr>
          <w:noProof/>
          <w:lang w:val="fr-FR"/>
        </w:rPr>
        <w:fldChar w:fldCharType="separate"/>
      </w:r>
      <w:r w:rsidRPr="00207909">
        <w:rPr>
          <w:noProof/>
          <w:lang w:val="fr-FR"/>
        </w:rPr>
        <w:t>10</w:t>
      </w:r>
      <w:r w:rsidRPr="00207909">
        <w:rPr>
          <w:noProof/>
          <w:lang w:val="fr-FR"/>
        </w:rPr>
        <w:fldChar w:fldCharType="end"/>
      </w:r>
    </w:p>
    <w:p w14:paraId="64373940" w14:textId="20CC66DC" w:rsidR="00A90F0D" w:rsidRPr="00207909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359C4868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207909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207909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" w:name="_Toc163572096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1"/>
    </w:p>
    <w:p w14:paraId="1818373C" w14:textId="77777777" w:rsidR="00AA16EF" w:rsidRPr="00207909" w:rsidRDefault="00AA16EF" w:rsidP="00AA16E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bookmarkStart w:id="2" w:name="_Toc465938090"/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>Institut National de Recherche en Informatique et en</w:t>
      </w:r>
      <w:r w:rsidRPr="00207909">
        <w:rPr>
          <w:rFonts w:asciiTheme="minorHAnsi" w:hAnsiTheme="minorHAnsi" w:cstheme="minorHAnsi"/>
          <w:b/>
          <w:spacing w:val="-24"/>
          <w:sz w:val="20"/>
          <w:szCs w:val="20"/>
          <w:lang w:val="fr-FR"/>
        </w:rPr>
        <w:t xml:space="preserve"> </w:t>
      </w:r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>Automatique</w:t>
      </w:r>
      <w:bookmarkEnd w:id="2"/>
    </w:p>
    <w:p w14:paraId="740BC525" w14:textId="77777777" w:rsidR="00AA16EF" w:rsidRPr="00207909" w:rsidRDefault="00AA16EF" w:rsidP="00BA6D1F">
      <w:pPr>
        <w:pStyle w:val="Corpsdetexte"/>
        <w:ind w:right="-7"/>
        <w:rPr>
          <w:rFonts w:asciiTheme="minorHAnsi" w:hAnsiTheme="minorHAnsi" w:cstheme="minorHAnsi"/>
          <w:b w:val="0"/>
          <w:sz w:val="20"/>
          <w:szCs w:val="20"/>
        </w:rPr>
      </w:pPr>
      <w:r w:rsidRPr="00207909">
        <w:rPr>
          <w:rFonts w:asciiTheme="minorHAnsi" w:hAnsiTheme="minorHAnsi" w:cstheme="minorHAnsi"/>
          <w:b w:val="0"/>
          <w:sz w:val="20"/>
          <w:szCs w:val="20"/>
        </w:rPr>
        <w:t>Etablissement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public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à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caractère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scientifique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et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technologique,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régi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par</w:t>
      </w:r>
      <w:r w:rsidRPr="00207909">
        <w:rPr>
          <w:rFonts w:asciiTheme="minorHAnsi" w:hAnsiTheme="minorHAnsi" w:cstheme="minorHAnsi"/>
          <w:b w:val="0"/>
          <w:spacing w:val="20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le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décret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n°85-831</w:t>
      </w:r>
      <w:r w:rsidRPr="00207909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du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2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août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1985</w:t>
      </w:r>
      <w:r w:rsidRPr="00207909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modifié,</w:t>
      </w:r>
      <w:r w:rsidRPr="00207909">
        <w:rPr>
          <w:rFonts w:asciiTheme="minorHAnsi" w:hAnsiTheme="minorHAnsi" w:cstheme="minorHAnsi"/>
          <w:b w:val="0"/>
          <w:w w:val="9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 xml:space="preserve">dont le siège est Domaine de </w:t>
      </w:r>
      <w:proofErr w:type="spellStart"/>
      <w:r w:rsidRPr="00207909">
        <w:rPr>
          <w:rFonts w:asciiTheme="minorHAnsi" w:hAnsiTheme="minorHAnsi" w:cstheme="minorHAnsi"/>
          <w:b w:val="0"/>
          <w:sz w:val="20"/>
          <w:szCs w:val="20"/>
        </w:rPr>
        <w:t>Voluceau</w:t>
      </w:r>
      <w:proofErr w:type="spellEnd"/>
      <w:r w:rsidRPr="00207909">
        <w:rPr>
          <w:rFonts w:asciiTheme="minorHAnsi" w:hAnsiTheme="minorHAnsi" w:cstheme="minorHAnsi"/>
          <w:b w:val="0"/>
          <w:sz w:val="20"/>
          <w:szCs w:val="20"/>
        </w:rPr>
        <w:t xml:space="preserve"> - Rocquencourt – B.P. 105 - 78 153 Le</w:t>
      </w:r>
      <w:r w:rsidRPr="00207909">
        <w:rPr>
          <w:rFonts w:asciiTheme="minorHAnsi" w:hAnsiTheme="minorHAnsi" w:cstheme="minorHAnsi"/>
          <w:b w:val="0"/>
          <w:spacing w:val="-18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Chesnay,</w:t>
      </w:r>
    </w:p>
    <w:p w14:paraId="0297202B" w14:textId="77777777" w:rsidR="00AA16EF" w:rsidRPr="00207909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</w:p>
    <w:p w14:paraId="7AB9D1AE" w14:textId="7781829E" w:rsidR="00AA16EF" w:rsidRPr="00207909" w:rsidRDefault="00D97ABE" w:rsidP="00AA16EF">
      <w:pPr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bookmarkStart w:id="3" w:name="_Toc465938091"/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 xml:space="preserve">Centre Inria de </w:t>
      </w:r>
      <w:bookmarkEnd w:id="3"/>
      <w:r w:rsidR="00BA6D1F">
        <w:rPr>
          <w:rFonts w:asciiTheme="minorHAnsi" w:hAnsiTheme="minorHAnsi" w:cstheme="minorHAnsi"/>
          <w:b/>
          <w:sz w:val="20"/>
          <w:szCs w:val="20"/>
          <w:lang w:val="fr-FR"/>
        </w:rPr>
        <w:t>Lyon</w:t>
      </w:r>
    </w:p>
    <w:p w14:paraId="2AEE9753" w14:textId="5200ADC6" w:rsidR="00AA16EF" w:rsidRPr="00207909" w:rsidRDefault="00BA6D1F" w:rsidP="00BA6D1F">
      <w:pPr>
        <w:jc w:val="both"/>
        <w:rPr>
          <w:rFonts w:asciiTheme="minorHAnsi" w:hAnsiTheme="minorHAnsi" w:cstheme="minorHAnsi"/>
          <w:bCs/>
          <w:sz w:val="20"/>
          <w:szCs w:val="20"/>
          <w:lang w:val="fr-FR"/>
        </w:rPr>
      </w:pPr>
      <w:r w:rsidRPr="00BA6D1F">
        <w:rPr>
          <w:rFonts w:asciiTheme="minorHAnsi" w:hAnsiTheme="minorHAnsi" w:cstheme="minorHAnsi"/>
          <w:bCs/>
          <w:sz w:val="20"/>
          <w:szCs w:val="20"/>
          <w:lang w:val="fr-FR"/>
        </w:rPr>
        <w:t>Campus La Doua</w:t>
      </w:r>
      <w:r>
        <w:rPr>
          <w:rFonts w:asciiTheme="minorHAnsi" w:hAnsiTheme="minorHAnsi" w:cstheme="minorHAnsi"/>
          <w:bCs/>
          <w:sz w:val="20"/>
          <w:szCs w:val="20"/>
          <w:lang w:val="fr-FR"/>
        </w:rPr>
        <w:t xml:space="preserve">, </w:t>
      </w:r>
      <w:r w:rsidRPr="00BA6D1F">
        <w:rPr>
          <w:rFonts w:asciiTheme="minorHAnsi" w:hAnsiTheme="minorHAnsi" w:cstheme="minorHAnsi"/>
          <w:bCs/>
          <w:sz w:val="20"/>
          <w:szCs w:val="20"/>
          <w:lang w:val="fr-FR"/>
        </w:rPr>
        <w:t>Bâtiment CEI-2</w:t>
      </w:r>
      <w:r>
        <w:rPr>
          <w:rFonts w:asciiTheme="minorHAnsi" w:hAnsiTheme="minorHAnsi" w:cstheme="minorHAnsi"/>
          <w:bCs/>
          <w:sz w:val="20"/>
          <w:szCs w:val="20"/>
          <w:lang w:val="fr-FR"/>
        </w:rPr>
        <w:t xml:space="preserve">, </w:t>
      </w:r>
      <w:r w:rsidRPr="00BA6D1F">
        <w:rPr>
          <w:rFonts w:asciiTheme="minorHAnsi" w:hAnsiTheme="minorHAnsi" w:cstheme="minorHAnsi"/>
          <w:bCs/>
          <w:sz w:val="20"/>
          <w:szCs w:val="20"/>
          <w:lang w:val="fr-FR"/>
        </w:rPr>
        <w:t>56 Boulevard Niels Bohr</w:t>
      </w:r>
      <w:r>
        <w:rPr>
          <w:rFonts w:asciiTheme="minorHAnsi" w:hAnsiTheme="minorHAnsi" w:cstheme="minorHAnsi"/>
          <w:bCs/>
          <w:sz w:val="20"/>
          <w:szCs w:val="20"/>
          <w:lang w:val="fr-FR"/>
        </w:rPr>
        <w:t xml:space="preserve">, </w:t>
      </w:r>
      <w:r w:rsidRPr="00BA6D1F">
        <w:rPr>
          <w:rFonts w:asciiTheme="minorHAnsi" w:hAnsiTheme="minorHAnsi" w:cstheme="minorHAnsi"/>
          <w:bCs/>
          <w:sz w:val="20"/>
          <w:szCs w:val="20"/>
          <w:lang w:val="fr-FR"/>
        </w:rPr>
        <w:t>CS 52132</w:t>
      </w:r>
      <w:r>
        <w:rPr>
          <w:rFonts w:asciiTheme="minorHAnsi" w:hAnsiTheme="minorHAnsi" w:cstheme="minorHAnsi"/>
          <w:bCs/>
          <w:sz w:val="20"/>
          <w:szCs w:val="20"/>
          <w:lang w:val="fr-FR"/>
        </w:rPr>
        <w:t xml:space="preserve">, </w:t>
      </w:r>
      <w:r w:rsidRPr="00BA6D1F">
        <w:rPr>
          <w:rFonts w:asciiTheme="minorHAnsi" w:hAnsiTheme="minorHAnsi" w:cstheme="minorHAnsi"/>
          <w:bCs/>
          <w:sz w:val="20"/>
          <w:szCs w:val="20"/>
          <w:lang w:val="fr-FR"/>
        </w:rPr>
        <w:t>69603 VILLEURBANNE</w:t>
      </w:r>
    </w:p>
    <w:p w14:paraId="1E30036D" w14:textId="261AEBAF" w:rsidR="00AA16EF" w:rsidRPr="00207909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>Tél</w:t>
      </w:r>
      <w:r w:rsidR="00545AB6"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: </w:t>
      </w:r>
      <w:r w:rsidR="00BA6D1F" w:rsidRPr="00BA6D1F">
        <w:rPr>
          <w:rFonts w:asciiTheme="minorHAnsi" w:hAnsiTheme="minorHAnsi" w:cstheme="minorHAnsi"/>
          <w:sz w:val="20"/>
          <w:szCs w:val="20"/>
          <w:lang w:val="fr-FR"/>
        </w:rPr>
        <w:t>04 72 43 64 04</w:t>
      </w:r>
    </w:p>
    <w:p w14:paraId="33002FE2" w14:textId="77777777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2939CF4A" w14:textId="5351C15E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>Nom, prénom et qualité du signataire du marché</w:t>
      </w:r>
      <w:r w:rsidR="00860B08"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>:</w:t>
      </w: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BA6D1F">
        <w:rPr>
          <w:rFonts w:asciiTheme="minorHAnsi" w:hAnsiTheme="minorHAnsi" w:cstheme="minorHAnsi"/>
          <w:sz w:val="20"/>
          <w:szCs w:val="20"/>
          <w:lang w:val="fr-FR"/>
        </w:rPr>
        <w:t>Stéphane UBEDA, Directeur du Centre Inria de Lyon,</w:t>
      </w: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ou toute autre personne régulièrement investie de la délégation de signature. </w:t>
      </w:r>
    </w:p>
    <w:p w14:paraId="29D209B9" w14:textId="77777777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u w:val="single"/>
          <w:lang w:val="fr-FR"/>
        </w:rPr>
      </w:pPr>
    </w:p>
    <w:p w14:paraId="79CBCEC0" w14:textId="77777777" w:rsidR="00AA16EF" w:rsidRPr="00207909" w:rsidRDefault="00AA16EF" w:rsidP="00AA16E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207909">
        <w:rPr>
          <w:rFonts w:asciiTheme="minorHAnsi" w:hAnsiTheme="minorHAnsi" w:cstheme="minorHAnsi"/>
          <w:color w:val="000000"/>
          <w:szCs w:val="20"/>
          <w:lang w:val="fr-FR"/>
        </w:rPr>
        <w:t xml:space="preserve">Comptable assignataire des paiements : l’Agent Comptable de Inria. </w:t>
      </w:r>
    </w:p>
    <w:p w14:paraId="1AC7A61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4" w:name="_Toc163572097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4"/>
    </w:p>
    <w:p w14:paraId="783AC000" w14:textId="77777777" w:rsidR="00004931" w:rsidRPr="00207909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Après avoir pris connaissance des pièces constitutives du marché précisées à </w:t>
      </w:r>
      <w:r w:rsidRPr="00BA6D1F">
        <w:rPr>
          <w:rFonts w:asciiTheme="minorHAnsi" w:hAnsiTheme="minorHAnsi" w:cstheme="minorHAnsi"/>
          <w:color w:val="000000"/>
          <w:lang w:val="fr-FR"/>
        </w:rPr>
        <w:t>l’article 2 du CCAP, et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conformément à leurs clauses et stipulations ;</w:t>
      </w:r>
    </w:p>
    <w:p w14:paraId="0DE0E89E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0B5BA9">
        <w:rPr>
          <w:rFonts w:asciiTheme="minorHAnsi" w:hAnsiTheme="minorHAnsi" w:cstheme="minorHAnsi"/>
          <w:lang w:val="fr-FR"/>
        </w:rPr>
      </w:r>
      <w:r w:rsidR="000B5BA9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val="fr-FR"/>
        </w:rPr>
        <w:t>Le</w:t>
      </w:r>
      <w:r w:rsidRPr="00207909">
        <w:rPr>
          <w:rFonts w:asciiTheme="minorHAnsi" w:hAnsiTheme="minorHAnsi" w:cstheme="minorHAnsi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6F6177">
        <w:trPr>
          <w:trHeight w:val="1232"/>
        </w:trPr>
        <w:tc>
          <w:tcPr>
            <w:tcW w:w="3201" w:type="dxa"/>
            <w:shd w:val="clear" w:color="auto" w:fill="auto"/>
            <w:vAlign w:val="center"/>
          </w:tcPr>
          <w:p w14:paraId="115D1574" w14:textId="77777777" w:rsidR="008B1E13" w:rsidRPr="00207909" w:rsidRDefault="008B1E13" w:rsidP="006F617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6F617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11D04B3" w14:textId="77777777" w:rsidR="008B1E13" w:rsidRPr="00207909" w:rsidRDefault="008B1E13" w:rsidP="006F617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  <w:vAlign w:val="center"/>
          </w:tcPr>
          <w:p w14:paraId="014A2D62" w14:textId="77777777" w:rsidR="008B1E13" w:rsidRPr="00207909" w:rsidRDefault="008B1E13" w:rsidP="006F617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0B5BA9">
        <w:rPr>
          <w:rFonts w:asciiTheme="minorHAnsi" w:hAnsiTheme="minorHAnsi" w:cstheme="minorHAnsi"/>
          <w:lang w:val="fr-FR"/>
        </w:rPr>
      </w:r>
      <w:r w:rsidR="000B5BA9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BA6D1F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A6D1F" w14:paraId="1F6D0EB9" w14:textId="77777777" w:rsidTr="00860B08">
        <w:trPr>
          <w:trHeight w:val="478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35DA983A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E0EB011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348546CE" w14:textId="77777777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0B5BA9">
        <w:rPr>
          <w:rFonts w:asciiTheme="minorHAnsi" w:hAnsiTheme="minorHAnsi" w:cstheme="minorHAnsi"/>
          <w:lang w:val="fr-FR"/>
        </w:rPr>
      </w:r>
      <w:r w:rsidR="000B5BA9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BA6D1F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A6D1F" w14:paraId="66220E25" w14:textId="77777777" w:rsidTr="009C73B5"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0B5BA9">
        <w:rPr>
          <w:rFonts w:asciiTheme="minorHAnsi" w:hAnsiTheme="minorHAnsi" w:cstheme="minorHAnsi"/>
        </w:rPr>
      </w:r>
      <w:r w:rsidR="000B5BA9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3663"/>
        <w:gridCol w:w="2536"/>
        <w:gridCol w:w="1971"/>
      </w:tblGrid>
      <w:tr w:rsidR="008B1E13" w:rsidRPr="00BA6D1F" w14:paraId="24E05E2B" w14:textId="77777777" w:rsidTr="006F6177">
        <w:trPr>
          <w:trHeight w:val="602"/>
        </w:trPr>
        <w:tc>
          <w:tcPr>
            <w:tcW w:w="2080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A6D1F" w14:paraId="65093999" w14:textId="77777777" w:rsidTr="006F6177">
        <w:trPr>
          <w:trHeight w:val="481"/>
        </w:trPr>
        <w:tc>
          <w:tcPr>
            <w:tcW w:w="2080" w:type="dxa"/>
            <w:tcBorders>
              <w:bottom w:val="nil"/>
            </w:tcBorders>
            <w:shd w:val="clear" w:color="auto" w:fill="DEEAF6"/>
          </w:tcPr>
          <w:p w14:paraId="4E896FE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996304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63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36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71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BA6D1F" w14:paraId="293B735F" w14:textId="77777777" w:rsidTr="006F6177">
        <w:trPr>
          <w:trHeight w:val="773"/>
        </w:trPr>
        <w:tc>
          <w:tcPr>
            <w:tcW w:w="2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4E43F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36F5582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6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D’identifier à nouveau chaque membre du groupement</w:t>
      </w:r>
    </w:p>
    <w:p w14:paraId="564741FB" w14:textId="152D4F26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D’identifier les prestations exécutées par chaque membre du groupement</w:t>
      </w:r>
    </w:p>
    <w:p w14:paraId="68BAAC76" w14:textId="06423475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De répartir l’offre financière totale entre les divers membres du groupement</w:t>
      </w: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207909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</w:rPr>
      </w:pPr>
      <w:r w:rsidRPr="00207909">
        <w:rPr>
          <w:rFonts w:asciiTheme="minorHAnsi" w:hAnsiTheme="minorHAnsi" w:cstheme="minorHAnsi"/>
        </w:rPr>
        <w:t>Pour l’exécution du marché, le groupement d’opérateurs économiques est :</w:t>
      </w:r>
    </w:p>
    <w:p w14:paraId="79A62386" w14:textId="77777777" w:rsidR="008B1E13" w:rsidRPr="00207909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18"/>
          <w:szCs w:val="18"/>
        </w:rPr>
      </w:pPr>
      <w:r w:rsidRPr="00207909">
        <w:rPr>
          <w:rFonts w:asciiTheme="minorHAnsi" w:hAnsiTheme="minorHAnsi" w:cstheme="minorHAnsi"/>
          <w:i/>
          <w:iCs/>
          <w:sz w:val="18"/>
          <w:szCs w:val="18"/>
        </w:rPr>
        <w:t>(Cocher la case correspondante.)</w:t>
      </w:r>
    </w:p>
    <w:p w14:paraId="7FFC24F1" w14:textId="18F38F83" w:rsidR="009E5A24" w:rsidRPr="00207909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0B5BA9">
        <w:rPr>
          <w:rFonts w:asciiTheme="minorHAnsi" w:hAnsiTheme="minorHAnsi" w:cstheme="minorHAnsi"/>
        </w:rPr>
      </w:r>
      <w:r w:rsidR="000B5BA9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  <w:i/>
          <w:iCs/>
        </w:rPr>
        <w:t xml:space="preserve"> </w:t>
      </w:r>
      <w:proofErr w:type="gramStart"/>
      <w:r w:rsidRPr="00207909">
        <w:rPr>
          <w:rFonts w:asciiTheme="minorHAnsi" w:hAnsiTheme="minorHAnsi" w:cstheme="minorHAnsi"/>
        </w:rPr>
        <w:t>conjoint</w:t>
      </w:r>
      <w:proofErr w:type="gramEnd"/>
      <w:r w:rsidRPr="00207909">
        <w:rPr>
          <w:rFonts w:asciiTheme="minorHAnsi" w:hAnsiTheme="minorHAnsi" w:cstheme="minorHAnsi"/>
        </w:rPr>
        <w:tab/>
        <w:t>OU</w:t>
      </w:r>
      <w:r w:rsidRPr="00207909">
        <w:rPr>
          <w:rFonts w:asciiTheme="minorHAnsi" w:hAnsiTheme="minorHAnsi" w:cstheme="minorHAnsi"/>
        </w:rPr>
        <w:tab/>
      </w:r>
      <w:r w:rsidRPr="00207909">
        <w:rPr>
          <w:rFonts w:asciiTheme="minorHAnsi" w:hAnsiTheme="minorHAnsi" w:cstheme="minorHAnsi"/>
        </w:rPr>
        <w:tab/>
      </w: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0B5BA9">
        <w:rPr>
          <w:rFonts w:asciiTheme="minorHAnsi" w:hAnsiTheme="minorHAnsi" w:cstheme="minorHAnsi"/>
        </w:rPr>
      </w:r>
      <w:r w:rsidR="000B5BA9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  <w:iCs/>
        </w:rPr>
        <w:t xml:space="preserve"> </w:t>
      </w:r>
      <w:r w:rsidRPr="00207909">
        <w:rPr>
          <w:rFonts w:asciiTheme="minorHAnsi" w:hAnsiTheme="minorHAnsi" w:cstheme="minorHAnsi"/>
        </w:rPr>
        <w:t>solidaire</w:t>
      </w:r>
    </w:p>
    <w:p w14:paraId="07222E89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E4EFD33" w14:textId="70CD1AD4" w:rsidR="009E5A24" w:rsidRPr="00207909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912C0F">
        <w:rPr>
          <w:rFonts w:asciiTheme="minorHAnsi" w:hAnsiTheme="minorHAnsi" w:cstheme="minorHAnsi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1479A4" w:rsidRPr="00912C0F">
        <w:rPr>
          <w:rFonts w:asciiTheme="minorHAnsi" w:hAnsiTheme="minorHAnsi" w:cstheme="minorHAnsi"/>
          <w:color w:val="000000"/>
          <w:lang w:val="fr-FR"/>
        </w:rPr>
        <w:t>4</w:t>
      </w:r>
      <w:r w:rsidRPr="00912C0F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1479A4" w:rsidRPr="00912C0F">
        <w:rPr>
          <w:rFonts w:asciiTheme="minorHAnsi" w:hAnsiTheme="minorHAnsi" w:cstheme="minorHAnsi"/>
          <w:color w:val="000000"/>
          <w:lang w:val="fr-FR"/>
        </w:rPr>
        <w:t>moi</w:t>
      </w:r>
      <w:r w:rsidRPr="00912C0F">
        <w:rPr>
          <w:rFonts w:asciiTheme="minorHAnsi" w:hAnsiTheme="minorHAnsi" w:cstheme="minorHAnsi"/>
          <w:color w:val="000000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5" w:name="_Toc163572098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5"/>
    </w:p>
    <w:p w14:paraId="44C7A6A0" w14:textId="77777777" w:rsidR="009E5A24" w:rsidRPr="0020790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_Toc163572099"/>
      <w:r w:rsidRPr="0020790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6"/>
    </w:p>
    <w:p w14:paraId="3A501288" w14:textId="2F1F8D76" w:rsidR="00B024DB" w:rsidRPr="00207909" w:rsidRDefault="00EE0D00" w:rsidP="00AA16EF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prés</w:t>
      </w:r>
      <w:r w:rsidR="00B024DB" w:rsidRPr="00207909">
        <w:rPr>
          <w:rFonts w:asciiTheme="minorHAnsi" w:hAnsiTheme="minorHAnsi" w:cstheme="minorHAnsi"/>
          <w:color w:val="000000"/>
          <w:lang w:val="fr-FR"/>
        </w:rPr>
        <w:t xml:space="preserve">ent Acte d'Engagement concerne </w:t>
      </w:r>
      <w:bookmarkStart w:id="7" w:name="_Hlk107494006"/>
      <w:r w:rsidR="00912C0F">
        <w:rPr>
          <w:rFonts w:asciiTheme="minorHAnsi" w:hAnsiTheme="minorHAnsi" w:cstheme="minorHAnsi"/>
          <w:color w:val="000000"/>
          <w:lang w:val="fr-FR"/>
        </w:rPr>
        <w:t xml:space="preserve">le marché suivant : </w:t>
      </w:r>
      <w:r w:rsidR="00912C0F" w:rsidRPr="00912C0F">
        <w:rPr>
          <w:rFonts w:asciiTheme="minorHAnsi" w:hAnsiTheme="minorHAnsi" w:cstheme="minorHAnsi"/>
          <w:color w:val="000000"/>
          <w:lang w:val="fr-FR"/>
        </w:rPr>
        <w:t>Prestations de nettoyage des locaux et fournitures associées pour le Centre Inria de Lyon.</w:t>
      </w:r>
    </w:p>
    <w:p w14:paraId="5A0A4277" w14:textId="4EC8449C" w:rsidR="005B3CF8" w:rsidRPr="00207909" w:rsidRDefault="005B3CF8" w:rsidP="005B3CF8">
      <w:pPr>
        <w:rPr>
          <w:rFonts w:asciiTheme="minorHAnsi" w:hAnsiTheme="minorHAnsi" w:cstheme="minorHAnsi"/>
          <w:lang w:val="fr-FR"/>
        </w:rPr>
      </w:pPr>
    </w:p>
    <w:p w14:paraId="73FD031D" w14:textId="1D8727D5" w:rsidR="005B3CF8" w:rsidRPr="00912C0F" w:rsidRDefault="005B3CF8" w:rsidP="005B3CF8">
      <w:pPr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912C0F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 présent acte d’engagement concerne </w:t>
      </w:r>
      <w:r w:rsidR="00FF3E7A" w:rsidRPr="00912C0F">
        <w:rPr>
          <w:rFonts w:asciiTheme="minorHAnsi" w:eastAsia="Calibri" w:hAnsiTheme="minorHAnsi" w:cstheme="minorHAnsi"/>
          <w:color w:val="000000"/>
          <w:sz w:val="20"/>
          <w:lang w:val="fr-FR"/>
        </w:rPr>
        <w:t>l’ensemble du marché.</w:t>
      </w:r>
    </w:p>
    <w:bookmarkEnd w:id="7"/>
    <w:p w14:paraId="2CE3AD0C" w14:textId="77777777" w:rsidR="00AA16EF" w:rsidRPr="00912C0F" w:rsidRDefault="00AA16EF" w:rsidP="00AA16EF">
      <w:pPr>
        <w:rPr>
          <w:rFonts w:asciiTheme="minorHAnsi" w:hAnsiTheme="minorHAnsi" w:cstheme="minorHAnsi"/>
          <w:lang w:val="fr-FR"/>
        </w:rPr>
      </w:pPr>
    </w:p>
    <w:p w14:paraId="35725D55" w14:textId="77777777" w:rsidR="009E5A24" w:rsidRPr="00912C0F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163572100"/>
      <w:r w:rsidRPr="00912C0F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8"/>
    </w:p>
    <w:p w14:paraId="58B87C71" w14:textId="06EBEB2D" w:rsidR="00860B08" w:rsidRPr="00207909" w:rsidRDefault="00860B08" w:rsidP="00860B08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912C0F">
        <w:rPr>
          <w:rFonts w:asciiTheme="minorHAnsi" w:hAnsiTheme="minorHAnsi" w:cstheme="minorHAnsi"/>
          <w:color w:val="000000"/>
          <w:lang w:val="fr-FR"/>
        </w:rPr>
        <w:t>La procédure de passation est : l’appel d’offres ouvert. Elle est soumise aux dispositions des articles L. 2124-2 et R. 2124-2 du Code de la commande publique</w:t>
      </w:r>
    </w:p>
    <w:p w14:paraId="23A9C9A2" w14:textId="77777777" w:rsidR="00860B08" w:rsidRPr="00207909" w:rsidRDefault="00860B08" w:rsidP="00860B08">
      <w:pPr>
        <w:rPr>
          <w:lang w:val="fr-FR"/>
        </w:rPr>
      </w:pPr>
    </w:p>
    <w:p w14:paraId="065D1C57" w14:textId="77777777" w:rsidR="009E5A24" w:rsidRPr="0020790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63572101"/>
      <w:r w:rsidRPr="0020790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9"/>
    </w:p>
    <w:p w14:paraId="1B9547A7" w14:textId="3A62FA41" w:rsidR="00860B08" w:rsidRPr="00912C0F" w:rsidRDefault="00860B08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912C0F">
        <w:rPr>
          <w:rFonts w:asciiTheme="minorHAnsi" w:eastAsia="Calibri" w:hAnsiTheme="minorHAnsi" w:cstheme="minorHAnsi"/>
          <w:color w:val="000000"/>
          <w:sz w:val="20"/>
          <w:lang w:val="fr-FR"/>
        </w:rPr>
        <w:t>Il s’agit d’un accord-cadre à bons de commande mono-attributaire sans minimum, avec maximum</w:t>
      </w:r>
      <w:r w:rsidR="00912C0F" w:rsidRPr="00912C0F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 fixé à 250 000 € HT pour la durée totale du marché, périodes de reconductions incluses.</w:t>
      </w:r>
    </w:p>
    <w:p w14:paraId="5508DFDD" w14:textId="77777777" w:rsidR="006901DD" w:rsidRPr="0020790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635721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0"/>
    </w:p>
    <w:p w14:paraId="028A45A2" w14:textId="3A83A3CE" w:rsidR="00A90F0D" w:rsidRPr="00207909" w:rsidRDefault="00860B08" w:rsidP="00912C0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bookmarkStart w:id="11" w:name="_Hlk86051225"/>
      <w:r w:rsidRPr="00912C0F">
        <w:rPr>
          <w:rFonts w:asciiTheme="minorHAnsi" w:hAnsiTheme="minorHAnsi" w:cstheme="minorHAnsi"/>
          <w:color w:val="000000"/>
          <w:lang w:val="fr-FR"/>
        </w:rPr>
        <w:t>Les prestations sont rémunérées par application des prix unitaires</w:t>
      </w:r>
      <w:r w:rsidR="00912C0F" w:rsidRPr="00912C0F">
        <w:rPr>
          <w:rFonts w:asciiTheme="minorHAnsi" w:hAnsiTheme="minorHAnsi" w:cstheme="minorHAnsi"/>
          <w:color w:val="000000"/>
          <w:lang w:val="fr-FR"/>
        </w:rPr>
        <w:t xml:space="preserve"> et forfaitaires</w:t>
      </w:r>
      <w:r w:rsidRPr="00912C0F">
        <w:rPr>
          <w:rFonts w:asciiTheme="minorHAnsi" w:hAnsiTheme="minorHAnsi" w:cstheme="minorHAnsi"/>
          <w:color w:val="000000"/>
          <w:lang w:val="fr-FR"/>
        </w:rPr>
        <w:t xml:space="preserve"> mentionnés dans le Bordereau des Prix Unitaires </w:t>
      </w:r>
      <w:r w:rsidR="00912C0F" w:rsidRPr="00912C0F">
        <w:rPr>
          <w:rFonts w:asciiTheme="minorHAnsi" w:hAnsiTheme="minorHAnsi" w:cstheme="minorHAnsi"/>
          <w:color w:val="000000"/>
          <w:lang w:val="fr-FR"/>
        </w:rPr>
        <w:t>et Forfaitaires.</w:t>
      </w:r>
    </w:p>
    <w:bookmarkEnd w:id="11"/>
    <w:p w14:paraId="3414B718" w14:textId="77777777" w:rsidR="006F6177" w:rsidRPr="006F6177" w:rsidRDefault="006F6177" w:rsidP="006F6177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5E7A1C41" w14:textId="64FD6B1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63572103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5 - Durée </w:t>
      </w:r>
      <w:bookmarkEnd w:id="12"/>
    </w:p>
    <w:p w14:paraId="0D9AC7F4" w14:textId="18ED4F44" w:rsidR="009E5A24" w:rsidRPr="00207909" w:rsidRDefault="00912C0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>La durée initiale du marché et ses possibles reconduction sont précisées à l’article 3 du CCAP.</w:t>
      </w:r>
    </w:p>
    <w:p w14:paraId="05F5830F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63572104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6 - Paiement</w:t>
      </w:r>
      <w:bookmarkEnd w:id="13"/>
    </w:p>
    <w:p w14:paraId="36B17865" w14:textId="77777777" w:rsidR="009E5A24" w:rsidRPr="00207909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684068B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61FBC5C8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pour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46636C3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6F3C90D7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018D6DC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09BA981" w14:textId="77777777" w:rsidR="00AA16EF" w:rsidRPr="00207909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Joindre un RIB</w:t>
      </w:r>
    </w:p>
    <w:p w14:paraId="4EC2986C" w14:textId="77777777" w:rsidR="00AA16EF" w:rsidRPr="00207909" w:rsidRDefault="00AA16EF" w:rsidP="00AA16EF">
      <w:pPr>
        <w:rPr>
          <w:rFonts w:asciiTheme="minorHAnsi" w:hAnsiTheme="minorHAnsi" w:cstheme="minorHAnsi"/>
          <w:lang w:val="fr-FR"/>
        </w:rPr>
      </w:pPr>
    </w:p>
    <w:p w14:paraId="1A5E49EB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E467851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BA6D1F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4E7EF218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BA6D1F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207909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34F9E4F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1D11FC2" w14:textId="63A7C37E" w:rsidR="009E5A24" w:rsidRPr="006F6177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18"/>
          <w:szCs w:val="22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Nota :</w:t>
      </w:r>
      <w:r w:rsidR="00EC21C9" w:rsidRPr="00207909">
        <w:rPr>
          <w:rFonts w:asciiTheme="minorHAnsi" w:hAnsiTheme="minorHAnsi" w:cstheme="minorHAnsi"/>
          <w:b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Si aucune case n'est cochée, ou si les deux cases sont cochées, </w:t>
      </w:r>
      <w:r w:rsidR="00AA16EF"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considérera que seules les dispositions du CCAP s'appliquent.</w:t>
      </w:r>
    </w:p>
    <w:p w14:paraId="3603B4B5" w14:textId="77777777" w:rsidR="006F6177" w:rsidRPr="006F6177" w:rsidRDefault="006F6177" w:rsidP="006F6177">
      <w:pPr>
        <w:rPr>
          <w:sz w:val="8"/>
          <w:szCs w:val="12"/>
          <w:lang w:val="fr-FR"/>
        </w:rPr>
      </w:pPr>
    </w:p>
    <w:p w14:paraId="163ED347" w14:textId="359B22F0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63572105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7 - Avan</w:t>
      </w:r>
      <w:r w:rsidR="00207909"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14"/>
    </w:p>
    <w:p w14:paraId="033C18F2" w14:textId="39F84454" w:rsidR="009E5A24" w:rsidRPr="00207909" w:rsidRDefault="00912C0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>S’il remplit les conditions, l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e candidat </w:t>
      </w:r>
      <w:r w:rsidR="00FF3E7A" w:rsidRPr="00207909">
        <w:rPr>
          <w:rFonts w:asciiTheme="minorHAnsi" w:hAnsiTheme="minorHAnsi" w:cstheme="minorHAnsi"/>
          <w:color w:val="000000"/>
          <w:lang w:val="fr-FR"/>
        </w:rPr>
        <w:t xml:space="preserve">souhaite bénéficier 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de l'avance </w:t>
      </w:r>
      <w:r w:rsidR="00207909" w:rsidRPr="00207909">
        <w:rPr>
          <w:rFonts w:asciiTheme="minorHAnsi" w:hAnsiTheme="minorHAnsi" w:cstheme="minorHAnsi"/>
          <w:color w:val="000000"/>
          <w:lang w:val="fr-FR"/>
        </w:rPr>
        <w:t xml:space="preserve">prévue par les documents contractuels 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>(cocher la case correspondante) :</w:t>
      </w:r>
    </w:p>
    <w:p w14:paraId="3395C0B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2F2D0E03" w14:textId="77777777" w:rsidTr="006F61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F8B5" w14:textId="77777777" w:rsidR="009E5A24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  <w:p w14:paraId="05DA9FB1" w14:textId="4A00341C" w:rsidR="006F6177" w:rsidRPr="006F6177" w:rsidRDefault="006F6177" w:rsidP="006F6177">
            <w:pPr>
              <w:rPr>
                <w:sz w:val="14"/>
                <w:szCs w:val="14"/>
                <w:lang w:val="fr-FR"/>
              </w:rPr>
            </w:pPr>
          </w:p>
        </w:tc>
      </w:tr>
      <w:tr w:rsidR="009E5A24" w:rsidRPr="00207909" w14:paraId="640CA39B" w14:textId="77777777" w:rsidTr="006F61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39EE7B4B" w14:textId="77777777" w:rsidR="00EC21C9" w:rsidRPr="00207909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lang w:val="fr-FR"/>
        </w:rPr>
      </w:pPr>
    </w:p>
    <w:p w14:paraId="53ED5B68" w14:textId="5F0E12A7" w:rsidR="009E5A24" w:rsidRPr="00207909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</w:t>
      </w:r>
      <w:r w:rsidR="00BE3B7E"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considérera que l'entreprise renonce au bénéfice de l'avance.</w:t>
      </w:r>
    </w:p>
    <w:p w14:paraId="53D88669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63572106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34A95DFC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2A5A1169" w14:textId="79F02786" w:rsidR="00EC21C9" w:rsidRPr="00207909" w:rsidRDefault="00EC21C9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812"/>
      </w:tblGrid>
      <w:tr w:rsidR="00D912DC" w:rsidRPr="00207909" w14:paraId="4CA49B9E" w14:textId="77777777" w:rsidTr="00207909">
        <w:trPr>
          <w:trHeight w:val="386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BF1D0F0" w14:textId="77777777" w:rsidR="00D912DC" w:rsidRPr="000B5BA9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16" w:name="_Hlk141784055"/>
            <w:r w:rsidRPr="000B5BA9">
              <w:rPr>
                <w:rFonts w:cstheme="minorHAnsi"/>
                <w:b/>
                <w:bCs/>
                <w:sz w:val="20"/>
                <w:szCs w:val="20"/>
              </w:rPr>
              <w:t>Code principal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56E93BB6" w14:textId="77777777" w:rsidR="00D912DC" w:rsidRPr="000B5BA9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B5BA9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</w:tr>
      <w:tr w:rsidR="00912C0F" w:rsidRPr="00912C0F" w14:paraId="626360A7" w14:textId="77777777" w:rsidTr="00912C0F">
        <w:trPr>
          <w:trHeight w:val="417"/>
          <w:jc w:val="center"/>
        </w:trPr>
        <w:tc>
          <w:tcPr>
            <w:tcW w:w="1838" w:type="dxa"/>
            <w:vAlign w:val="center"/>
          </w:tcPr>
          <w:p w14:paraId="61F2E8D1" w14:textId="10D36960" w:rsidR="00912C0F" w:rsidRPr="000B5BA9" w:rsidRDefault="00912C0F" w:rsidP="00912C0F">
            <w:pPr>
              <w:spacing w:after="80" w:line="240" w:lineRule="exact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0B5BA9">
              <w:rPr>
                <w:sz w:val="20"/>
                <w:szCs w:val="20"/>
              </w:rPr>
              <w:t>90911200-8</w:t>
            </w:r>
          </w:p>
        </w:tc>
        <w:tc>
          <w:tcPr>
            <w:tcW w:w="5812" w:type="dxa"/>
            <w:vAlign w:val="center"/>
          </w:tcPr>
          <w:p w14:paraId="3EDA93C2" w14:textId="19C3685D" w:rsidR="00912C0F" w:rsidRPr="000B5BA9" w:rsidRDefault="00912C0F" w:rsidP="00912C0F">
            <w:pPr>
              <w:spacing w:after="80" w:line="240" w:lineRule="exact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0B5BA9">
              <w:rPr>
                <w:sz w:val="20"/>
                <w:szCs w:val="20"/>
              </w:rPr>
              <w:t>Service de nettoyage de bâtiments</w:t>
            </w:r>
          </w:p>
        </w:tc>
      </w:tr>
      <w:bookmarkEnd w:id="16"/>
    </w:tbl>
    <w:p w14:paraId="54AD1C9A" w14:textId="08511840" w:rsidR="009E5A24" w:rsidRPr="00207909" w:rsidRDefault="009E5A24" w:rsidP="006901DD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4ED4E105" w14:textId="2B959A0D" w:rsidR="001479A4" w:rsidRPr="0020790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63572107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  <w:r w:rsidR="001479A4"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6F6177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Cs w:val="20"/>
          <w:u w:val="single"/>
          <w:lang w:val="fr-FR"/>
        </w:rPr>
      </w:pPr>
      <w:r w:rsidRPr="006F6177">
        <w:rPr>
          <w:rFonts w:asciiTheme="minorHAnsi" w:hAnsiTheme="minorHAnsi" w:cstheme="minorHAnsi"/>
          <w:b/>
          <w:bCs/>
          <w:color w:val="000000"/>
          <w:szCs w:val="20"/>
          <w:u w:val="single"/>
          <w:lang w:val="fr-FR"/>
        </w:rPr>
        <w:t>Précisions :</w:t>
      </w:r>
    </w:p>
    <w:p w14:paraId="08D8CAE0" w14:textId="77777777" w:rsidR="001479A4" w:rsidRPr="006F6177" w:rsidRDefault="001479A4" w:rsidP="001479A4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6F6177">
        <w:rPr>
          <w:rFonts w:asciiTheme="minorHAnsi" w:hAnsiTheme="minorHAnsi" w:cstheme="minorHAnsi"/>
          <w:sz w:val="20"/>
          <w:szCs w:val="20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6F6177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6F6177">
        <w:rPr>
          <w:rFonts w:asciiTheme="minorHAnsi" w:hAnsiTheme="minorHAnsi" w:cstheme="minorHAnsi"/>
          <w:sz w:val="20"/>
          <w:szCs w:val="20"/>
          <w:lang w:val="fr-FR"/>
        </w:rPr>
        <w:t xml:space="preserve">Soit être signé de manière électronique avec un certificat de signature conforme au règlement </w:t>
      </w:r>
      <w:proofErr w:type="spellStart"/>
      <w:r w:rsidRPr="006F6177">
        <w:rPr>
          <w:rFonts w:asciiTheme="minorHAnsi" w:hAnsiTheme="minorHAnsi" w:cstheme="minorHAnsi"/>
          <w:sz w:val="20"/>
          <w:szCs w:val="20"/>
          <w:lang w:val="fr-FR"/>
        </w:rPr>
        <w:t>eIDAS</w:t>
      </w:r>
      <w:proofErr w:type="spellEnd"/>
      <w:r w:rsidRPr="006F6177">
        <w:rPr>
          <w:rFonts w:asciiTheme="minorHAnsi" w:hAnsiTheme="minorHAnsi" w:cstheme="minorHAnsi"/>
          <w:sz w:val="20"/>
          <w:szCs w:val="20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4B4997E1" w:rsidR="001479A4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6F6177">
        <w:rPr>
          <w:rFonts w:asciiTheme="minorHAnsi" w:hAnsiTheme="minorHAnsi" w:cstheme="minorHAnsi"/>
          <w:sz w:val="20"/>
          <w:szCs w:val="20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6F6177">
        <w:rPr>
          <w:rFonts w:asciiTheme="minorHAnsi" w:hAnsiTheme="minorHAnsi" w:cstheme="minorHAnsi"/>
          <w:sz w:val="20"/>
          <w:szCs w:val="20"/>
          <w:lang w:val="fr-FR"/>
        </w:rPr>
        <w:t>eIDAS</w:t>
      </w:r>
      <w:proofErr w:type="spellEnd"/>
      <w:r w:rsidRPr="006F6177">
        <w:rPr>
          <w:rFonts w:asciiTheme="minorHAnsi" w:hAnsiTheme="minorHAnsi" w:cstheme="minorHAnsi"/>
          <w:sz w:val="20"/>
          <w:szCs w:val="20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154779F" w14:textId="5DED03ED" w:rsidR="00912C0F" w:rsidRDefault="00912C0F" w:rsidP="00912C0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8BC8B57" w14:textId="77777777" w:rsidR="00912C0F" w:rsidRPr="00912C0F" w:rsidRDefault="00912C0F" w:rsidP="00912C0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7D611EA2" w14:textId="77777777" w:rsidR="009E5A24" w:rsidRPr="00207909" w:rsidRDefault="009E5A24" w:rsidP="006F6177">
      <w:pPr>
        <w:pStyle w:val="ParagrapheIndent1"/>
        <w:spacing w:line="244" w:lineRule="exact"/>
        <w:ind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E11BAC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ENGAGEMENT DU CANDIDAT</w:t>
      </w:r>
    </w:p>
    <w:p w14:paraId="03EF61D7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J'affirme (nous affirmons) </w:t>
      </w:r>
      <w:r w:rsidR="001479A4" w:rsidRPr="00207909">
        <w:rPr>
          <w:rFonts w:asciiTheme="minorHAnsi" w:hAnsiTheme="minorHAnsi" w:cstheme="minorHAnsi"/>
          <w:color w:val="000000"/>
          <w:lang w:val="fr-FR"/>
        </w:rPr>
        <w:t xml:space="preserve">sur l’honneur, </w:t>
      </w:r>
      <w:r w:rsidRPr="00207909">
        <w:rPr>
          <w:rFonts w:asciiTheme="minorHAnsi" w:hAnsiTheme="minorHAnsi" w:cstheme="minorHAnsi"/>
          <w:color w:val="000000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93DBB9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5F61280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49EDB0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08303B8D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D69560E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D173C0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F6632A1" w14:textId="3AF86DF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Signature du candidat, du mandataire ou des membres du groupement</w:t>
      </w:r>
    </w:p>
    <w:p w14:paraId="65804C77" w14:textId="4C609037" w:rsidR="009E5A24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F89748F" w14:textId="77777777" w:rsidR="006F6177" w:rsidRPr="00207909" w:rsidRDefault="006F6177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207909" w:rsidRDefault="001479A4" w:rsidP="006F6177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20790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5FFEC7F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49AF8F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41E0EB93" w14:textId="77777777" w:rsidR="009E5A24" w:rsidRPr="00207909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CBA2C15" w14:textId="5F8F457B" w:rsidR="009E5A2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Signature du représentant </w:t>
      </w:r>
      <w:r w:rsidR="00260590" w:rsidRPr="00207909">
        <w:rPr>
          <w:rFonts w:asciiTheme="minorHAnsi" w:hAnsiTheme="minorHAnsi" w:cstheme="minorHAnsi"/>
          <w:color w:val="000000"/>
          <w:lang w:val="fr-FR"/>
        </w:rPr>
        <w:t>de l’acheteur</w:t>
      </w:r>
    </w:p>
    <w:p w14:paraId="16696C7B" w14:textId="65737AA1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A346B6D" w14:textId="6809EE84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0102773" w14:textId="66C65D63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2F98D68" w14:textId="1AB2C4F2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73A3C8C" w14:textId="7031AF62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D222B5A" w14:textId="62E5F323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AAD5E95" w14:textId="58123DF0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EDF08C9" w14:textId="243A6631" w:rsidR="006F6177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F6F3A9E" w14:textId="1928B0EB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917E20A" w14:textId="34477C17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5704BC2" w14:textId="30171D4E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1CC0C49" w14:textId="0C0002EC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77CC644" w14:textId="08CF07D2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96BC7DA" w14:textId="06DEB164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8480FD6" w14:textId="6F945BA8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98D30D9" w14:textId="2897AF34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292479" w14:textId="6B6913D7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2B0FCC" w14:textId="4409E624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ACED589" w14:textId="7BE2B62B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37381D0" w14:textId="4147DB82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CBCE6FC" w14:textId="75F64CCD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4ED4D09" w14:textId="1EB10FCA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9B770BC" w14:textId="5D6C8030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67E8B81" w14:textId="5FBA9413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3CF904C" w14:textId="1CDF5C99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F01AC5" w14:textId="793FD274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07992A5" w14:textId="72FB89FF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6E9F579" w14:textId="487AE3EB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D869AB8" w14:textId="1FEA5159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B3F8843" w14:textId="77777777" w:rsidR="00912C0F" w:rsidRDefault="00912C0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BE683D4" w14:textId="77777777" w:rsidR="006F6177" w:rsidRPr="00207909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F2F8C6" w14:textId="77777777" w:rsidR="00260590" w:rsidRPr="00207909" w:rsidRDefault="0026059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83E9C1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NOTIFICATION DU CONTRAT AU TITULAIRE (Date d'effet du contrat)</w:t>
      </w:r>
    </w:p>
    <w:p w14:paraId="34F82316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E66C3F5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En cas de remise contre récépissé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77853FD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titulaire signera la formule ci-dessous :</w:t>
      </w:r>
    </w:p>
    <w:p w14:paraId="1E3ADD6A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« Reçu à titre de notification une copie du présent contrat »</w:t>
      </w:r>
    </w:p>
    <w:p w14:paraId="534CF071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9B0FD16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25EA0D42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F0B75C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B1C369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06085F89" w14:textId="055C4DB0" w:rsidR="001479A4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11CFB2E" w14:textId="77777777" w:rsidR="006F6177" w:rsidRPr="00207909" w:rsidRDefault="006F617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F3618DB" w14:textId="77777777" w:rsidR="001479A4" w:rsidRPr="0020790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3B0C7E0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FF0D05E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76608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6194E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69A1970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En cas d'envoi en LR AR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0CECE75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87C34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15B912D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0DD3407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121D1B9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977969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BD9571B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BEF7362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C2A68DE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2AB523B" w14:textId="217E6027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83B6CEC" w14:textId="360A4D80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444BEFF5" w14:textId="30415648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5597DE8C" w14:textId="3E418B42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73883A1E" w14:textId="4C2A7441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3BAB60F" w14:textId="7CE72C1F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4B9496D3" w14:textId="1E6AF658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87951B5" w14:textId="77777777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6BCEA92" w14:textId="187F916C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70FAA06B" w14:textId="59E90DF3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5CC8FE77" w14:textId="25D6F73F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42D7E176" w14:textId="6EF140D5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38512AD5" w14:textId="1CE5062C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92A82D4" w14:textId="0EE9C560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3945BCDB" w14:textId="31404806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A17DBA9" w14:textId="50528ED4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A3E29D8" w14:textId="0DD7FA3F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31A7EDE6" w14:textId="125E4E13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46E5E740" w14:textId="7CE54C80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3B4CAEE" w14:textId="49D9CCD3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0F775E2B" w14:textId="77777777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79291B28" w14:textId="3903BA8D" w:rsidR="006F6177" w:rsidRDefault="006F6177">
      <w:pPr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4A9711ED" w14:textId="77777777" w:rsidR="006F6177" w:rsidRPr="00912C0F" w:rsidRDefault="006F6177" w:rsidP="006F6177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912C0F">
        <w:rPr>
          <w:rFonts w:asciiTheme="minorHAnsi" w:hAnsiTheme="minorHAnsi" w:cstheme="minorHAnsi"/>
          <w:b/>
          <w:color w:val="000000"/>
          <w:u w:val="single"/>
          <w:lang w:val="fr-FR"/>
        </w:rPr>
        <w:t>En cas de notification via la plateforme PLACE</w:t>
      </w:r>
      <w:r w:rsidRPr="00912C0F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0978B50" w14:textId="251E2C85" w:rsidR="006F6177" w:rsidRPr="00912C0F" w:rsidRDefault="006F6177" w:rsidP="006F6177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912C0F">
        <w:rPr>
          <w:rFonts w:asciiTheme="minorHAnsi" w:hAnsiTheme="minorHAnsi" w:cstheme="minorHAnsi"/>
          <w:color w:val="000000"/>
          <w:lang w:val="fr-FR"/>
        </w:rPr>
        <w:t>L’accusé de réception du message de notification envoyé via PLACE sera joint au présent acte d’engagement.</w:t>
      </w:r>
    </w:p>
    <w:p w14:paraId="0876A181" w14:textId="77777777" w:rsidR="006F6177" w:rsidRPr="006F6177" w:rsidRDefault="006F6177">
      <w:pPr>
        <w:rPr>
          <w:rFonts w:asciiTheme="minorHAnsi" w:eastAsia="Calibri" w:hAnsiTheme="minorHAnsi" w:cstheme="minorHAnsi"/>
          <w:b/>
          <w:color w:val="000000"/>
          <w:sz w:val="2"/>
          <w:szCs w:val="2"/>
          <w:u w:val="single"/>
          <w:lang w:val="fr-FR"/>
        </w:rPr>
      </w:pPr>
    </w:p>
    <w:p w14:paraId="7C70A1CC" w14:textId="4C0196E6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NANTISSEM</w:t>
      </w:r>
      <w:r w:rsidR="00912C0F">
        <w:rPr>
          <w:rFonts w:asciiTheme="minorHAnsi" w:hAnsiTheme="minorHAnsi" w:cstheme="minorHAnsi"/>
          <w:b/>
          <w:color w:val="000000"/>
          <w:u w:val="single"/>
          <w:lang w:val="fr-FR"/>
        </w:rPr>
        <w:t>E</w:t>
      </w: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NT OU CESSION DE CREANCES</w:t>
      </w:r>
    </w:p>
    <w:p w14:paraId="07FC047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A4374A2" w14:textId="77777777" w:rsidR="009E5A24" w:rsidRPr="00207909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  <w:r w:rsidRPr="00207909">
        <w:rPr>
          <w:rFonts w:asciiTheme="minorHAnsi" w:hAnsiTheme="minorHAnsi" w:cstheme="minorHAnsi"/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5A13CCB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13940FBD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388747B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235B377A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70294433" w14:textId="77777777" w:rsidR="009E5A24" w:rsidRPr="00207909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9E5A24" w:rsidRPr="00207909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0B5BA9">
              <w:rPr>
                <w:rFonts w:asciiTheme="minorHAnsi" w:hAnsiTheme="minorHAnsi" w:cstheme="minorHAnsi"/>
                <w:lang w:val="fr-FR"/>
              </w:rPr>
            </w:r>
            <w:r w:rsidR="000B5BA9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22A718F9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7F75D93A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671B7EED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24E149DA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1DAFE6B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9E5A24" w:rsidRPr="00207909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95F40FC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64CF5F6" w14:textId="77777777" w:rsidR="009E5A24" w:rsidRPr="0020790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63572108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207909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207909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B0A2E57" w14:textId="77777777" w:rsidR="009E5A24" w:rsidRPr="00207909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9E5A24" w:rsidRPr="00207909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97F79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3C0351D3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66D4EE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03A108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97A7C1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680B5CD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6F6B4FA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18985C2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2274C69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58AB0D4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528E197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C63294E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0D58FB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5BF6D2AB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6FCC1A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99D6A0C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A57E25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7AE524D5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3C305F3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BC81DCF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207909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A66D" w14:textId="77777777" w:rsidR="007F13D7" w:rsidRDefault="007F13D7">
      <w:r>
        <w:separator/>
      </w:r>
    </w:p>
  </w:endnote>
  <w:endnote w:type="continuationSeparator" w:id="0">
    <w:p w14:paraId="26EE46B9" w14:textId="77777777" w:rsidR="007F13D7" w:rsidRDefault="007F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26F6C553" w:rsidR="009E5A24" w:rsidRDefault="00912C0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9EDA" w14:textId="77777777" w:rsidR="007F13D7" w:rsidRDefault="007F13D7">
      <w:r>
        <w:separator/>
      </w:r>
    </w:p>
  </w:footnote>
  <w:footnote w:type="continuationSeparator" w:id="0">
    <w:p w14:paraId="59A95839" w14:textId="77777777" w:rsidR="007F13D7" w:rsidRDefault="007F1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B5BA9"/>
    <w:rsid w:val="000F4BD7"/>
    <w:rsid w:val="00114052"/>
    <w:rsid w:val="001479A4"/>
    <w:rsid w:val="001754A0"/>
    <w:rsid w:val="00207909"/>
    <w:rsid w:val="002268C3"/>
    <w:rsid w:val="00234579"/>
    <w:rsid w:val="00241B25"/>
    <w:rsid w:val="002514B1"/>
    <w:rsid w:val="00260590"/>
    <w:rsid w:val="002C4107"/>
    <w:rsid w:val="004021E5"/>
    <w:rsid w:val="004302C3"/>
    <w:rsid w:val="004B2466"/>
    <w:rsid w:val="00506DE4"/>
    <w:rsid w:val="00545AB6"/>
    <w:rsid w:val="005B3CF8"/>
    <w:rsid w:val="00652CCB"/>
    <w:rsid w:val="006901DD"/>
    <w:rsid w:val="006A07B0"/>
    <w:rsid w:val="006F6177"/>
    <w:rsid w:val="007722A1"/>
    <w:rsid w:val="007F13D7"/>
    <w:rsid w:val="00854A34"/>
    <w:rsid w:val="00860B08"/>
    <w:rsid w:val="0088550B"/>
    <w:rsid w:val="008B1E13"/>
    <w:rsid w:val="00912C0F"/>
    <w:rsid w:val="009659A9"/>
    <w:rsid w:val="009E5A24"/>
    <w:rsid w:val="00A25960"/>
    <w:rsid w:val="00A90F0D"/>
    <w:rsid w:val="00AA16EF"/>
    <w:rsid w:val="00B024DB"/>
    <w:rsid w:val="00B07E19"/>
    <w:rsid w:val="00B25B24"/>
    <w:rsid w:val="00BA09EF"/>
    <w:rsid w:val="00BA6D1F"/>
    <w:rsid w:val="00BE3B7E"/>
    <w:rsid w:val="00C86FA4"/>
    <w:rsid w:val="00D50E31"/>
    <w:rsid w:val="00D65106"/>
    <w:rsid w:val="00D912DC"/>
    <w:rsid w:val="00D97ABE"/>
    <w:rsid w:val="00DD0B1C"/>
    <w:rsid w:val="00EC21C9"/>
    <w:rsid w:val="00EE0D00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1824</Words>
  <Characters>8829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Julien Dupeyrat</cp:lastModifiedBy>
  <cp:revision>40</cp:revision>
  <dcterms:created xsi:type="dcterms:W3CDTF">2019-11-13T07:50:00Z</dcterms:created>
  <dcterms:modified xsi:type="dcterms:W3CDTF">2025-01-06T14:10:00Z</dcterms:modified>
</cp:coreProperties>
</file>