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Pr="00021BEC" w:rsidRDefault="003C72A6" w:rsidP="006C4338">
      <w:pPr>
        <w:pStyle w:val="Corpsdetexte31"/>
        <w:tabs>
          <w:tab w:val="left" w:pos="851"/>
        </w:tabs>
        <w:jc w:val="both"/>
        <w:rPr>
          <w:szCs w:val="16"/>
        </w:rPr>
      </w:pPr>
      <w:r w:rsidRPr="00021BEC">
        <w:rPr>
          <w:szCs w:val="16"/>
        </w:rPr>
        <w:t>Alors qu’un acte d’engagement était autrefois requis de l’opérateur économique soumissionnaire lors du dépôt de son offre, sa signature n’est plus aujourd’hui requise qu’au stade de l’attribution du marché public.</w:t>
      </w:r>
    </w:p>
    <w:p w:rsidR="003C72A6" w:rsidRPr="00021BEC" w:rsidRDefault="003C72A6" w:rsidP="006C4338">
      <w:pPr>
        <w:pStyle w:val="Corpsdetexte31"/>
        <w:tabs>
          <w:tab w:val="left" w:pos="851"/>
        </w:tabs>
        <w:jc w:val="both"/>
        <w:rPr>
          <w:szCs w:val="16"/>
        </w:rPr>
      </w:pPr>
    </w:p>
    <w:p w:rsidR="003C72A6" w:rsidRPr="00021BEC" w:rsidRDefault="003C72A6" w:rsidP="006C4338">
      <w:pPr>
        <w:pStyle w:val="Corpsdetexte31"/>
        <w:tabs>
          <w:tab w:val="left" w:pos="851"/>
        </w:tabs>
        <w:jc w:val="both"/>
        <w:rPr>
          <w:szCs w:val="16"/>
        </w:rPr>
      </w:pPr>
      <w:r w:rsidRPr="00021BEC">
        <w:rPr>
          <w:szCs w:val="16"/>
        </w:rPr>
        <w:t>Le formulaire ATTRI1 est un modèle d’acte d’engagement qui peut être utilisé par l’acheteur, s’il le souhaite, pour conclure un marché public avec le titulaire pressenti.</w:t>
      </w:r>
    </w:p>
    <w:p w:rsidR="003C72A6" w:rsidRPr="00021BEC" w:rsidRDefault="003C72A6" w:rsidP="006C4338">
      <w:pPr>
        <w:pStyle w:val="Corpsdetexte31"/>
        <w:tabs>
          <w:tab w:val="left" w:pos="851"/>
        </w:tabs>
        <w:jc w:val="both"/>
        <w:rPr>
          <w:szCs w:val="16"/>
        </w:rPr>
      </w:pPr>
    </w:p>
    <w:p w:rsidR="003C72A6" w:rsidRPr="00021BEC" w:rsidRDefault="003C72A6" w:rsidP="006C4338">
      <w:pPr>
        <w:pStyle w:val="Corpsdetexte31"/>
        <w:tabs>
          <w:tab w:val="left" w:pos="851"/>
        </w:tabs>
        <w:jc w:val="both"/>
        <w:rPr>
          <w:szCs w:val="16"/>
        </w:rPr>
      </w:pPr>
      <w:r w:rsidRPr="00021BEC">
        <w:rPr>
          <w:szCs w:val="16"/>
        </w:rPr>
        <w:t>Il est conseillé aux acheteurs de renseigner les différentes rubriques de ce formulaire avant de l’adresser à l’attributaire. Ce dernier retourne l’acte d’engagement signé, permettant à l’acheteur de le signer à son tour.</w:t>
      </w:r>
    </w:p>
    <w:p w:rsidR="003C72A6" w:rsidRPr="00021BEC" w:rsidRDefault="003C72A6" w:rsidP="006C4338">
      <w:pPr>
        <w:pStyle w:val="Corpsdetexte31"/>
        <w:tabs>
          <w:tab w:val="left" w:pos="851"/>
        </w:tabs>
        <w:jc w:val="both"/>
        <w:rPr>
          <w:szCs w:val="16"/>
        </w:rPr>
      </w:pPr>
    </w:p>
    <w:p w:rsidR="003C72A6" w:rsidRPr="00021BEC" w:rsidRDefault="003C72A6" w:rsidP="006F3DF9">
      <w:pPr>
        <w:pStyle w:val="Corpsdetexte31"/>
        <w:tabs>
          <w:tab w:val="left" w:pos="851"/>
        </w:tabs>
        <w:jc w:val="both"/>
        <w:rPr>
          <w:szCs w:val="16"/>
        </w:rPr>
      </w:pPr>
      <w:r w:rsidRPr="00021BEC">
        <w:rPr>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Pr="00021BEC" w:rsidRDefault="003C72A6" w:rsidP="006F3DF9">
      <w:pPr>
        <w:pStyle w:val="Corpsdetexte31"/>
        <w:tabs>
          <w:tab w:val="left" w:pos="851"/>
        </w:tabs>
        <w:jc w:val="both"/>
        <w:rPr>
          <w:szCs w:val="16"/>
        </w:rPr>
      </w:pPr>
    </w:p>
    <w:p w:rsidR="003C72A6" w:rsidRPr="00021BEC" w:rsidRDefault="003C72A6" w:rsidP="005846FB">
      <w:pPr>
        <w:pStyle w:val="Corpsdetexte31"/>
        <w:tabs>
          <w:tab w:val="left" w:pos="851"/>
        </w:tabs>
        <w:jc w:val="both"/>
        <w:rPr>
          <w:szCs w:val="16"/>
        </w:rPr>
      </w:pPr>
      <w:r w:rsidRPr="00021BEC">
        <w:rPr>
          <w:szCs w:val="16"/>
        </w:rPr>
        <w:t>En cas de groupement d’entreprises, un acte d’engagement unique est rempli pour le groupement d’entreprises.</w:t>
      </w:r>
    </w:p>
    <w:p w:rsidR="003C72A6" w:rsidRPr="00021BEC" w:rsidRDefault="003C72A6" w:rsidP="005846FB">
      <w:pPr>
        <w:pStyle w:val="Corpsdetexte31"/>
        <w:tabs>
          <w:tab w:val="left" w:pos="851"/>
        </w:tabs>
        <w:jc w:val="both"/>
        <w:rPr>
          <w:szCs w:val="16"/>
        </w:rPr>
      </w:pPr>
    </w:p>
    <w:p w:rsidR="003C72A6" w:rsidRPr="00021BEC" w:rsidRDefault="003C72A6" w:rsidP="004C5755">
      <w:pPr>
        <w:jc w:val="both"/>
        <w:rPr>
          <w:rFonts w:ascii="Arial" w:hAnsi="Arial" w:cs="Arial"/>
          <w:i/>
          <w:sz w:val="16"/>
          <w:szCs w:val="16"/>
        </w:rPr>
      </w:pPr>
      <w:r w:rsidRPr="00021BEC">
        <w:rPr>
          <w:rFonts w:ascii="Arial" w:hAnsi="Arial" w:cs="Arial"/>
          <w:i/>
          <w:sz w:val="16"/>
          <w:szCs w:val="16"/>
        </w:rPr>
        <w:t xml:space="preserve">Il est rappelé qu’en application du code de la commande publique, et notamment ses </w:t>
      </w:r>
      <w:hyperlink r:id="rId10" w:history="1">
        <w:r w:rsidRPr="00021BEC">
          <w:rPr>
            <w:rStyle w:val="Lienhypertexte"/>
            <w:rFonts w:ascii="Arial" w:hAnsi="Arial" w:cs="Arial"/>
            <w:i/>
            <w:sz w:val="16"/>
            <w:szCs w:val="16"/>
          </w:rPr>
          <w:t>articles L. 1110-1</w:t>
        </w:r>
      </w:hyperlink>
      <w:r w:rsidRPr="00021BEC">
        <w:rPr>
          <w:rFonts w:ascii="Arial" w:hAnsi="Arial" w:cs="Arial"/>
          <w:i/>
          <w:sz w:val="16"/>
          <w:szCs w:val="16"/>
        </w:rPr>
        <w:t xml:space="preserve">, et </w:t>
      </w:r>
      <w:hyperlink r:id="rId11" w:history="1">
        <w:r w:rsidRPr="00021BEC">
          <w:rPr>
            <w:rStyle w:val="Lienhypertexte"/>
            <w:rFonts w:ascii="Arial" w:hAnsi="Arial" w:cs="Arial"/>
            <w:i/>
            <w:sz w:val="16"/>
            <w:szCs w:val="16"/>
          </w:rPr>
          <w:t>R. 2162-1 à R. 2162-6</w:t>
        </w:r>
      </w:hyperlink>
      <w:r w:rsidRPr="00021BEC">
        <w:rPr>
          <w:rFonts w:ascii="Arial" w:hAnsi="Arial" w:cs="Arial"/>
          <w:i/>
          <w:sz w:val="16"/>
          <w:szCs w:val="16"/>
        </w:rPr>
        <w:t xml:space="preserve">, </w:t>
      </w:r>
      <w:hyperlink r:id="rId12" w:history="1">
        <w:r w:rsidRPr="00021BEC">
          <w:rPr>
            <w:rStyle w:val="Lienhypertexte"/>
            <w:rFonts w:ascii="Arial" w:hAnsi="Arial" w:cs="Arial"/>
            <w:i/>
            <w:sz w:val="16"/>
            <w:szCs w:val="16"/>
          </w:rPr>
          <w:t>R. 2162-7 à R. 2162-12</w:t>
        </w:r>
      </w:hyperlink>
      <w:r w:rsidRPr="00021BEC">
        <w:rPr>
          <w:rFonts w:ascii="Arial" w:hAnsi="Arial" w:cs="Arial"/>
          <w:i/>
          <w:sz w:val="16"/>
          <w:szCs w:val="16"/>
        </w:rPr>
        <w:t xml:space="preserve">, </w:t>
      </w:r>
      <w:hyperlink r:id="rId13" w:history="1">
        <w:r w:rsidRPr="00021BEC">
          <w:rPr>
            <w:rStyle w:val="Lienhypertexte"/>
            <w:rFonts w:ascii="Arial" w:hAnsi="Arial" w:cs="Arial"/>
            <w:i/>
            <w:sz w:val="16"/>
            <w:szCs w:val="16"/>
          </w:rPr>
          <w:t>R. 2162-13 à R. 2162-14</w:t>
        </w:r>
      </w:hyperlink>
      <w:r w:rsidRPr="00021BEC">
        <w:rPr>
          <w:rFonts w:ascii="Arial" w:hAnsi="Arial" w:cs="Arial"/>
          <w:i/>
          <w:sz w:val="16"/>
          <w:szCs w:val="16"/>
        </w:rPr>
        <w:t xml:space="preserve"> et </w:t>
      </w:r>
      <w:hyperlink r:id="rId14" w:history="1">
        <w:r w:rsidRPr="00021BEC">
          <w:rPr>
            <w:rStyle w:val="Lienhypertexte"/>
            <w:rFonts w:ascii="Arial" w:hAnsi="Arial" w:cs="Arial"/>
            <w:i/>
            <w:sz w:val="16"/>
            <w:szCs w:val="16"/>
          </w:rPr>
          <w:t>R. 2162-15 à R. 2162-21</w:t>
        </w:r>
      </w:hyperlink>
      <w:r w:rsidRPr="00021BEC">
        <w:rPr>
          <w:rFonts w:ascii="Arial" w:hAnsi="Arial" w:cs="Arial"/>
          <w:i/>
          <w:sz w:val="16"/>
          <w:szCs w:val="16"/>
        </w:rPr>
        <w:t xml:space="preserve"> (marchés publics autres que de défense ou de sécurité), ainsi que </w:t>
      </w:r>
      <w:hyperlink r:id="rId15" w:history="1">
        <w:r w:rsidRPr="00021BEC">
          <w:rPr>
            <w:rStyle w:val="Lienhypertexte"/>
            <w:rFonts w:ascii="Arial" w:hAnsi="Arial" w:cs="Arial"/>
            <w:i/>
            <w:sz w:val="16"/>
            <w:szCs w:val="16"/>
          </w:rPr>
          <w:t>R. 23612-1 à R. 2362-6</w:t>
        </w:r>
      </w:hyperlink>
      <w:r w:rsidRPr="00021BEC">
        <w:rPr>
          <w:rFonts w:ascii="Arial" w:hAnsi="Arial" w:cs="Arial"/>
          <w:i/>
          <w:sz w:val="16"/>
          <w:szCs w:val="16"/>
        </w:rPr>
        <w:t xml:space="preserve">, </w:t>
      </w:r>
      <w:hyperlink r:id="rId16" w:history="1">
        <w:r w:rsidRPr="00021BEC">
          <w:rPr>
            <w:rStyle w:val="Lienhypertexte"/>
            <w:rFonts w:ascii="Arial" w:hAnsi="Arial" w:cs="Arial"/>
            <w:i/>
            <w:sz w:val="16"/>
            <w:szCs w:val="16"/>
          </w:rPr>
          <w:t>R. 2362-7</w:t>
        </w:r>
      </w:hyperlink>
      <w:r w:rsidRPr="00021BEC">
        <w:rPr>
          <w:rFonts w:ascii="Arial" w:hAnsi="Arial" w:cs="Arial"/>
          <w:i/>
          <w:sz w:val="16"/>
          <w:szCs w:val="16"/>
        </w:rPr>
        <w:t xml:space="preserve">, </w:t>
      </w:r>
      <w:hyperlink r:id="rId17" w:history="1">
        <w:r w:rsidRPr="00021BEC">
          <w:rPr>
            <w:rStyle w:val="Lienhypertexte"/>
            <w:rFonts w:ascii="Arial" w:hAnsi="Arial" w:cs="Arial"/>
            <w:i/>
            <w:sz w:val="16"/>
            <w:szCs w:val="16"/>
          </w:rPr>
          <w:t>R. 2362-8</w:t>
        </w:r>
      </w:hyperlink>
      <w:r w:rsidRPr="00021BEC">
        <w:rPr>
          <w:rFonts w:ascii="Arial" w:hAnsi="Arial" w:cs="Arial"/>
          <w:i/>
          <w:sz w:val="16"/>
          <w:szCs w:val="16"/>
        </w:rPr>
        <w:t xml:space="preserve">, </w:t>
      </w:r>
      <w:hyperlink r:id="rId18" w:history="1">
        <w:r w:rsidRPr="00021BEC">
          <w:rPr>
            <w:rStyle w:val="Lienhypertexte"/>
            <w:rFonts w:ascii="Arial" w:hAnsi="Arial" w:cs="Arial"/>
            <w:i/>
            <w:sz w:val="16"/>
            <w:szCs w:val="16"/>
          </w:rPr>
          <w:t>R. 2362-9 à R. 2362-12</w:t>
        </w:r>
      </w:hyperlink>
      <w:r w:rsidRPr="00021BEC">
        <w:rPr>
          <w:rFonts w:ascii="Arial" w:hAnsi="Arial" w:cs="Arial"/>
          <w:i/>
          <w:sz w:val="16"/>
          <w:szCs w:val="16"/>
        </w:rPr>
        <w:t>, et </w:t>
      </w:r>
      <w:hyperlink r:id="rId19" w:history="1">
        <w:r w:rsidRPr="00021BEC">
          <w:rPr>
            <w:rStyle w:val="Lienhypertexte"/>
            <w:rFonts w:ascii="Arial" w:hAnsi="Arial" w:cs="Arial"/>
            <w:i/>
            <w:sz w:val="16"/>
            <w:szCs w:val="16"/>
          </w:rPr>
          <w:t>R. 2362-13 à R. 2362-18</w:t>
        </w:r>
      </w:hyperlink>
      <w:r w:rsidRPr="00021BEC">
        <w:rPr>
          <w:rFonts w:ascii="Arial" w:hAnsi="Arial" w:cs="Arial"/>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007FDC">
        <w:rPr>
          <w:rFonts w:ascii="Arial" w:hAnsi="Arial" w:cs="Arial"/>
          <w:i/>
          <w:sz w:val="16"/>
          <w:szCs w:val="16"/>
        </w:rPr>
        <w:t>(</w:t>
      </w:r>
      <w:r w:rsidRPr="00007FDC">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007FDC">
        <w:rPr>
          <w:rFonts w:ascii="Arial" w:hAnsi="Arial" w:cs="Arial"/>
          <w:i/>
          <w:sz w:val="16"/>
          <w:szCs w:val="16"/>
        </w:rPr>
        <w:t>)</w:t>
      </w:r>
    </w:p>
    <w:p w:rsidR="00BA08A9" w:rsidRPr="00007FDC" w:rsidRDefault="00BA08A9" w:rsidP="006F3DF9">
      <w:pPr>
        <w:pStyle w:val="fcase1ertab"/>
        <w:tabs>
          <w:tab w:val="clear" w:pos="426"/>
          <w:tab w:val="left" w:pos="0"/>
          <w:tab w:val="left" w:pos="851"/>
        </w:tabs>
        <w:ind w:left="0" w:firstLine="0"/>
        <w:rPr>
          <w:rFonts w:ascii="Arial" w:hAnsi="Arial" w:cs="Arial"/>
          <w:i/>
          <w:sz w:val="16"/>
          <w:szCs w:val="16"/>
        </w:rPr>
      </w:pPr>
    </w:p>
    <w:p w:rsidR="00007FDC" w:rsidRDefault="00007FDC" w:rsidP="0032116B">
      <w:pPr>
        <w:widowControl w:val="0"/>
        <w:tabs>
          <w:tab w:val="left" w:pos="1701"/>
          <w:tab w:val="left" w:pos="2268"/>
        </w:tabs>
        <w:suppressAutoHyphens w:val="0"/>
        <w:overflowPunct w:val="0"/>
        <w:autoSpaceDE w:val="0"/>
        <w:autoSpaceDN w:val="0"/>
        <w:adjustRightInd w:val="0"/>
        <w:ind w:left="426" w:hanging="142"/>
        <w:jc w:val="center"/>
        <w:textAlignment w:val="baseline"/>
        <w:rPr>
          <w:b/>
          <w:iCs/>
          <w:sz w:val="24"/>
          <w:szCs w:val="24"/>
        </w:rPr>
      </w:pPr>
      <w:bookmarkStart w:id="0" w:name="_Hlk141278761"/>
      <w:r w:rsidRPr="0072077A">
        <w:rPr>
          <w:b/>
          <w:iCs/>
          <w:sz w:val="24"/>
          <w:szCs w:val="24"/>
        </w:rPr>
        <w:t>Maintenance préventive et corrective des systèmes de sécurité incendie, des équipements de désenfumage et des asservissements associés du site Côte de Nacre du CHU Caen Normandie</w:t>
      </w:r>
    </w:p>
    <w:p w:rsidR="00BB7023" w:rsidRDefault="00BB7023" w:rsidP="00E33203">
      <w:pPr>
        <w:pStyle w:val="Paragraphedeliste"/>
        <w:widowControl w:val="0"/>
        <w:numPr>
          <w:ilvl w:val="0"/>
          <w:numId w:val="8"/>
        </w:numPr>
        <w:tabs>
          <w:tab w:val="left" w:pos="1701"/>
          <w:tab w:val="left" w:pos="2268"/>
        </w:tabs>
        <w:suppressAutoHyphens w:val="0"/>
        <w:overflowPunct w:val="0"/>
        <w:autoSpaceDE w:val="0"/>
        <w:autoSpaceDN w:val="0"/>
        <w:adjustRightInd w:val="0"/>
        <w:ind w:left="2127" w:hanging="426"/>
        <w:textAlignment w:val="baseline"/>
        <w:rPr>
          <w:b/>
          <w:iCs/>
          <w:sz w:val="28"/>
          <w:szCs w:val="28"/>
        </w:rPr>
      </w:pPr>
      <w:r w:rsidRPr="00BB7023">
        <w:rPr>
          <w:b/>
          <w:iCs/>
          <w:sz w:val="28"/>
          <w:szCs w:val="28"/>
        </w:rPr>
        <w:t>LOT 2</w:t>
      </w:r>
    </w:p>
    <w:bookmarkEnd w:id="0"/>
    <w:p w:rsidR="003C72A6" w:rsidRDefault="003C72A6" w:rsidP="005846FB">
      <w:pPr>
        <w:tabs>
          <w:tab w:val="left" w:pos="426"/>
          <w:tab w:val="left" w:pos="851"/>
        </w:tabs>
        <w:jc w:val="both"/>
        <w:rPr>
          <w:rFonts w:ascii="Arial" w:hAnsi="Arial" w:cs="Arial"/>
        </w:rPr>
      </w:pPr>
    </w:p>
    <w:tbl>
      <w:tblPr>
        <w:tblStyle w:val="Grilledutableau32"/>
        <w:tblW w:w="0" w:type="auto"/>
        <w:jc w:val="center"/>
        <w:tblLook w:val="04A0" w:firstRow="1" w:lastRow="0" w:firstColumn="1" w:lastColumn="0" w:noHBand="0" w:noVBand="1"/>
      </w:tblPr>
      <w:tblGrid>
        <w:gridCol w:w="2405"/>
        <w:gridCol w:w="7088"/>
      </w:tblGrid>
      <w:tr w:rsidR="00021BEC" w:rsidRPr="00021BEC" w:rsidTr="00021BEC">
        <w:trPr>
          <w:trHeight w:val="510"/>
          <w:jc w:val="center"/>
        </w:trPr>
        <w:tc>
          <w:tcPr>
            <w:tcW w:w="2405" w:type="dxa"/>
            <w:vMerge w:val="restart"/>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Typologie de bâtiment</w:t>
            </w:r>
          </w:p>
        </w:tc>
        <w:tc>
          <w:tcPr>
            <w:tcW w:w="7088" w:type="dxa"/>
            <w:vMerge w:val="restart"/>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Désignation du Bâtiment</w:t>
            </w:r>
          </w:p>
        </w:tc>
      </w:tr>
      <w:tr w:rsidR="00021BEC" w:rsidRPr="00021BEC" w:rsidTr="00021BEC">
        <w:trPr>
          <w:trHeight w:val="230"/>
          <w:jc w:val="center"/>
        </w:trPr>
        <w:tc>
          <w:tcPr>
            <w:tcW w:w="2405" w:type="dxa"/>
            <w:vMerge/>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7088" w:type="dxa"/>
            <w:vMerge/>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r w:rsidR="00021BEC" w:rsidRPr="00021BEC" w:rsidTr="00021BEC">
        <w:trPr>
          <w:trHeight w:val="284"/>
          <w:jc w:val="center"/>
        </w:trPr>
        <w:tc>
          <w:tcPr>
            <w:tcW w:w="2405" w:type="dxa"/>
            <w:vMerge w:val="restart"/>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ERP</w:t>
            </w:r>
          </w:p>
        </w:tc>
        <w:tc>
          <w:tcPr>
            <w:tcW w:w="7088" w:type="dxa"/>
          </w:tcPr>
          <w:p w:rsidR="00021BEC" w:rsidRPr="00021BEC" w:rsidRDefault="00021BEC" w:rsidP="00021BEC">
            <w:pPr>
              <w:tabs>
                <w:tab w:val="left" w:pos="1985"/>
                <w:tab w:val="left" w:pos="2835"/>
              </w:tabs>
              <w:suppressAutoHyphens w:val="0"/>
              <w:jc w:val="center"/>
              <w:rPr>
                <w:rFonts w:ascii="Arial" w:hAnsi="Arial" w:cs="Arial"/>
                <w:lang w:eastAsia="fr-FR"/>
              </w:rPr>
            </w:pPr>
            <w:r w:rsidRPr="00021BEC">
              <w:rPr>
                <w:rFonts w:ascii="Arial" w:hAnsi="Arial" w:cs="Arial"/>
                <w:lang w:eastAsia="fr-FR"/>
              </w:rPr>
              <w:t>Centre Universitaire de Soins Dentaires (CUSD)</w:t>
            </w:r>
          </w:p>
        </w:tc>
      </w:tr>
      <w:tr w:rsidR="00021BEC" w:rsidRPr="00021BEC" w:rsidTr="00021BEC">
        <w:trPr>
          <w:trHeight w:val="284"/>
          <w:jc w:val="center"/>
        </w:trPr>
        <w:tc>
          <w:tcPr>
            <w:tcW w:w="2405" w:type="dxa"/>
            <w:vMerge/>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7088" w:type="dxa"/>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Centre Universitaire des Maladies Rénales</w:t>
            </w:r>
          </w:p>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(CUMR)</w:t>
            </w:r>
          </w:p>
        </w:tc>
      </w:tr>
      <w:tr w:rsidR="00021BEC" w:rsidRPr="00021BEC" w:rsidTr="00021BEC">
        <w:trPr>
          <w:trHeight w:val="284"/>
          <w:jc w:val="center"/>
        </w:trPr>
        <w:tc>
          <w:tcPr>
            <w:tcW w:w="2405" w:type="dxa"/>
            <w:vMerge/>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7088" w:type="dxa"/>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Esquirol</w:t>
            </w:r>
          </w:p>
        </w:tc>
      </w:tr>
      <w:tr w:rsidR="00021BEC" w:rsidRPr="00021BEC" w:rsidTr="00021BEC">
        <w:trPr>
          <w:trHeight w:val="284"/>
          <w:jc w:val="center"/>
        </w:trPr>
        <w:tc>
          <w:tcPr>
            <w:tcW w:w="2405" w:type="dxa"/>
            <w:vMerge/>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7088" w:type="dxa"/>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Médecine du sport/Syndicats</w:t>
            </w:r>
          </w:p>
        </w:tc>
      </w:tr>
      <w:tr w:rsidR="00021BEC" w:rsidRPr="00021BEC" w:rsidTr="00021BEC">
        <w:trPr>
          <w:trHeight w:val="284"/>
          <w:jc w:val="center"/>
        </w:trPr>
        <w:tc>
          <w:tcPr>
            <w:tcW w:w="2405" w:type="dxa"/>
            <w:vMerge w:val="restart"/>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BUP</w:t>
            </w:r>
          </w:p>
        </w:tc>
        <w:tc>
          <w:tcPr>
            <w:tcW w:w="7088" w:type="dxa"/>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 xml:space="preserve">Bâtiment Biologie </w:t>
            </w:r>
            <w:proofErr w:type="gramStart"/>
            <w:r w:rsidRPr="00021BEC">
              <w:rPr>
                <w:rFonts w:ascii="Arial" w:hAnsi="Arial" w:cs="Arial"/>
                <w:lang w:eastAsia="fr-FR"/>
              </w:rPr>
              <w:t>Recherche(</w:t>
            </w:r>
            <w:proofErr w:type="gramEnd"/>
            <w:r w:rsidRPr="00021BEC">
              <w:rPr>
                <w:rFonts w:ascii="Arial" w:hAnsi="Arial" w:cs="Arial"/>
                <w:lang w:eastAsia="fr-FR"/>
              </w:rPr>
              <w:t>BBR)</w:t>
            </w:r>
          </w:p>
        </w:tc>
      </w:tr>
      <w:tr w:rsidR="00021BEC" w:rsidRPr="00021BEC" w:rsidTr="00021BEC">
        <w:trPr>
          <w:trHeight w:val="284"/>
          <w:jc w:val="center"/>
        </w:trPr>
        <w:tc>
          <w:tcPr>
            <w:tcW w:w="2405" w:type="dxa"/>
            <w:vMerge/>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7088" w:type="dxa"/>
          </w:tcPr>
          <w:p w:rsidR="00021BEC" w:rsidRPr="00021BEC" w:rsidRDefault="00021BEC" w:rsidP="00021BEC">
            <w:pPr>
              <w:tabs>
                <w:tab w:val="left" w:pos="1985"/>
                <w:tab w:val="left" w:pos="2835"/>
              </w:tabs>
              <w:suppressAutoHyphens w:val="0"/>
              <w:jc w:val="center"/>
              <w:rPr>
                <w:rFonts w:ascii="Arial" w:hAnsi="Arial" w:cs="Arial"/>
                <w:lang w:eastAsia="fr-FR"/>
              </w:rPr>
            </w:pPr>
            <w:r w:rsidRPr="00021BEC">
              <w:rPr>
                <w:rFonts w:ascii="Arial" w:hAnsi="Arial" w:cs="Arial"/>
                <w:lang w:eastAsia="fr-FR"/>
              </w:rPr>
              <w:t>Logistique Pharmacie Administration</w:t>
            </w:r>
            <w:r>
              <w:rPr>
                <w:rFonts w:ascii="Arial" w:hAnsi="Arial" w:cs="Arial"/>
                <w:lang w:eastAsia="fr-FR"/>
              </w:rPr>
              <w:t xml:space="preserve"> </w:t>
            </w:r>
            <w:r w:rsidRPr="00021BEC">
              <w:rPr>
                <w:rFonts w:ascii="Arial" w:hAnsi="Arial" w:cs="Arial"/>
                <w:lang w:eastAsia="fr-FR"/>
              </w:rPr>
              <w:t>(LPA)</w:t>
            </w:r>
          </w:p>
        </w:tc>
      </w:tr>
      <w:tr w:rsidR="00021BEC" w:rsidRPr="00021BEC" w:rsidTr="00021BEC">
        <w:trPr>
          <w:trHeight w:val="284"/>
          <w:jc w:val="center"/>
        </w:trPr>
        <w:tc>
          <w:tcPr>
            <w:tcW w:w="2405" w:type="dxa"/>
            <w:vMerge/>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7088" w:type="dxa"/>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Parking P12</w:t>
            </w:r>
          </w:p>
        </w:tc>
      </w:tr>
      <w:tr w:rsidR="00021BEC" w:rsidRPr="00021BEC" w:rsidTr="00021BEC">
        <w:trPr>
          <w:trHeight w:val="284"/>
          <w:jc w:val="center"/>
        </w:trPr>
        <w:tc>
          <w:tcPr>
            <w:tcW w:w="2405" w:type="dxa"/>
            <w:vMerge/>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7088" w:type="dxa"/>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SESAM</w:t>
            </w:r>
          </w:p>
        </w:tc>
      </w:tr>
      <w:tr w:rsidR="00021BEC" w:rsidRPr="00021BEC" w:rsidTr="00021BEC">
        <w:trPr>
          <w:trHeight w:val="284"/>
          <w:jc w:val="center"/>
        </w:trPr>
        <w:tc>
          <w:tcPr>
            <w:tcW w:w="2405" w:type="dxa"/>
            <w:vMerge/>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7088" w:type="dxa"/>
            <w:vAlign w:val="center"/>
          </w:tcPr>
          <w:p w:rsidR="00021BEC" w:rsidRPr="00021BEC" w:rsidRDefault="00021BEC" w:rsidP="00021BEC">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021BEC">
              <w:rPr>
                <w:rFonts w:ascii="Arial" w:hAnsi="Arial" w:cs="Arial"/>
                <w:lang w:eastAsia="fr-FR"/>
              </w:rPr>
              <w:t>SAMU</w:t>
            </w:r>
          </w:p>
        </w:tc>
      </w:tr>
    </w:tbl>
    <w:p w:rsidR="00433B4B" w:rsidRPr="00433B4B" w:rsidRDefault="00433B4B" w:rsidP="001B3DF0">
      <w:pPr>
        <w:tabs>
          <w:tab w:val="left" w:pos="0"/>
        </w:tabs>
        <w:ind w:left="284"/>
        <w:rPr>
          <w:rFonts w:ascii="Arial" w:hAnsi="Arial" w:cs="Arial"/>
          <w:b/>
          <w:bCs/>
          <w:noProof/>
        </w:rPr>
      </w:pPr>
    </w:p>
    <w:p w:rsidR="004959F7" w:rsidRDefault="001B3DF0" w:rsidP="004959F7">
      <w:pPr>
        <w:ind w:left="1134"/>
        <w:rPr>
          <w:rFonts w:ascii="Arial" w:hAnsi="Arial" w:cs="Arial"/>
        </w:rPr>
      </w:pPr>
      <w:r w:rsidRPr="001B3DF0">
        <w:rPr>
          <w:rFonts w:ascii="Arial" w:hAnsi="Arial" w:cs="Arial"/>
          <w:b/>
          <w:bCs/>
          <w:noProof/>
        </w:rPr>
        <w:lastRenderedPageBreak/>
        <w:tab/>
      </w: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2E1B8D">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8066B0">
        <w:rPr>
          <w:rFonts w:ascii="Arial" w:hAnsi="Arial" w:cs="Arial"/>
        </w:rPr>
        <w:t>2</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2C3ADB" w:rsidRDefault="002C3ADB" w:rsidP="009B45B9">
      <w:pPr>
        <w:pStyle w:val="fcasegauche"/>
        <w:tabs>
          <w:tab w:val="left" w:pos="851"/>
        </w:tabs>
        <w:spacing w:after="0"/>
        <w:ind w:left="851" w:firstLine="0"/>
        <w:rPr>
          <w:rFonts w:ascii="Arial" w:hAnsi="Arial" w:cs="Arial"/>
        </w:rPr>
      </w:pPr>
    </w:p>
    <w:p w:rsidR="003C72A6" w:rsidRDefault="003C72A6" w:rsidP="006B5057">
      <w:pPr>
        <w:pStyle w:val="fcasegauche"/>
        <w:tabs>
          <w:tab w:val="left" w:pos="851"/>
        </w:tabs>
        <w:spacing w:before="120" w:after="0"/>
        <w:ind w:left="426" w:firstLine="0"/>
        <w:rPr>
          <w:rFonts w:ascii="Arial" w:hAnsi="Arial" w:cs="Arial"/>
          <w:iCs/>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2E1B8D">
        <w:fldChar w:fldCharType="separate"/>
      </w:r>
      <w:r>
        <w:fldChar w:fldCharType="end"/>
      </w:r>
      <w:r w:rsidRPr="00221808">
        <w:rPr>
          <w:rFonts w:ascii="Arial" w:hAnsi="Arial" w:cs="Arial"/>
        </w:rPr>
        <w:t xml:space="preserve"> CCAP n°</w:t>
      </w:r>
      <w:r w:rsidR="001B3DF0">
        <w:rPr>
          <w:rFonts w:ascii="Arial" w:hAnsi="Arial" w:cs="Arial"/>
        </w:rPr>
        <w:t xml:space="preserve"> </w:t>
      </w:r>
      <w:r w:rsidR="00433B4B">
        <w:rPr>
          <w:rFonts w:ascii="Arial" w:hAnsi="Arial" w:cs="Arial"/>
        </w:rPr>
        <w:t>202</w:t>
      </w:r>
      <w:r w:rsidR="006C2C97">
        <w:rPr>
          <w:rFonts w:ascii="Arial" w:hAnsi="Arial" w:cs="Arial"/>
        </w:rPr>
        <w:t>4</w:t>
      </w:r>
      <w:r w:rsidR="00433B4B">
        <w:rPr>
          <w:rFonts w:ascii="Arial" w:hAnsi="Arial" w:cs="Arial"/>
        </w:rPr>
        <w:t>-1</w:t>
      </w:r>
      <w:r w:rsidR="006C2C97">
        <w:rPr>
          <w:rFonts w:ascii="Arial" w:hAnsi="Arial" w:cs="Arial"/>
        </w:rPr>
        <w:t>33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2E1B8D">
        <w:fldChar w:fldCharType="separate"/>
      </w:r>
      <w:r>
        <w:fldChar w:fldCharType="end"/>
      </w:r>
      <w:r w:rsidRPr="00C63B72">
        <w:rPr>
          <w:rFonts w:ascii="Arial" w:hAnsi="Arial" w:cs="Arial"/>
        </w:rPr>
        <w:t xml:space="preserve"> CCAG : applicable aux marchés publics de travaux, issu de l’arrêté du </w:t>
      </w:r>
      <w:r w:rsidR="00433B4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E1B8D">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3C72A6" w:rsidRDefault="00893E1E"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2E1B8D">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w:t>
      </w:r>
      <w:r w:rsidR="006C2C97">
        <w:rPr>
          <w:rFonts w:ascii="Arial" w:hAnsi="Arial" w:cs="Arial"/>
        </w:rPr>
        <w:t xml:space="preserve">unitaires </w:t>
      </w:r>
      <w:r w:rsidR="003C72A6">
        <w:rPr>
          <w:rFonts w:ascii="Arial" w:hAnsi="Arial" w:cs="Arial"/>
        </w:rPr>
        <w:t>indiqués dans l’annexe financière jointe au présent document</w:t>
      </w:r>
      <w:r w:rsidR="006C2C97">
        <w:rPr>
          <w:rFonts w:ascii="Arial" w:hAnsi="Arial" w:cs="Arial"/>
        </w:rPr>
        <w:t xml:space="preserve"> (BPU)</w:t>
      </w:r>
      <w:r w:rsidR="003C72A6">
        <w:rPr>
          <w:rFonts w:ascii="Arial" w:hAnsi="Arial" w:cs="Arial"/>
        </w:rPr>
        <w:t>.</w:t>
      </w:r>
    </w:p>
    <w:p w:rsidR="00271497" w:rsidRDefault="00271497" w:rsidP="00271497">
      <w:pPr>
        <w:suppressAutoHyphens w:val="0"/>
        <w:overflowPunct w:val="0"/>
        <w:autoSpaceDE w:val="0"/>
        <w:autoSpaceDN w:val="0"/>
        <w:adjustRightInd w:val="0"/>
        <w:textAlignment w:val="baseline"/>
        <w:rPr>
          <w:rFonts w:ascii="Arial" w:hAnsi="Arial" w:cs="Arial"/>
          <w:lang w:eastAsia="fr-FR"/>
        </w:rPr>
      </w:pPr>
    </w:p>
    <w:p w:rsidR="006C2C97" w:rsidRDefault="006C2C97"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271497">
      <w:pPr>
        <w:suppressAutoHyphens w:val="0"/>
        <w:overflowPunct w:val="0"/>
        <w:autoSpaceDE w:val="0"/>
        <w:autoSpaceDN w:val="0"/>
        <w:adjustRightInd w:val="0"/>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les montants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 s’établissent comme suit :</w:t>
      </w:r>
    </w:p>
    <w:p w:rsidR="006C2C97" w:rsidRDefault="006C2C97" w:rsidP="00271497">
      <w:pPr>
        <w:suppressAutoHyphens w:val="0"/>
        <w:overflowPunct w:val="0"/>
        <w:autoSpaceDE w:val="0"/>
        <w:autoSpaceDN w:val="0"/>
        <w:adjustRightInd w:val="0"/>
        <w:textAlignment w:val="baseline"/>
        <w:rPr>
          <w:rFonts w:ascii="Arial" w:hAnsi="Arial" w:cs="Arial"/>
          <w:b/>
          <w:lang w:eastAsia="fr-FR"/>
        </w:rPr>
      </w:pPr>
    </w:p>
    <w:tbl>
      <w:tblPr>
        <w:tblStyle w:val="Grilledutableau21"/>
        <w:tblW w:w="8647" w:type="dxa"/>
        <w:tblInd w:w="562" w:type="dxa"/>
        <w:tblLook w:val="04A0" w:firstRow="1" w:lastRow="0" w:firstColumn="1" w:lastColumn="0" w:noHBand="0" w:noVBand="1"/>
      </w:tblPr>
      <w:tblGrid>
        <w:gridCol w:w="1701"/>
        <w:gridCol w:w="1560"/>
        <w:gridCol w:w="1332"/>
        <w:gridCol w:w="1403"/>
        <w:gridCol w:w="1247"/>
        <w:gridCol w:w="1404"/>
      </w:tblGrid>
      <w:tr w:rsidR="008C53C8" w:rsidRPr="008C53C8" w:rsidTr="008C53C8">
        <w:trPr>
          <w:trHeight w:val="337"/>
        </w:trPr>
        <w:tc>
          <w:tcPr>
            <w:tcW w:w="3261" w:type="dxa"/>
            <w:gridSpan w:val="2"/>
            <w:vAlign w:val="center"/>
          </w:tcPr>
          <w:p w:rsidR="008C53C8" w:rsidRPr="008C53C8" w:rsidRDefault="008C53C8" w:rsidP="008C53C8">
            <w:pPr>
              <w:suppressAutoHyphens w:val="0"/>
              <w:overflowPunct w:val="0"/>
              <w:autoSpaceDE w:val="0"/>
              <w:autoSpaceDN w:val="0"/>
              <w:adjustRightInd w:val="0"/>
              <w:jc w:val="center"/>
              <w:textAlignment w:val="baseline"/>
              <w:rPr>
                <w:rFonts w:ascii="Arial" w:hAnsi="Arial" w:cs="Arial"/>
                <w:sz w:val="18"/>
                <w:szCs w:val="18"/>
                <w:lang w:eastAsia="fr-FR"/>
              </w:rPr>
            </w:pPr>
            <w:r w:rsidRPr="008C53C8">
              <w:rPr>
                <w:rFonts w:ascii="Arial" w:eastAsiaTheme="minorHAnsi" w:hAnsi="Arial" w:cs="Arial"/>
                <w:sz w:val="18"/>
                <w:szCs w:val="18"/>
                <w:lang w:eastAsia="en-US"/>
              </w:rPr>
              <w:t>2025</w:t>
            </w:r>
          </w:p>
        </w:tc>
        <w:tc>
          <w:tcPr>
            <w:tcW w:w="2735" w:type="dxa"/>
            <w:gridSpan w:val="2"/>
            <w:vAlign w:val="center"/>
          </w:tcPr>
          <w:p w:rsidR="008C53C8" w:rsidRPr="008C53C8" w:rsidRDefault="008C53C8" w:rsidP="008C53C8">
            <w:pPr>
              <w:suppressAutoHyphens w:val="0"/>
              <w:overflowPunct w:val="0"/>
              <w:autoSpaceDE w:val="0"/>
              <w:autoSpaceDN w:val="0"/>
              <w:adjustRightInd w:val="0"/>
              <w:jc w:val="center"/>
              <w:textAlignment w:val="baseline"/>
              <w:rPr>
                <w:rFonts w:ascii="Arial" w:hAnsi="Arial" w:cs="Arial"/>
                <w:sz w:val="18"/>
                <w:szCs w:val="18"/>
                <w:lang w:eastAsia="fr-FR"/>
              </w:rPr>
            </w:pPr>
            <w:r w:rsidRPr="008C53C8">
              <w:rPr>
                <w:rFonts w:ascii="Arial" w:eastAsiaTheme="minorHAnsi" w:hAnsi="Arial" w:cs="Arial"/>
                <w:sz w:val="18"/>
                <w:szCs w:val="18"/>
                <w:lang w:eastAsia="en-US"/>
              </w:rPr>
              <w:t>2026</w:t>
            </w:r>
          </w:p>
        </w:tc>
        <w:tc>
          <w:tcPr>
            <w:tcW w:w="2651" w:type="dxa"/>
            <w:gridSpan w:val="2"/>
            <w:vAlign w:val="center"/>
          </w:tcPr>
          <w:p w:rsidR="008C53C8" w:rsidRPr="008C53C8" w:rsidRDefault="008C53C8" w:rsidP="008C53C8">
            <w:pPr>
              <w:suppressAutoHyphens w:val="0"/>
              <w:overflowPunct w:val="0"/>
              <w:autoSpaceDE w:val="0"/>
              <w:autoSpaceDN w:val="0"/>
              <w:adjustRightInd w:val="0"/>
              <w:jc w:val="center"/>
              <w:textAlignment w:val="baseline"/>
              <w:rPr>
                <w:rFonts w:ascii="Arial" w:hAnsi="Arial" w:cs="Arial"/>
                <w:sz w:val="18"/>
                <w:szCs w:val="18"/>
                <w:lang w:eastAsia="fr-FR"/>
              </w:rPr>
            </w:pPr>
            <w:r w:rsidRPr="008C53C8">
              <w:rPr>
                <w:rFonts w:ascii="Arial" w:eastAsiaTheme="minorHAnsi" w:hAnsi="Arial" w:cs="Arial"/>
                <w:sz w:val="18"/>
                <w:szCs w:val="18"/>
                <w:lang w:eastAsia="en-US"/>
              </w:rPr>
              <w:t>2027</w:t>
            </w:r>
          </w:p>
        </w:tc>
      </w:tr>
      <w:tr w:rsidR="008C53C8" w:rsidRPr="008C53C8" w:rsidTr="008C53C8">
        <w:trPr>
          <w:trHeight w:val="239"/>
        </w:trPr>
        <w:tc>
          <w:tcPr>
            <w:tcW w:w="1701" w:type="dxa"/>
            <w:vAlign w:val="center"/>
          </w:tcPr>
          <w:p w:rsidR="008C53C8" w:rsidRPr="008C53C8" w:rsidRDefault="008C53C8" w:rsidP="008C53C8">
            <w:pPr>
              <w:suppressAutoHyphens w:val="0"/>
              <w:overflowPunct w:val="0"/>
              <w:autoSpaceDE w:val="0"/>
              <w:autoSpaceDN w:val="0"/>
              <w:adjustRightInd w:val="0"/>
              <w:jc w:val="center"/>
              <w:textAlignment w:val="baseline"/>
              <w:rPr>
                <w:rFonts w:ascii="Arial" w:hAnsi="Arial" w:cs="Arial"/>
                <w:sz w:val="18"/>
                <w:szCs w:val="18"/>
                <w:lang w:eastAsia="fr-FR"/>
              </w:rPr>
            </w:pPr>
            <w:r w:rsidRPr="008C53C8">
              <w:rPr>
                <w:rFonts w:ascii="Arial" w:hAnsi="Arial" w:cs="Arial"/>
                <w:sz w:val="18"/>
                <w:szCs w:val="18"/>
                <w:lang w:eastAsia="fr-FR"/>
              </w:rPr>
              <w:t>Minimum HT</w:t>
            </w:r>
          </w:p>
        </w:tc>
        <w:tc>
          <w:tcPr>
            <w:tcW w:w="1560" w:type="dxa"/>
            <w:vAlign w:val="center"/>
          </w:tcPr>
          <w:p w:rsidR="008C53C8" w:rsidRPr="008C53C8" w:rsidRDefault="008C53C8" w:rsidP="008C53C8">
            <w:pPr>
              <w:suppressAutoHyphens w:val="0"/>
              <w:overflowPunct w:val="0"/>
              <w:autoSpaceDE w:val="0"/>
              <w:autoSpaceDN w:val="0"/>
              <w:adjustRightInd w:val="0"/>
              <w:jc w:val="center"/>
              <w:textAlignment w:val="baseline"/>
              <w:rPr>
                <w:rFonts w:ascii="Arial" w:hAnsi="Arial" w:cs="Arial"/>
                <w:sz w:val="18"/>
                <w:szCs w:val="18"/>
                <w:lang w:eastAsia="fr-FR"/>
              </w:rPr>
            </w:pPr>
            <w:r w:rsidRPr="008C53C8">
              <w:rPr>
                <w:rFonts w:ascii="Arial" w:hAnsi="Arial" w:cs="Arial"/>
                <w:sz w:val="18"/>
                <w:szCs w:val="18"/>
                <w:lang w:eastAsia="fr-FR"/>
              </w:rPr>
              <w:t>Maximum HT</w:t>
            </w:r>
          </w:p>
        </w:tc>
        <w:tc>
          <w:tcPr>
            <w:tcW w:w="1332" w:type="dxa"/>
            <w:vAlign w:val="center"/>
          </w:tcPr>
          <w:p w:rsidR="008C53C8" w:rsidRPr="008C53C8" w:rsidRDefault="008C53C8" w:rsidP="008C53C8">
            <w:pPr>
              <w:suppressAutoHyphens w:val="0"/>
              <w:overflowPunct w:val="0"/>
              <w:autoSpaceDE w:val="0"/>
              <w:autoSpaceDN w:val="0"/>
              <w:adjustRightInd w:val="0"/>
              <w:jc w:val="center"/>
              <w:textAlignment w:val="baseline"/>
              <w:rPr>
                <w:rFonts w:ascii="Arial" w:hAnsi="Arial" w:cs="Arial"/>
                <w:sz w:val="18"/>
                <w:szCs w:val="18"/>
                <w:lang w:eastAsia="fr-FR"/>
              </w:rPr>
            </w:pPr>
            <w:r w:rsidRPr="008C53C8">
              <w:rPr>
                <w:rFonts w:ascii="Arial" w:hAnsi="Arial" w:cs="Arial"/>
                <w:sz w:val="18"/>
                <w:szCs w:val="18"/>
                <w:lang w:eastAsia="fr-FR"/>
              </w:rPr>
              <w:t>Minimum HT</w:t>
            </w:r>
          </w:p>
        </w:tc>
        <w:tc>
          <w:tcPr>
            <w:tcW w:w="1403" w:type="dxa"/>
            <w:vAlign w:val="center"/>
          </w:tcPr>
          <w:p w:rsidR="008C53C8" w:rsidRPr="008C53C8" w:rsidRDefault="008C53C8" w:rsidP="008C53C8">
            <w:pPr>
              <w:suppressAutoHyphens w:val="0"/>
              <w:overflowPunct w:val="0"/>
              <w:autoSpaceDE w:val="0"/>
              <w:autoSpaceDN w:val="0"/>
              <w:adjustRightInd w:val="0"/>
              <w:jc w:val="center"/>
              <w:textAlignment w:val="baseline"/>
              <w:rPr>
                <w:rFonts w:ascii="Arial" w:hAnsi="Arial" w:cs="Arial"/>
                <w:sz w:val="18"/>
                <w:szCs w:val="18"/>
                <w:lang w:eastAsia="fr-FR"/>
              </w:rPr>
            </w:pPr>
            <w:r w:rsidRPr="008C53C8">
              <w:rPr>
                <w:rFonts w:ascii="Arial" w:hAnsi="Arial" w:cs="Arial"/>
                <w:sz w:val="18"/>
                <w:szCs w:val="18"/>
                <w:lang w:eastAsia="fr-FR"/>
              </w:rPr>
              <w:t>Maximum HT</w:t>
            </w:r>
          </w:p>
        </w:tc>
        <w:tc>
          <w:tcPr>
            <w:tcW w:w="1247" w:type="dxa"/>
            <w:vAlign w:val="center"/>
          </w:tcPr>
          <w:p w:rsidR="008C53C8" w:rsidRPr="008C53C8" w:rsidRDefault="008C53C8" w:rsidP="008C53C8">
            <w:pPr>
              <w:suppressAutoHyphens w:val="0"/>
              <w:overflowPunct w:val="0"/>
              <w:autoSpaceDE w:val="0"/>
              <w:autoSpaceDN w:val="0"/>
              <w:adjustRightInd w:val="0"/>
              <w:jc w:val="center"/>
              <w:textAlignment w:val="baseline"/>
              <w:rPr>
                <w:rFonts w:ascii="Arial" w:hAnsi="Arial" w:cs="Arial"/>
                <w:sz w:val="18"/>
                <w:szCs w:val="18"/>
                <w:lang w:eastAsia="fr-FR"/>
              </w:rPr>
            </w:pPr>
            <w:r w:rsidRPr="008C53C8">
              <w:rPr>
                <w:rFonts w:ascii="Arial" w:hAnsi="Arial" w:cs="Arial"/>
                <w:sz w:val="18"/>
                <w:szCs w:val="18"/>
                <w:lang w:eastAsia="fr-FR"/>
              </w:rPr>
              <w:t>Minimum HT</w:t>
            </w:r>
          </w:p>
        </w:tc>
        <w:tc>
          <w:tcPr>
            <w:tcW w:w="1404" w:type="dxa"/>
            <w:vAlign w:val="center"/>
          </w:tcPr>
          <w:p w:rsidR="008C53C8" w:rsidRPr="008C53C8" w:rsidRDefault="008C53C8" w:rsidP="008C53C8">
            <w:pPr>
              <w:suppressAutoHyphens w:val="0"/>
              <w:overflowPunct w:val="0"/>
              <w:autoSpaceDE w:val="0"/>
              <w:autoSpaceDN w:val="0"/>
              <w:adjustRightInd w:val="0"/>
              <w:jc w:val="center"/>
              <w:textAlignment w:val="baseline"/>
              <w:rPr>
                <w:rFonts w:ascii="Arial" w:hAnsi="Arial" w:cs="Arial"/>
                <w:sz w:val="18"/>
                <w:szCs w:val="18"/>
                <w:lang w:eastAsia="fr-FR"/>
              </w:rPr>
            </w:pPr>
            <w:r w:rsidRPr="008C53C8">
              <w:rPr>
                <w:rFonts w:ascii="Arial" w:hAnsi="Arial" w:cs="Arial"/>
                <w:sz w:val="18"/>
                <w:szCs w:val="18"/>
                <w:lang w:eastAsia="fr-FR"/>
              </w:rPr>
              <w:t>Maximum HT</w:t>
            </w:r>
          </w:p>
        </w:tc>
      </w:tr>
      <w:tr w:rsidR="008C53C8" w:rsidRPr="008C53C8" w:rsidTr="008C53C8">
        <w:tc>
          <w:tcPr>
            <w:tcW w:w="1701" w:type="dxa"/>
          </w:tcPr>
          <w:p w:rsidR="008C53C8" w:rsidRPr="008C53C8" w:rsidRDefault="008C53C8" w:rsidP="008C53C8">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8C53C8">
              <w:rPr>
                <w:rFonts w:ascii="Arial" w:eastAsiaTheme="minorHAnsi" w:hAnsi="Arial" w:cs="Arial"/>
                <w:sz w:val="18"/>
                <w:szCs w:val="18"/>
                <w:lang w:eastAsia="en-US"/>
              </w:rPr>
              <w:t>22 500 €</w:t>
            </w:r>
          </w:p>
        </w:tc>
        <w:tc>
          <w:tcPr>
            <w:tcW w:w="1560" w:type="dxa"/>
          </w:tcPr>
          <w:p w:rsidR="008C53C8" w:rsidRPr="008C53C8" w:rsidRDefault="00791119" w:rsidP="008C53C8">
            <w:pPr>
              <w:suppressAutoHyphens w:val="0"/>
              <w:overflowPunct w:val="0"/>
              <w:autoSpaceDE w:val="0"/>
              <w:autoSpaceDN w:val="0"/>
              <w:adjustRightInd w:val="0"/>
              <w:jc w:val="center"/>
              <w:textAlignment w:val="baseline"/>
              <w:rPr>
                <w:rFonts w:ascii="Arial" w:hAnsi="Arial" w:cs="Arial"/>
                <w:sz w:val="18"/>
                <w:szCs w:val="18"/>
                <w:lang w:eastAsia="fr-FR"/>
              </w:rPr>
            </w:pPr>
            <w:r>
              <w:rPr>
                <w:rFonts w:ascii="Arial" w:eastAsiaTheme="minorHAnsi" w:hAnsi="Arial" w:cs="Arial"/>
                <w:sz w:val="18"/>
                <w:szCs w:val="18"/>
                <w:lang w:eastAsia="en-US"/>
              </w:rPr>
              <w:t>27 000</w:t>
            </w:r>
            <w:r w:rsidR="008C53C8" w:rsidRPr="008C53C8">
              <w:rPr>
                <w:rFonts w:ascii="Arial" w:eastAsiaTheme="minorHAnsi" w:hAnsi="Arial" w:cs="Arial"/>
                <w:sz w:val="18"/>
                <w:szCs w:val="18"/>
                <w:lang w:eastAsia="en-US"/>
              </w:rPr>
              <w:t xml:space="preserve"> €</w:t>
            </w:r>
          </w:p>
        </w:tc>
        <w:tc>
          <w:tcPr>
            <w:tcW w:w="1332" w:type="dxa"/>
          </w:tcPr>
          <w:p w:rsidR="008C53C8" w:rsidRPr="008C53C8" w:rsidRDefault="008C53C8" w:rsidP="008C53C8">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8C53C8">
              <w:rPr>
                <w:rFonts w:ascii="Arial" w:eastAsiaTheme="minorHAnsi" w:hAnsi="Arial" w:cs="Arial"/>
                <w:sz w:val="18"/>
                <w:szCs w:val="18"/>
                <w:lang w:eastAsia="en-US"/>
              </w:rPr>
              <w:t>30 000 €</w:t>
            </w:r>
          </w:p>
        </w:tc>
        <w:tc>
          <w:tcPr>
            <w:tcW w:w="1403" w:type="dxa"/>
          </w:tcPr>
          <w:p w:rsidR="008C53C8" w:rsidRPr="008C53C8" w:rsidRDefault="008C53C8" w:rsidP="008C53C8">
            <w:pPr>
              <w:suppressAutoHyphens w:val="0"/>
              <w:overflowPunct w:val="0"/>
              <w:autoSpaceDE w:val="0"/>
              <w:autoSpaceDN w:val="0"/>
              <w:adjustRightInd w:val="0"/>
              <w:jc w:val="center"/>
              <w:textAlignment w:val="baseline"/>
              <w:rPr>
                <w:rFonts w:ascii="Arial" w:hAnsi="Arial" w:cs="Arial"/>
                <w:sz w:val="18"/>
                <w:szCs w:val="18"/>
                <w:lang w:eastAsia="fr-FR"/>
              </w:rPr>
            </w:pPr>
            <w:r w:rsidRPr="008C53C8">
              <w:rPr>
                <w:rFonts w:ascii="Arial" w:eastAsiaTheme="minorHAnsi" w:hAnsi="Arial" w:cs="Arial"/>
                <w:sz w:val="18"/>
                <w:szCs w:val="18"/>
                <w:lang w:eastAsia="en-US"/>
              </w:rPr>
              <w:t>50 000 €</w:t>
            </w:r>
          </w:p>
        </w:tc>
        <w:tc>
          <w:tcPr>
            <w:tcW w:w="1247" w:type="dxa"/>
          </w:tcPr>
          <w:p w:rsidR="008C53C8" w:rsidRPr="008C53C8" w:rsidRDefault="008C53C8" w:rsidP="008C53C8">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8C53C8">
              <w:rPr>
                <w:rFonts w:ascii="Arial" w:eastAsiaTheme="minorHAnsi" w:hAnsi="Arial" w:cs="Arial"/>
                <w:sz w:val="18"/>
                <w:szCs w:val="18"/>
                <w:lang w:eastAsia="en-US"/>
              </w:rPr>
              <w:t>30 000 €</w:t>
            </w:r>
          </w:p>
        </w:tc>
        <w:tc>
          <w:tcPr>
            <w:tcW w:w="1404" w:type="dxa"/>
          </w:tcPr>
          <w:p w:rsidR="008C53C8" w:rsidRPr="008C53C8" w:rsidRDefault="008C53C8" w:rsidP="008C53C8">
            <w:pPr>
              <w:suppressAutoHyphens w:val="0"/>
              <w:overflowPunct w:val="0"/>
              <w:autoSpaceDE w:val="0"/>
              <w:autoSpaceDN w:val="0"/>
              <w:adjustRightInd w:val="0"/>
              <w:jc w:val="center"/>
              <w:textAlignment w:val="baseline"/>
              <w:rPr>
                <w:rFonts w:ascii="Arial" w:hAnsi="Arial" w:cs="Arial"/>
                <w:sz w:val="18"/>
                <w:szCs w:val="18"/>
                <w:lang w:eastAsia="fr-FR"/>
              </w:rPr>
            </w:pPr>
            <w:r w:rsidRPr="008C53C8">
              <w:rPr>
                <w:rFonts w:ascii="Arial" w:eastAsiaTheme="minorHAnsi" w:hAnsi="Arial" w:cs="Arial"/>
                <w:sz w:val="18"/>
                <w:szCs w:val="18"/>
                <w:lang w:eastAsia="en-US"/>
              </w:rPr>
              <w:t>50 000 €</w:t>
            </w:r>
          </w:p>
        </w:tc>
      </w:tr>
    </w:tbl>
    <w:p w:rsidR="006C2C97" w:rsidRPr="00271497" w:rsidRDefault="006C2C97" w:rsidP="00271497">
      <w:pPr>
        <w:suppressAutoHyphens w:val="0"/>
        <w:overflowPunct w:val="0"/>
        <w:autoSpaceDE w:val="0"/>
        <w:autoSpaceDN w:val="0"/>
        <w:adjustRightInd w:val="0"/>
        <w:textAlignment w:val="baseline"/>
        <w:rPr>
          <w:rFonts w:ascii="Arial" w:hAnsi="Arial" w:cs="Arial"/>
          <w:b/>
          <w:lang w:eastAsia="fr-FR"/>
        </w:rPr>
      </w:pPr>
    </w:p>
    <w:p w:rsidR="003C72A6" w:rsidRDefault="003C72A6"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175EFE" w:rsidRDefault="00175EFE"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652EB8">
        <w:trPr>
          <w:trHeight w:val="850"/>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652EB8">
        <w:trPr>
          <w:trHeight w:val="850"/>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652EB8">
        <w:trPr>
          <w:trHeight w:val="850"/>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r w:rsidR="003237D6">
        <w:rPr>
          <w:rFonts w:ascii="Arial" w:hAnsi="Arial" w:cs="Arial"/>
          <w:lang w:eastAsia="fr-FR"/>
        </w:rPr>
        <w:t xml:space="preserve">avril </w:t>
      </w:r>
      <w:r w:rsidR="00C2737E">
        <w:rPr>
          <w:rFonts w:ascii="Arial" w:hAnsi="Arial" w:cs="Arial"/>
          <w:lang w:eastAsia="fr-FR"/>
        </w:rPr>
        <w:t>202</w:t>
      </w:r>
      <w:r w:rsidR="00C450E7">
        <w:rPr>
          <w:rFonts w:ascii="Arial" w:hAnsi="Arial" w:cs="Arial"/>
          <w:lang w:eastAsia="fr-FR"/>
        </w:rPr>
        <w:t>5,</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31 décembre 202</w:t>
      </w:r>
      <w:r w:rsidR="00C450E7">
        <w:rPr>
          <w:rFonts w:ascii="Arial" w:hAnsi="Arial" w:cs="Arial"/>
          <w:lang w:eastAsia="fr-FR"/>
        </w:rPr>
        <w:t>5</w:t>
      </w:r>
      <w:r w:rsidR="00C450E7">
        <w:rPr>
          <w:bCs/>
        </w:rPr>
        <w:t>.</w:t>
      </w:r>
    </w:p>
    <w:p w:rsidR="00271497" w:rsidRPr="00271497" w:rsidRDefault="00271497" w:rsidP="00271497">
      <w:pPr>
        <w:tabs>
          <w:tab w:val="left" w:pos="576"/>
        </w:tabs>
        <w:suppressAutoHyphens w:val="0"/>
        <w:overflowPunct w:val="0"/>
        <w:contextualSpacing/>
        <w:jc w:val="both"/>
        <w:textAlignment w:val="baseline"/>
        <w:rPr>
          <w:rFonts w:ascii="Arial" w:hAnsi="Arial" w:cs="Arial"/>
          <w:bCs/>
          <w:lang w:eastAsia="fr-FR"/>
        </w:rPr>
      </w:pPr>
    </w:p>
    <w:p w:rsidR="00271497" w:rsidRPr="00271497" w:rsidRDefault="00271497" w:rsidP="00271497">
      <w:pPr>
        <w:tabs>
          <w:tab w:val="left" w:pos="576"/>
        </w:tabs>
        <w:suppressAutoHyphens w:val="0"/>
        <w:overflowPunct w:val="0"/>
        <w:contextualSpacing/>
        <w:jc w:val="both"/>
        <w:textAlignment w:val="baseline"/>
        <w:rPr>
          <w:rFonts w:ascii="Arial" w:hAnsi="Arial" w:cs="Arial"/>
          <w:lang w:eastAsia="fr-FR"/>
        </w:rPr>
      </w:pPr>
      <w:r w:rsidRPr="00271497">
        <w:rPr>
          <w:rFonts w:ascii="Arial" w:hAnsi="Arial" w:cs="Arial"/>
          <w:lang w:eastAsia="fr-FR"/>
        </w:rPr>
        <w:t>Au-delà de sa première période d’exécution, le marché public sera tacitement recondu</w:t>
      </w:r>
      <w:r w:rsidR="003237D6">
        <w:rPr>
          <w:rFonts w:ascii="Arial" w:hAnsi="Arial" w:cs="Arial"/>
          <w:lang w:eastAsia="fr-FR"/>
        </w:rPr>
        <w:t>ctible</w:t>
      </w:r>
      <w:r w:rsidRPr="00271497">
        <w:rPr>
          <w:rFonts w:ascii="Arial" w:hAnsi="Arial" w:cs="Arial"/>
          <w:lang w:eastAsia="fr-FR"/>
        </w:rPr>
        <w:t xml:space="preserve"> </w:t>
      </w:r>
      <w:r w:rsidR="003237D6">
        <w:rPr>
          <w:rFonts w:ascii="Arial" w:hAnsi="Arial" w:cs="Arial"/>
          <w:lang w:eastAsia="fr-FR"/>
        </w:rPr>
        <w:t>2</w:t>
      </w:r>
      <w:r w:rsidRPr="00271497">
        <w:rPr>
          <w:rFonts w:ascii="Arial" w:hAnsi="Arial" w:cs="Arial"/>
          <w:lang w:eastAsia="fr-FR"/>
        </w:rPr>
        <w:t xml:space="preserve"> fois 12 mois. </w:t>
      </w:r>
    </w:p>
    <w:p w:rsidR="00271497" w:rsidRPr="00271497" w:rsidRDefault="00271497" w:rsidP="00271497">
      <w:pPr>
        <w:tabs>
          <w:tab w:val="left" w:pos="576"/>
        </w:tabs>
        <w:suppressAutoHyphens w:val="0"/>
        <w:overflowPunct w:val="0"/>
        <w:contextualSpacing/>
        <w:textAlignment w:val="baseline"/>
        <w:rPr>
          <w:rFonts w:ascii="Arial" w:hAnsi="Arial" w:cs="Arial"/>
          <w:u w:val="single"/>
          <w:lang w:eastAsia="fr-FR"/>
        </w:rPr>
      </w:pPr>
    </w:p>
    <w:p w:rsidR="00271497" w:rsidRDefault="00271497" w:rsidP="00271497">
      <w:pPr>
        <w:tabs>
          <w:tab w:val="left" w:pos="576"/>
        </w:tabs>
        <w:suppressAutoHyphens w:val="0"/>
        <w:overflowPunct w:val="0"/>
        <w:contextualSpacing/>
        <w:textAlignment w:val="baseline"/>
        <w:rPr>
          <w:rFonts w:ascii="Arial" w:hAnsi="Arial" w:cs="Arial"/>
          <w:lang w:eastAsia="fr-FR"/>
        </w:rPr>
      </w:pPr>
      <w:r w:rsidRPr="00271497">
        <w:rPr>
          <w:rFonts w:ascii="Arial" w:hAnsi="Arial" w:cs="Arial"/>
          <w:lang w:eastAsia="fr-FR"/>
        </w:rPr>
        <w:t>Il ne pourra se poursuivre au-delà du 31 décembre 202</w:t>
      </w:r>
      <w:r w:rsidR="003237D6">
        <w:rPr>
          <w:rFonts w:ascii="Arial" w:hAnsi="Arial" w:cs="Arial"/>
          <w:lang w:eastAsia="fr-FR"/>
        </w:rPr>
        <w:t>7</w:t>
      </w:r>
      <w:r w:rsidRPr="00271497">
        <w:rPr>
          <w:rFonts w:ascii="Arial" w:hAnsi="Arial" w:cs="Arial"/>
          <w:lang w:eastAsia="fr-FR"/>
        </w:rPr>
        <w:t>.</w:t>
      </w:r>
    </w:p>
    <w:p w:rsidR="001F61FA" w:rsidRDefault="001F61FA" w:rsidP="00271497">
      <w:pPr>
        <w:tabs>
          <w:tab w:val="left" w:pos="576"/>
        </w:tabs>
        <w:suppressAutoHyphens w:val="0"/>
        <w:overflowPunct w:val="0"/>
        <w:contextualSpacing/>
        <w:textAlignment w:val="baseline"/>
        <w:rPr>
          <w:rFonts w:ascii="Arial" w:hAnsi="Arial" w:cs="Arial"/>
          <w:lang w:eastAsia="fr-FR"/>
        </w:rPr>
      </w:pPr>
    </w:p>
    <w:p w:rsidR="002E1B8D" w:rsidRDefault="002E1B8D" w:rsidP="00271497">
      <w:pPr>
        <w:tabs>
          <w:tab w:val="left" w:pos="576"/>
        </w:tabs>
        <w:suppressAutoHyphens w:val="0"/>
        <w:overflowPunct w:val="0"/>
        <w:contextualSpacing/>
        <w:textAlignment w:val="baseline"/>
        <w:rPr>
          <w:rFonts w:ascii="Arial" w:hAnsi="Arial" w:cs="Arial"/>
        </w:rPr>
      </w:pPr>
    </w:p>
    <w:p w:rsidR="002E1B8D" w:rsidRDefault="002E1B8D" w:rsidP="00271497">
      <w:pPr>
        <w:tabs>
          <w:tab w:val="left" w:pos="576"/>
        </w:tabs>
        <w:suppressAutoHyphens w:val="0"/>
        <w:overflowPunct w:val="0"/>
        <w:contextualSpacing/>
        <w:textAlignment w:val="baseline"/>
        <w:rPr>
          <w:rFonts w:ascii="Arial" w:hAnsi="Arial" w:cs="Arial"/>
        </w:rPr>
      </w:pPr>
    </w:p>
    <w:p w:rsidR="001F61FA" w:rsidRDefault="001F61FA" w:rsidP="00271497">
      <w:pPr>
        <w:tabs>
          <w:tab w:val="left" w:pos="576"/>
        </w:tabs>
        <w:suppressAutoHyphens w:val="0"/>
        <w:overflowPunct w:val="0"/>
        <w:contextualSpacing/>
        <w:textAlignment w:val="baseline"/>
        <w:rPr>
          <w:rFonts w:ascii="Arial" w:hAnsi="Arial" w:cs="Arial"/>
        </w:rPr>
      </w:pPr>
      <w:bookmarkStart w:id="1" w:name="_GoBack"/>
      <w:bookmarkEnd w:id="1"/>
      <w:r w:rsidRPr="00A349E7">
        <w:rPr>
          <w:rFonts w:ascii="Arial" w:hAnsi="Arial" w:cs="Arial"/>
        </w:rPr>
        <w:lastRenderedPageBreak/>
        <w:t>Les prestations commencent à s’exécuter comme suit :</w:t>
      </w:r>
    </w:p>
    <w:tbl>
      <w:tblPr>
        <w:tblStyle w:val="Grilledutableau31"/>
        <w:tblW w:w="0" w:type="auto"/>
        <w:jc w:val="center"/>
        <w:tblLook w:val="04A0" w:firstRow="1" w:lastRow="0" w:firstColumn="1" w:lastColumn="0" w:noHBand="0" w:noVBand="1"/>
      </w:tblPr>
      <w:tblGrid>
        <w:gridCol w:w="1347"/>
        <w:gridCol w:w="2835"/>
        <w:gridCol w:w="1358"/>
        <w:gridCol w:w="1249"/>
      </w:tblGrid>
      <w:tr w:rsidR="001F61FA" w:rsidRPr="001F61FA" w:rsidTr="00D43626">
        <w:trPr>
          <w:trHeight w:val="510"/>
          <w:jc w:val="center"/>
        </w:trPr>
        <w:tc>
          <w:tcPr>
            <w:tcW w:w="1347" w:type="dxa"/>
            <w:vMerge w:val="restart"/>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Typologie de bâtiment</w:t>
            </w:r>
          </w:p>
        </w:tc>
        <w:tc>
          <w:tcPr>
            <w:tcW w:w="2835" w:type="dxa"/>
            <w:vMerge w:val="restart"/>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Désignation du Bâtiment</w:t>
            </w:r>
          </w:p>
        </w:tc>
        <w:tc>
          <w:tcPr>
            <w:tcW w:w="2607" w:type="dxa"/>
            <w:gridSpan w:val="2"/>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b/>
                <w:lang w:eastAsia="fr-FR"/>
              </w:rPr>
            </w:pPr>
            <w:r w:rsidRPr="001F61FA">
              <w:rPr>
                <w:rFonts w:ascii="Arial" w:hAnsi="Arial" w:cs="Arial"/>
                <w:b/>
                <w:lang w:eastAsia="fr-FR"/>
              </w:rPr>
              <w:t>Début d’exécution des prestations</w:t>
            </w:r>
          </w:p>
        </w:tc>
      </w:tr>
      <w:tr w:rsidR="001F61FA" w:rsidRPr="001F61FA" w:rsidTr="00D43626">
        <w:trPr>
          <w:jc w:val="center"/>
        </w:trPr>
        <w:tc>
          <w:tcPr>
            <w:tcW w:w="1347" w:type="dxa"/>
            <w:vMerge/>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Merge/>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1358"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Date d’effet du marché</w:t>
            </w:r>
          </w:p>
        </w:tc>
        <w:tc>
          <w:tcPr>
            <w:tcW w:w="1249"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1</w:t>
            </w:r>
            <w:r w:rsidRPr="001F61FA">
              <w:rPr>
                <w:rFonts w:ascii="Arial" w:hAnsi="Arial" w:cs="Arial"/>
                <w:vertAlign w:val="superscript"/>
                <w:lang w:eastAsia="fr-FR"/>
              </w:rPr>
              <w:t>er</w:t>
            </w:r>
            <w:r w:rsidRPr="001F61FA">
              <w:rPr>
                <w:rFonts w:ascii="Arial" w:hAnsi="Arial" w:cs="Arial"/>
                <w:lang w:eastAsia="fr-FR"/>
              </w:rPr>
              <w:t xml:space="preserve"> janvier 2026</w:t>
            </w:r>
          </w:p>
        </w:tc>
      </w:tr>
      <w:tr w:rsidR="001F61FA" w:rsidRPr="001F61FA" w:rsidTr="00D43626">
        <w:trPr>
          <w:trHeight w:val="284"/>
          <w:jc w:val="center"/>
        </w:trPr>
        <w:tc>
          <w:tcPr>
            <w:tcW w:w="1347" w:type="dxa"/>
            <w:vMerge w:val="restart"/>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ERP</w:t>
            </w:r>
          </w:p>
        </w:tc>
        <w:tc>
          <w:tcPr>
            <w:tcW w:w="2835" w:type="dxa"/>
          </w:tcPr>
          <w:p w:rsidR="001F61FA" w:rsidRPr="001F61FA" w:rsidRDefault="001F61FA" w:rsidP="001F61FA">
            <w:pPr>
              <w:tabs>
                <w:tab w:val="left" w:pos="1985"/>
                <w:tab w:val="left" w:pos="2835"/>
              </w:tabs>
              <w:suppressAutoHyphens w:val="0"/>
              <w:jc w:val="center"/>
              <w:rPr>
                <w:rFonts w:ascii="Arial" w:hAnsi="Arial" w:cs="Arial"/>
                <w:lang w:eastAsia="fr-FR"/>
              </w:rPr>
            </w:pPr>
            <w:r w:rsidRPr="001F61FA">
              <w:rPr>
                <w:rFonts w:ascii="Arial" w:hAnsi="Arial" w:cs="Arial"/>
                <w:lang w:eastAsia="fr-FR"/>
              </w:rPr>
              <w:t>Centre Universitaire de Soins Dentaires (CUSD)</w:t>
            </w:r>
          </w:p>
        </w:tc>
        <w:tc>
          <w:tcPr>
            <w:tcW w:w="1358"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X</w:t>
            </w:r>
          </w:p>
        </w:tc>
        <w:tc>
          <w:tcPr>
            <w:tcW w:w="1249"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r w:rsidR="001F61FA" w:rsidRPr="001F61FA" w:rsidTr="00D43626">
        <w:trPr>
          <w:trHeight w:val="284"/>
          <w:jc w:val="center"/>
        </w:trPr>
        <w:tc>
          <w:tcPr>
            <w:tcW w:w="1347" w:type="dxa"/>
            <w:vMerge/>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Centre Universitaire des Maladies Rénales</w:t>
            </w:r>
          </w:p>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(CUMR)</w:t>
            </w:r>
          </w:p>
        </w:tc>
        <w:tc>
          <w:tcPr>
            <w:tcW w:w="1358"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1249"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X</w:t>
            </w:r>
          </w:p>
        </w:tc>
      </w:tr>
      <w:tr w:rsidR="001F61FA" w:rsidRPr="001F61FA" w:rsidTr="00D43626">
        <w:trPr>
          <w:trHeight w:val="284"/>
          <w:jc w:val="center"/>
        </w:trPr>
        <w:tc>
          <w:tcPr>
            <w:tcW w:w="1347" w:type="dxa"/>
            <w:vMerge/>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Esquirol</w:t>
            </w:r>
          </w:p>
        </w:tc>
        <w:tc>
          <w:tcPr>
            <w:tcW w:w="1358"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1249"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X</w:t>
            </w:r>
          </w:p>
        </w:tc>
      </w:tr>
      <w:tr w:rsidR="001F61FA" w:rsidRPr="001F61FA" w:rsidTr="00D43626">
        <w:trPr>
          <w:trHeight w:val="284"/>
          <w:jc w:val="center"/>
        </w:trPr>
        <w:tc>
          <w:tcPr>
            <w:tcW w:w="1347" w:type="dxa"/>
            <w:vMerge/>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Médecine du sport/Syndicats</w:t>
            </w:r>
          </w:p>
        </w:tc>
        <w:tc>
          <w:tcPr>
            <w:tcW w:w="1358"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1249"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X</w:t>
            </w:r>
          </w:p>
        </w:tc>
      </w:tr>
      <w:tr w:rsidR="001F61FA" w:rsidRPr="001F61FA" w:rsidTr="00D43626">
        <w:trPr>
          <w:trHeight w:val="284"/>
          <w:jc w:val="center"/>
        </w:trPr>
        <w:tc>
          <w:tcPr>
            <w:tcW w:w="1347" w:type="dxa"/>
            <w:vMerge w:val="restart"/>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BUP</w:t>
            </w:r>
          </w:p>
        </w:tc>
        <w:tc>
          <w:tcPr>
            <w:tcW w:w="2835"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Bâtiment Biologie Recherche</w:t>
            </w:r>
          </w:p>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(BBR)</w:t>
            </w:r>
          </w:p>
        </w:tc>
        <w:tc>
          <w:tcPr>
            <w:tcW w:w="1358"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X</w:t>
            </w:r>
          </w:p>
        </w:tc>
        <w:tc>
          <w:tcPr>
            <w:tcW w:w="1249"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r w:rsidR="001F61FA" w:rsidRPr="001F61FA" w:rsidTr="00D43626">
        <w:trPr>
          <w:trHeight w:val="284"/>
          <w:jc w:val="center"/>
        </w:trPr>
        <w:tc>
          <w:tcPr>
            <w:tcW w:w="1347" w:type="dxa"/>
            <w:vMerge/>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tcPr>
          <w:p w:rsidR="001F61FA" w:rsidRPr="001F61FA" w:rsidRDefault="001F61FA" w:rsidP="001F61FA">
            <w:pPr>
              <w:tabs>
                <w:tab w:val="left" w:pos="1985"/>
                <w:tab w:val="left" w:pos="2835"/>
              </w:tabs>
              <w:suppressAutoHyphens w:val="0"/>
              <w:jc w:val="center"/>
              <w:rPr>
                <w:rFonts w:ascii="Arial" w:hAnsi="Arial" w:cs="Arial"/>
                <w:lang w:eastAsia="fr-FR"/>
              </w:rPr>
            </w:pPr>
            <w:r w:rsidRPr="001F61FA">
              <w:rPr>
                <w:rFonts w:ascii="Arial" w:hAnsi="Arial" w:cs="Arial"/>
                <w:lang w:eastAsia="fr-FR"/>
              </w:rPr>
              <w:t>Logistique Pharmacie Administration</w:t>
            </w:r>
          </w:p>
          <w:p w:rsidR="001F61FA" w:rsidRPr="001F61FA" w:rsidRDefault="001F61FA" w:rsidP="001F61FA">
            <w:pPr>
              <w:tabs>
                <w:tab w:val="left" w:pos="1985"/>
                <w:tab w:val="left" w:pos="2835"/>
              </w:tabs>
              <w:suppressAutoHyphens w:val="0"/>
              <w:jc w:val="center"/>
              <w:rPr>
                <w:rFonts w:ascii="Arial" w:hAnsi="Arial" w:cs="Arial"/>
                <w:lang w:eastAsia="fr-FR"/>
              </w:rPr>
            </w:pPr>
            <w:r w:rsidRPr="001F61FA">
              <w:rPr>
                <w:rFonts w:ascii="Arial" w:hAnsi="Arial" w:cs="Arial"/>
                <w:lang w:eastAsia="fr-FR"/>
              </w:rPr>
              <w:t>(LPA)</w:t>
            </w:r>
          </w:p>
        </w:tc>
        <w:tc>
          <w:tcPr>
            <w:tcW w:w="1358"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X</w:t>
            </w:r>
          </w:p>
        </w:tc>
        <w:tc>
          <w:tcPr>
            <w:tcW w:w="1249"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r w:rsidR="001F61FA" w:rsidRPr="001F61FA" w:rsidTr="00D43626">
        <w:trPr>
          <w:trHeight w:val="284"/>
          <w:jc w:val="center"/>
        </w:trPr>
        <w:tc>
          <w:tcPr>
            <w:tcW w:w="1347" w:type="dxa"/>
            <w:vMerge/>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Parking P12</w:t>
            </w:r>
          </w:p>
        </w:tc>
        <w:tc>
          <w:tcPr>
            <w:tcW w:w="1358"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X</w:t>
            </w:r>
          </w:p>
        </w:tc>
        <w:tc>
          <w:tcPr>
            <w:tcW w:w="1249"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r w:rsidR="001F61FA" w:rsidRPr="001F61FA" w:rsidTr="00D43626">
        <w:trPr>
          <w:trHeight w:val="284"/>
          <w:jc w:val="center"/>
        </w:trPr>
        <w:tc>
          <w:tcPr>
            <w:tcW w:w="1347" w:type="dxa"/>
            <w:vMerge/>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SESAM</w:t>
            </w:r>
          </w:p>
        </w:tc>
        <w:tc>
          <w:tcPr>
            <w:tcW w:w="1358"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X</w:t>
            </w:r>
          </w:p>
        </w:tc>
        <w:tc>
          <w:tcPr>
            <w:tcW w:w="1249"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r w:rsidR="001F61FA" w:rsidRPr="001F61FA" w:rsidTr="00D43626">
        <w:trPr>
          <w:trHeight w:val="284"/>
          <w:jc w:val="center"/>
        </w:trPr>
        <w:tc>
          <w:tcPr>
            <w:tcW w:w="1347" w:type="dxa"/>
            <w:vMerge/>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SAMU</w:t>
            </w:r>
          </w:p>
        </w:tc>
        <w:tc>
          <w:tcPr>
            <w:tcW w:w="1358"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1249" w:type="dxa"/>
            <w:vAlign w:val="center"/>
          </w:tcPr>
          <w:p w:rsidR="001F61FA" w:rsidRPr="001F61FA" w:rsidRDefault="001F61FA" w:rsidP="001F61F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1F61FA">
              <w:rPr>
                <w:rFonts w:ascii="Arial" w:hAnsi="Arial" w:cs="Arial"/>
                <w:lang w:eastAsia="fr-FR"/>
              </w:rPr>
              <w:t>X</w:t>
            </w:r>
          </w:p>
        </w:tc>
      </w:tr>
    </w:tbl>
    <w:p w:rsidR="001F61FA" w:rsidRDefault="001F61FA" w:rsidP="00271497">
      <w:pPr>
        <w:tabs>
          <w:tab w:val="left" w:pos="576"/>
        </w:tabs>
        <w:suppressAutoHyphens w:val="0"/>
        <w:overflowPunct w:val="0"/>
        <w:contextualSpacing/>
        <w:textAlignment w:val="baseline"/>
        <w:rPr>
          <w:rFonts w:ascii="Arial" w:hAnsi="Arial" w:cs="Arial"/>
          <w:lang w:eastAsia="fr-FR"/>
        </w:rPr>
      </w:pPr>
    </w:p>
    <w:p w:rsidR="003237D6" w:rsidRDefault="003237D6" w:rsidP="00271497">
      <w:pPr>
        <w:tabs>
          <w:tab w:val="left" w:pos="576"/>
        </w:tabs>
        <w:suppressAutoHyphens w:val="0"/>
        <w:overflowPunct w:val="0"/>
        <w:contextualSpacing/>
        <w:textAlignment w:val="baseline"/>
        <w:rPr>
          <w:rFonts w:ascii="Arial" w:hAnsi="Arial" w:cs="Arial"/>
          <w:lang w:eastAsia="fr-FR"/>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1F61FA">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C72A6" w:rsidTr="009B45B9">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913737" w:rsidRDefault="00913737" w:rsidP="00332B12">
      <w:pPr>
        <w:pStyle w:val="fcase1ertab"/>
        <w:tabs>
          <w:tab w:val="left" w:pos="851"/>
        </w:tabs>
        <w:ind w:left="0" w:firstLine="0"/>
        <w:rPr>
          <w:rFonts w:ascii="Arial" w:hAnsi="Arial" w:cs="Arial"/>
          <w:b/>
          <w:sz w:val="22"/>
          <w:szCs w:val="22"/>
        </w:rPr>
      </w:pPr>
    </w:p>
    <w:p w:rsidR="00913737" w:rsidRDefault="00913737" w:rsidP="00332B12">
      <w:pPr>
        <w:pStyle w:val="fcase1ertab"/>
        <w:tabs>
          <w:tab w:val="left" w:pos="851"/>
        </w:tabs>
        <w:ind w:left="0" w:firstLine="0"/>
        <w:rPr>
          <w:rFonts w:ascii="Arial" w:hAnsi="Arial" w:cs="Arial"/>
          <w:b/>
          <w:sz w:val="22"/>
          <w:szCs w:val="22"/>
        </w:rPr>
      </w:pPr>
    </w:p>
    <w:p w:rsidR="00913737" w:rsidRDefault="00913737"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lastRenderedPageBreak/>
        <w:tab/>
      </w: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2E1B8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0C7B90">
        <w:trPr>
          <w:trHeight w:val="713"/>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0C7B90">
        <w:trPr>
          <w:trHeight w:val="540"/>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Pr="000C7B90" w:rsidRDefault="003C72A6" w:rsidP="0015164B">
      <w:pPr>
        <w:pStyle w:val="Titre1"/>
        <w:tabs>
          <w:tab w:val="left" w:pos="851"/>
        </w:tabs>
        <w:ind w:left="0"/>
        <w:jc w:val="both"/>
        <w:rPr>
          <w:rFonts w:ascii="Arial" w:hAnsi="Arial" w:cs="Arial"/>
          <w:sz w:val="16"/>
          <w:szCs w:val="16"/>
        </w:rPr>
      </w:pPr>
      <w:r w:rsidRPr="000C7B90">
        <w:rPr>
          <w:rFonts w:ascii="Arial" w:hAnsi="Arial" w:cs="Arial"/>
          <w:b w:val="0"/>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167C4F" w:rsidRPr="000C7B90" w:rsidRDefault="00167C4F" w:rsidP="00652EB8">
      <w:pPr>
        <w:rPr>
          <w:b/>
          <w:sz w:val="16"/>
          <w:szCs w:val="16"/>
        </w:rPr>
      </w:pPr>
    </w:p>
    <w:p w:rsidR="00652EB8" w:rsidRDefault="00652EB8" w:rsidP="00652EB8">
      <w:r w:rsidRPr="00652EB8">
        <w:rPr>
          <w:b/>
        </w:rPr>
        <w:t xml:space="preserve">Dans le cadre de </w:t>
      </w:r>
      <w:r w:rsidRPr="00652EB8">
        <w:rPr>
          <w:b/>
          <w:u w:val="single"/>
        </w:rPr>
        <w:t>la passation</w:t>
      </w:r>
      <w:r w:rsidRPr="00652EB8">
        <w:rPr>
          <w:b/>
        </w:rPr>
        <w:t xml:space="preserve"> d</w:t>
      </w:r>
      <w:r w:rsidR="007D6F79">
        <w:rPr>
          <w:b/>
        </w:rPr>
        <w:t>u</w:t>
      </w:r>
      <w:r w:rsidRPr="00652EB8">
        <w:rPr>
          <w:b/>
        </w:rPr>
        <w:t xml:space="preserve"> marché</w:t>
      </w:r>
      <w:r>
        <w:t xml:space="preserve"> : </w:t>
      </w:r>
    </w:p>
    <w:p w:rsidR="00652EB8" w:rsidRPr="00652EB8" w:rsidRDefault="00652EB8" w:rsidP="00652EB8"/>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3F0217" w:rsidP="003F0217">
      <w:pPr>
        <w:tabs>
          <w:tab w:val="center" w:pos="5102"/>
          <w:tab w:val="left" w:pos="8985"/>
        </w:tabs>
        <w:rPr>
          <w:rFonts w:ascii="Arial" w:eastAsia="Arial" w:hAnsi="Arial" w:cs="Arial"/>
          <w:b/>
        </w:rPr>
      </w:pPr>
      <w:r>
        <w:rPr>
          <w:rFonts w:ascii="Arial" w:eastAsia="Arial" w:hAnsi="Arial" w:cs="Arial"/>
          <w:b/>
        </w:rPr>
        <w:tab/>
      </w:r>
      <w:r w:rsidR="001B3DF0">
        <w:rPr>
          <w:rFonts w:ascii="Arial" w:eastAsia="Arial" w:hAnsi="Arial" w:cs="Arial"/>
          <w:b/>
        </w:rPr>
        <w:t xml:space="preserve">Cellule Marchés Publics </w:t>
      </w:r>
      <w:r>
        <w:rPr>
          <w:rFonts w:ascii="Arial" w:eastAsia="Arial" w:hAnsi="Arial" w:cs="Arial"/>
          <w:b/>
        </w:rPr>
        <w:tab/>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9419E" w:rsidRDefault="0069419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p w:rsidR="00D11E75" w:rsidRDefault="00D11E75" w:rsidP="00D11E75">
      <w:pPr>
        <w:tabs>
          <w:tab w:val="left" w:pos="851"/>
        </w:tabs>
        <w:spacing w:before="120" w:after="120"/>
        <w:jc w:val="both"/>
        <w:rPr>
          <w:rFonts w:ascii="Arial" w:hAnsi="Arial" w:cs="Arial"/>
          <w:b/>
        </w:rPr>
      </w:pPr>
      <w:r w:rsidRPr="00B53FAD">
        <w:rPr>
          <w:rFonts w:ascii="Arial" w:hAnsi="Arial" w:cs="Arial"/>
          <w:b/>
        </w:rPr>
        <w:t xml:space="preserve">Madame </w:t>
      </w:r>
      <w:r>
        <w:rPr>
          <w:rFonts w:ascii="Arial" w:hAnsi="Arial" w:cs="Arial"/>
          <w:b/>
        </w:rPr>
        <w:t>NIANG</w:t>
      </w:r>
      <w:r w:rsidRPr="00B53FAD">
        <w:rPr>
          <w:rFonts w:ascii="Arial" w:hAnsi="Arial" w:cs="Arial"/>
          <w:b/>
        </w:rPr>
        <w:t xml:space="preserve"> – C.H.U. Caen Normandie / Direct</w:t>
      </w:r>
      <w:r>
        <w:rPr>
          <w:rFonts w:ascii="Arial" w:hAnsi="Arial" w:cs="Arial"/>
          <w:b/>
        </w:rPr>
        <w:t>ion des Ressources Matérielles et du Numérique -</w:t>
      </w:r>
      <w:r w:rsidRPr="00B53FAD">
        <w:rPr>
          <w:rFonts w:ascii="Arial" w:hAnsi="Arial" w:cs="Arial"/>
          <w:b/>
        </w:rPr>
        <w:t xml:space="preserve"> Cellule financière – </w:t>
      </w:r>
      <w:r>
        <w:rPr>
          <w:rFonts w:ascii="Arial" w:hAnsi="Arial" w:cs="Arial"/>
          <w:b/>
        </w:rPr>
        <w:t xml:space="preserve">Téléphone : 02.31.06.51.83 / </w:t>
      </w:r>
      <w:r w:rsidRPr="00B53FAD">
        <w:rPr>
          <w:rFonts w:ascii="Arial" w:hAnsi="Arial" w:cs="Arial"/>
          <w:b/>
        </w:rPr>
        <w:t xml:space="preserve">Courriel : </w:t>
      </w:r>
      <w:hyperlink r:id="rId27" w:history="1">
        <w:r w:rsidRPr="00F11C3D">
          <w:rPr>
            <w:rStyle w:val="Lienhypertexte"/>
            <w:rFonts w:ascii="Arial" w:hAnsi="Arial" w:cs="Arial"/>
            <w:b/>
          </w:rPr>
          <w:t>niang-h@chu-caen.fr</w:t>
        </w:r>
      </w:hyperlink>
      <w:r w:rsidRPr="00B53FAD">
        <w:rPr>
          <w:rFonts w:ascii="Arial" w:hAnsi="Arial" w:cs="Arial"/>
          <w:b/>
        </w:rPr>
        <w:t xml:space="preserve"> </w:t>
      </w:r>
    </w:p>
    <w:p w:rsidR="00D11E75" w:rsidRPr="00420683" w:rsidRDefault="00D11E75" w:rsidP="00D11E75">
      <w:pPr>
        <w:tabs>
          <w:tab w:val="left" w:pos="851"/>
        </w:tabs>
        <w:spacing w:before="120" w:after="120"/>
        <w:jc w:val="both"/>
        <w:rPr>
          <w:rFonts w:ascii="Arial" w:hAnsi="Arial" w:cs="Arial"/>
          <w:b/>
        </w:rPr>
      </w:pPr>
      <w:r w:rsidRPr="00420683">
        <w:rPr>
          <w:rFonts w:ascii="Arial" w:hAnsi="Arial" w:cs="Arial"/>
          <w:b/>
        </w:rPr>
        <w:t xml:space="preserve">Madame JARRY – C.H.U. Caen Normandie / Département des Ressources Matérielles et du Numérique - Cellule financière – Téléphone : 02.31.06.47.73 / Courriel : </w:t>
      </w:r>
      <w:hyperlink r:id="rId28" w:history="1">
        <w:r w:rsidRPr="00F931AF">
          <w:rPr>
            <w:rStyle w:val="Lienhypertexte"/>
            <w:rFonts w:ascii="Arial" w:hAnsi="Arial" w:cs="Arial"/>
            <w:b/>
          </w:rPr>
          <w:t>jarry-a@chu-caen.fr</w:t>
        </w:r>
      </w:hyperlink>
      <w:r>
        <w:rPr>
          <w:rFonts w:ascii="Arial" w:hAnsi="Arial" w:cs="Arial"/>
          <w:b/>
        </w:rPr>
        <w:t xml:space="preserve"> </w:t>
      </w:r>
      <w:r w:rsidRPr="00420683">
        <w:rPr>
          <w:rFonts w:ascii="Arial" w:hAnsi="Arial" w:cs="Arial"/>
          <w:b/>
        </w:rPr>
        <w:t xml:space="preserve"> </w:t>
      </w:r>
    </w:p>
    <w:p w:rsidR="00D11E75" w:rsidRPr="00B53FAD" w:rsidRDefault="00D11E75" w:rsidP="00D11E75">
      <w:pPr>
        <w:tabs>
          <w:tab w:val="left" w:pos="851"/>
        </w:tabs>
        <w:spacing w:before="120" w:after="120"/>
        <w:jc w:val="both"/>
        <w:rPr>
          <w:rFonts w:ascii="Arial" w:hAnsi="Arial" w:cs="Arial"/>
          <w:b/>
        </w:rPr>
      </w:pPr>
      <w:r w:rsidRPr="00420683">
        <w:rPr>
          <w:rFonts w:ascii="Arial" w:hAnsi="Arial" w:cs="Arial"/>
          <w:b/>
        </w:rPr>
        <w:t xml:space="preserve">Madame CHAPELAIN – C.H.U. Caen Normandie / Département des Ressources Matérielles et du Numérique - Cellule financière – Téléphone : 02.31.06.51.84 / Courriel : </w:t>
      </w:r>
      <w:hyperlink r:id="rId29" w:history="1">
        <w:r w:rsidRPr="00F931AF">
          <w:rPr>
            <w:rStyle w:val="Lienhypertexte"/>
            <w:rFonts w:ascii="Arial" w:hAnsi="Arial" w:cs="Arial"/>
            <w:b/>
          </w:rPr>
          <w:t>chapelain-l@chu-caen.fr</w:t>
        </w:r>
      </w:hyperlink>
      <w:r>
        <w:rPr>
          <w:rFonts w:ascii="Arial" w:hAnsi="Arial" w:cs="Arial"/>
          <w:b/>
        </w:rPr>
        <w:t xml:space="preserve"> </w:t>
      </w: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7796" w:type="dxa"/>
        <w:tblLayout w:type="fixed"/>
        <w:tblLook w:val="04A0" w:firstRow="1" w:lastRow="0" w:firstColumn="1" w:lastColumn="0" w:noHBand="0" w:noVBand="1"/>
      </w:tblPr>
      <w:tblGrid>
        <w:gridCol w:w="2268"/>
        <w:gridCol w:w="1843"/>
        <w:gridCol w:w="1559"/>
        <w:gridCol w:w="2126"/>
      </w:tblGrid>
      <w:tr w:rsidR="000C7B90" w:rsidRPr="00EA1E1F" w:rsidTr="000C7B90">
        <w:trPr>
          <w:trHeight w:val="405"/>
        </w:trPr>
        <w:tc>
          <w:tcPr>
            <w:tcW w:w="2268" w:type="dxa"/>
            <w:vAlign w:val="center"/>
            <w:hideMark/>
          </w:tcPr>
          <w:p w:rsidR="000C7B90" w:rsidRPr="00EA1E1F" w:rsidRDefault="000C7B90"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0C7B90" w:rsidRPr="00EA1E1F" w:rsidRDefault="000C7B90"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0C7B90" w:rsidRPr="00EA1E1F" w:rsidRDefault="000C7B90"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0C7B90" w:rsidRPr="00EA1E1F" w:rsidRDefault="000C7B90"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0C7B90" w:rsidRPr="00EA1E1F" w:rsidTr="000C7B90">
        <w:trPr>
          <w:trHeight w:val="405"/>
        </w:trPr>
        <w:tc>
          <w:tcPr>
            <w:tcW w:w="2268" w:type="dxa"/>
            <w:vAlign w:val="center"/>
          </w:tcPr>
          <w:p w:rsidR="000C7B90" w:rsidRPr="00EA1E1F" w:rsidRDefault="000C7B90"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0C7B90" w:rsidRPr="00EA1E1F" w:rsidRDefault="000C7B90"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0C7B90" w:rsidRPr="00EA1E1F" w:rsidRDefault="000C7B90"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0C7B90" w:rsidRPr="00EA1E1F" w:rsidRDefault="002E1B8D"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0" w:history="1">
              <w:r w:rsidR="000C7B90"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2C3ADB" w:rsidRDefault="002C3ADB" w:rsidP="0015164B">
      <w:pPr>
        <w:tabs>
          <w:tab w:val="left" w:pos="851"/>
        </w:tabs>
        <w:rPr>
          <w:rFonts w:ascii="Arial" w:hAnsi="Arial" w:cs="Arial"/>
        </w:rPr>
      </w:pPr>
    </w:p>
    <w:p w:rsidR="002C3ADB" w:rsidRDefault="002C3ADB" w:rsidP="0015164B">
      <w:pPr>
        <w:tabs>
          <w:tab w:val="left" w:pos="851"/>
        </w:tabs>
        <w:rPr>
          <w:rFonts w:ascii="Arial" w:hAnsi="Arial" w:cs="Arial"/>
        </w:rPr>
      </w:pPr>
    </w:p>
    <w:p w:rsidR="003C72A6" w:rsidRPr="00A33942" w:rsidRDefault="003C72A6" w:rsidP="0015164B">
      <w:pPr>
        <w:tabs>
          <w:tab w:val="left" w:pos="851"/>
          <w:tab w:val="left" w:pos="3402"/>
          <w:tab w:val="left" w:pos="6237"/>
          <w:tab w:val="left" w:pos="9072"/>
        </w:tabs>
        <w:jc w:val="both"/>
        <w:rPr>
          <w:rFonts w:ascii="Arial" w:hAnsi="Arial" w:cs="Arial"/>
          <w:b/>
          <w:caps/>
        </w:rPr>
      </w:pPr>
      <w:r w:rsidRPr="00A33942">
        <w:rPr>
          <w:rFonts w:ascii="Arial" w:hAnsi="Arial" w:cs="Arial"/>
          <w:lang w:eastAsia="fr-FR"/>
        </w:rPr>
        <w:t>La présente offre est</w:t>
      </w:r>
      <w:r>
        <w:rPr>
          <w:rFonts w:ascii="Arial" w:hAnsi="Arial" w:cs="Arial"/>
          <w:lang w:eastAsia="fr-FR"/>
        </w:rPr>
        <w:t xml:space="preserve"> acceptée</w:t>
      </w:r>
      <w:r w:rsidR="007F677B">
        <w:rPr>
          <w:rFonts w:ascii="Arial" w:hAnsi="Arial" w:cs="Arial"/>
          <w:lang w:eastAsia="fr-FR"/>
        </w:rPr>
        <w:t>.</w:t>
      </w:r>
      <w:r>
        <w:rPr>
          <w:rFonts w:ascii="Arial" w:hAnsi="Arial" w:cs="Arial"/>
          <w:lang w:eastAsia="fr-FR"/>
        </w:rPr>
        <w:t xml:space="preserv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5872D5" w:rsidRDefault="005872D5"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P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2" w:name="CaseACocher111"/>
      <w:r>
        <w:rPr>
          <w:rFonts w:ascii="Arial" w:hAnsi="Arial" w:cs="Arial"/>
          <w:lang w:eastAsia="fr-FR"/>
        </w:rPr>
        <w:instrText xml:space="preserve"> FORMCHECKBOX </w:instrText>
      </w:r>
      <w:r w:rsidR="002E1B8D">
        <w:rPr>
          <w:rFonts w:ascii="Arial" w:hAnsi="Arial" w:cs="Arial"/>
          <w:lang w:eastAsia="fr-FR"/>
        </w:rPr>
      </w:r>
      <w:r w:rsidR="002E1B8D">
        <w:rPr>
          <w:rFonts w:ascii="Arial" w:hAnsi="Arial" w:cs="Arial"/>
          <w:lang w:eastAsia="fr-FR"/>
        </w:rPr>
        <w:fldChar w:fldCharType="separate"/>
      </w:r>
      <w:r>
        <w:rPr>
          <w:rFonts w:ascii="Arial" w:hAnsi="Arial" w:cs="Arial"/>
          <w:lang w:eastAsia="fr-FR"/>
        </w:rPr>
        <w:fldChar w:fldCharType="end"/>
      </w:r>
      <w:bookmarkEnd w:id="2"/>
      <w:r w:rsidR="003C72A6" w:rsidRPr="003C72A6">
        <w:rPr>
          <w:rFonts w:ascii="Arial" w:hAnsi="Arial" w:cs="Arial"/>
          <w:lang w:eastAsia="fr-FR"/>
        </w:rPr>
        <w:t xml:space="preserve"> Annexe n° 1 relative au</w:t>
      </w:r>
      <w:r w:rsidR="004B15E2">
        <w:rPr>
          <w:rFonts w:ascii="Arial" w:hAnsi="Arial" w:cs="Arial"/>
          <w:lang w:eastAsia="fr-FR"/>
        </w:rPr>
        <w:t>(x)</w:t>
      </w:r>
      <w:r w:rsidR="003C72A6" w:rsidRPr="003C72A6">
        <w:rPr>
          <w:rFonts w:ascii="Arial" w:hAnsi="Arial" w:cs="Arial"/>
          <w:lang w:eastAsia="fr-FR"/>
        </w:rPr>
        <w:t xml:space="preserve"> bordereau</w:t>
      </w:r>
      <w:r w:rsidR="004B15E2">
        <w:rPr>
          <w:rFonts w:ascii="Arial" w:hAnsi="Arial" w:cs="Arial"/>
          <w:lang w:eastAsia="fr-FR"/>
        </w:rPr>
        <w:t>(x)</w:t>
      </w:r>
      <w:r w:rsidR="003C72A6" w:rsidRPr="003C72A6">
        <w:rPr>
          <w:rFonts w:ascii="Arial" w:hAnsi="Arial" w:cs="Arial"/>
          <w:lang w:eastAsia="fr-FR"/>
        </w:rPr>
        <w:t xml:space="preserve"> des prix unitaires ;</w:t>
      </w:r>
    </w:p>
    <w:p w:rsidR="003C72A6" w:rsidRP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2E1B8D">
        <w:rPr>
          <w:rFonts w:ascii="Arial" w:hAnsi="Arial" w:cs="Arial"/>
          <w:lang w:eastAsia="fr-FR"/>
        </w:rPr>
      </w:r>
      <w:r w:rsidR="002E1B8D">
        <w:rPr>
          <w:rFonts w:ascii="Arial" w:hAnsi="Arial" w:cs="Arial"/>
          <w:lang w:eastAsia="fr-FR"/>
        </w:rPr>
        <w:fldChar w:fldCharType="separate"/>
      </w:r>
      <w:r>
        <w:rPr>
          <w:rFonts w:ascii="Arial" w:hAnsi="Arial" w:cs="Arial"/>
          <w:lang w:eastAsia="fr-FR"/>
        </w:rPr>
        <w:fldChar w:fldCharType="end"/>
      </w:r>
      <w:r w:rsidR="003C72A6" w:rsidRPr="003C72A6">
        <w:rPr>
          <w:rFonts w:ascii="Arial" w:hAnsi="Arial" w:cs="Arial"/>
          <w:lang w:eastAsia="fr-FR"/>
        </w:rPr>
        <w:t xml:space="preserve"> Annexe n° 2 </w:t>
      </w:r>
      <w:proofErr w:type="gramStart"/>
      <w:r w:rsidR="003C72A6" w:rsidRPr="003C72A6">
        <w:rPr>
          <w:rFonts w:ascii="Arial" w:hAnsi="Arial" w:cs="Arial"/>
          <w:lang w:eastAsia="fr-FR"/>
        </w:rPr>
        <w:t>relative</w:t>
      </w:r>
      <w:proofErr w:type="gramEnd"/>
      <w:r w:rsidR="003C72A6" w:rsidRPr="003C72A6">
        <w:rPr>
          <w:rFonts w:ascii="Arial" w:hAnsi="Arial" w:cs="Arial"/>
          <w:lang w:eastAsia="fr-FR"/>
        </w:rPr>
        <w:t xml:space="preserve"> </w:t>
      </w:r>
      <w:r w:rsidR="00CD745A">
        <w:rPr>
          <w:rFonts w:ascii="Arial" w:hAnsi="Arial" w:cs="Arial"/>
          <w:lang w:eastAsia="fr-FR"/>
        </w:rPr>
        <w:t>au DPGF</w:t>
      </w:r>
      <w:r w:rsidR="003C72A6" w:rsidRPr="003C72A6">
        <w:rPr>
          <w:rFonts w:ascii="Arial" w:hAnsi="Arial" w:cs="Arial"/>
          <w:lang w:eastAsia="fr-FR"/>
        </w:rPr>
        <w:t> ; </w:t>
      </w:r>
    </w:p>
    <w:p w:rsidR="003C72A6" w:rsidRPr="00921EE5" w:rsidRDefault="00864B0F" w:rsidP="00CB58F7">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2E1B8D">
        <w:rPr>
          <w:rFonts w:ascii="Arial" w:hAnsi="Arial" w:cs="Arial"/>
          <w:lang w:eastAsia="fr-FR"/>
        </w:rPr>
      </w:r>
      <w:r w:rsidR="002E1B8D">
        <w:rPr>
          <w:rFonts w:ascii="Arial" w:hAnsi="Arial" w:cs="Arial"/>
          <w:lang w:eastAsia="fr-FR"/>
        </w:rPr>
        <w:fldChar w:fldCharType="separate"/>
      </w:r>
      <w:r>
        <w:rPr>
          <w:rFonts w:ascii="Arial" w:hAnsi="Arial" w:cs="Arial"/>
          <w:lang w:eastAsia="fr-FR"/>
        </w:rPr>
        <w:fldChar w:fldCharType="end"/>
      </w:r>
      <w:r w:rsidR="003C72A6" w:rsidRPr="003C72A6">
        <w:rPr>
          <w:rFonts w:ascii="Arial" w:hAnsi="Arial" w:cs="Arial"/>
          <w:lang w:eastAsia="fr-FR"/>
        </w:rPr>
        <w:t xml:space="preserve"> Annexe n° 3 </w:t>
      </w:r>
      <w:proofErr w:type="gramStart"/>
      <w:r w:rsidR="003C72A6" w:rsidRPr="003C72A6">
        <w:rPr>
          <w:rFonts w:ascii="Arial" w:hAnsi="Arial" w:cs="Arial"/>
          <w:lang w:eastAsia="fr-FR"/>
        </w:rPr>
        <w:t>relative</w:t>
      </w:r>
      <w:proofErr w:type="gramEnd"/>
      <w:r w:rsidR="003C72A6"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E1B8D">
        <w:rPr>
          <w:rFonts w:ascii="Arial" w:hAnsi="Arial" w:cs="Arial"/>
          <w:lang w:eastAsia="fr-FR"/>
        </w:rPr>
      </w:r>
      <w:r w:rsidR="002E1B8D">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E1B8D">
        <w:rPr>
          <w:rFonts w:ascii="Arial" w:hAnsi="Arial" w:cs="Arial"/>
          <w:lang w:eastAsia="fr-FR"/>
        </w:rPr>
      </w:r>
      <w:r w:rsidR="002E1B8D">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E1B8D">
        <w:rPr>
          <w:rFonts w:ascii="Arial" w:hAnsi="Arial" w:cs="Arial"/>
          <w:lang w:eastAsia="fr-FR"/>
        </w:rPr>
      </w:r>
      <w:r w:rsidR="002E1B8D">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E1B8D">
        <w:rPr>
          <w:rFonts w:ascii="Arial" w:hAnsi="Arial" w:cs="Arial"/>
          <w:lang w:eastAsia="fr-FR"/>
        </w:rPr>
      </w:r>
      <w:r w:rsidR="002E1B8D">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suppressAutoHyphens w:val="0"/>
        <w:jc w:val="both"/>
        <w:rPr>
          <w:rFonts w:ascii="Arial" w:hAnsi="Arial" w:cs="Arial"/>
          <w:lang w:eastAsia="fr-FR"/>
        </w:rPr>
      </w:pPr>
    </w:p>
    <w:p w:rsidR="003C72A6" w:rsidRPr="00D64188" w:rsidRDefault="003C72A6" w:rsidP="0015164B">
      <w:pPr>
        <w:suppressAutoHyphens w:val="0"/>
        <w:rPr>
          <w:rFonts w:ascii="Arial" w:hAnsi="Arial" w:cs="Arial"/>
          <w:lang w:eastAsia="fr-FR"/>
        </w:rPr>
      </w:pP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15164B">
      <w:pPr>
        <w:suppressAutoHyphens w:val="0"/>
        <w:ind w:left="3828"/>
        <w:jc w:val="center"/>
        <w:rPr>
          <w:lang w:eastAsia="fr-FR"/>
        </w:rPr>
      </w:pPr>
    </w:p>
    <w:p w:rsidR="00142251" w:rsidRPr="00142251" w:rsidRDefault="004E7154"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3C72A6"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de Caen Normandie</w:t>
      </w:r>
    </w:p>
    <w:p w:rsidR="004E7154" w:rsidRDefault="004E7154" w:rsidP="00652EB8">
      <w:pPr>
        <w:suppressAutoHyphens w:val="0"/>
        <w:ind w:left="3828"/>
        <w:jc w:val="center"/>
        <w:rPr>
          <w:rFonts w:ascii="Arial" w:hAnsi="Arial" w:cs="Arial"/>
        </w:rPr>
      </w:pPr>
    </w:p>
    <w:p w:rsidR="004E7154" w:rsidRPr="00996584" w:rsidRDefault="004E7154" w:rsidP="004E715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p w:rsidR="004E7154" w:rsidRDefault="004E7154" w:rsidP="00652EB8">
      <w:pPr>
        <w:suppressAutoHyphens w:val="0"/>
        <w:ind w:left="3828"/>
        <w:jc w:val="center"/>
        <w:rPr>
          <w:rFonts w:ascii="Arial" w:hAnsi="Arial" w:cs="Arial"/>
        </w:rPr>
      </w:pPr>
    </w:p>
    <w:sectPr w:rsidR="004E715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7F677B"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n°202</w:t>
          </w:r>
          <w:r w:rsidR="003237D6">
            <w:rPr>
              <w:rFonts w:ascii="Arial" w:hAnsi="Arial" w:cs="Arial"/>
              <w:b/>
            </w:rPr>
            <w:t>5</w:t>
          </w:r>
          <w:r>
            <w:rPr>
              <w:rFonts w:ascii="Arial" w:hAnsi="Arial" w:cs="Arial"/>
              <w:b/>
            </w:rPr>
            <w:t xml:space="preserve"> 0 </w:t>
          </w:r>
          <w:r w:rsidR="003237D6">
            <w:rPr>
              <w:rFonts w:ascii="Arial" w:hAnsi="Arial" w:cs="Arial"/>
              <w:b/>
            </w:rPr>
            <w:t>013</w:t>
          </w:r>
          <w:r>
            <w:rPr>
              <w:rFonts w:ascii="Arial" w:hAnsi="Arial" w:cs="Arial"/>
              <w:b/>
            </w:rPr>
            <w:t> 002 000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9882E06"/>
    <w:multiLevelType w:val="hybridMultilevel"/>
    <w:tmpl w:val="9E6E57BC"/>
    <w:lvl w:ilvl="0" w:tplc="040C000B">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6"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FDC"/>
    <w:rsid w:val="00021BEC"/>
    <w:rsid w:val="00036500"/>
    <w:rsid w:val="00067F94"/>
    <w:rsid w:val="0007006B"/>
    <w:rsid w:val="0007134D"/>
    <w:rsid w:val="00091032"/>
    <w:rsid w:val="000A2E05"/>
    <w:rsid w:val="000B152F"/>
    <w:rsid w:val="000C7B90"/>
    <w:rsid w:val="000E0020"/>
    <w:rsid w:val="000F41AD"/>
    <w:rsid w:val="00142251"/>
    <w:rsid w:val="0015164B"/>
    <w:rsid w:val="00157FB5"/>
    <w:rsid w:val="00166B56"/>
    <w:rsid w:val="00167C4F"/>
    <w:rsid w:val="00174505"/>
    <w:rsid w:val="00175EFE"/>
    <w:rsid w:val="00180BFF"/>
    <w:rsid w:val="001A0ACF"/>
    <w:rsid w:val="001B3DF0"/>
    <w:rsid w:val="001C40C0"/>
    <w:rsid w:val="001C733C"/>
    <w:rsid w:val="001F05AD"/>
    <w:rsid w:val="001F61FA"/>
    <w:rsid w:val="0021527A"/>
    <w:rsid w:val="0021797C"/>
    <w:rsid w:val="00221808"/>
    <w:rsid w:val="00225A1A"/>
    <w:rsid w:val="00271497"/>
    <w:rsid w:val="00286179"/>
    <w:rsid w:val="002904AF"/>
    <w:rsid w:val="002A127B"/>
    <w:rsid w:val="002C2CA3"/>
    <w:rsid w:val="002C3ADB"/>
    <w:rsid w:val="002C4B3E"/>
    <w:rsid w:val="002C79D6"/>
    <w:rsid w:val="002C7D4F"/>
    <w:rsid w:val="002E1B8D"/>
    <w:rsid w:val="002E56C1"/>
    <w:rsid w:val="0032116B"/>
    <w:rsid w:val="003237D6"/>
    <w:rsid w:val="00332B12"/>
    <w:rsid w:val="00354C04"/>
    <w:rsid w:val="00385E76"/>
    <w:rsid w:val="003A1120"/>
    <w:rsid w:val="003A57A0"/>
    <w:rsid w:val="003A7270"/>
    <w:rsid w:val="003B08A8"/>
    <w:rsid w:val="003C72A6"/>
    <w:rsid w:val="003D2E71"/>
    <w:rsid w:val="003D4C8C"/>
    <w:rsid w:val="003F0217"/>
    <w:rsid w:val="0042151F"/>
    <w:rsid w:val="00433B4B"/>
    <w:rsid w:val="004342DC"/>
    <w:rsid w:val="0043706E"/>
    <w:rsid w:val="0044597F"/>
    <w:rsid w:val="004959F7"/>
    <w:rsid w:val="004A01A2"/>
    <w:rsid w:val="004A6DAE"/>
    <w:rsid w:val="004A7169"/>
    <w:rsid w:val="004B15E2"/>
    <w:rsid w:val="004C5755"/>
    <w:rsid w:val="004E7154"/>
    <w:rsid w:val="004E75A6"/>
    <w:rsid w:val="00514DAF"/>
    <w:rsid w:val="00526C50"/>
    <w:rsid w:val="00532EC7"/>
    <w:rsid w:val="00541CA3"/>
    <w:rsid w:val="00550081"/>
    <w:rsid w:val="0055039E"/>
    <w:rsid w:val="005546A9"/>
    <w:rsid w:val="005824AE"/>
    <w:rsid w:val="005846FB"/>
    <w:rsid w:val="005872D5"/>
    <w:rsid w:val="005A05C1"/>
    <w:rsid w:val="005A4A3B"/>
    <w:rsid w:val="005A4CB5"/>
    <w:rsid w:val="005B2316"/>
    <w:rsid w:val="005D360E"/>
    <w:rsid w:val="005F0DCE"/>
    <w:rsid w:val="005F4084"/>
    <w:rsid w:val="0061068C"/>
    <w:rsid w:val="0064560F"/>
    <w:rsid w:val="00652EB8"/>
    <w:rsid w:val="00660727"/>
    <w:rsid w:val="0069419E"/>
    <w:rsid w:val="006A37B0"/>
    <w:rsid w:val="006B5057"/>
    <w:rsid w:val="006C2C97"/>
    <w:rsid w:val="006C4338"/>
    <w:rsid w:val="006F3DF9"/>
    <w:rsid w:val="007060E5"/>
    <w:rsid w:val="00710FD6"/>
    <w:rsid w:val="00730A78"/>
    <w:rsid w:val="00757151"/>
    <w:rsid w:val="007777A5"/>
    <w:rsid w:val="0078321A"/>
    <w:rsid w:val="0078361D"/>
    <w:rsid w:val="007909E0"/>
    <w:rsid w:val="00791119"/>
    <w:rsid w:val="00796321"/>
    <w:rsid w:val="0079785C"/>
    <w:rsid w:val="007A06D2"/>
    <w:rsid w:val="007D4001"/>
    <w:rsid w:val="007D6F79"/>
    <w:rsid w:val="007D7A65"/>
    <w:rsid w:val="007F677B"/>
    <w:rsid w:val="007F68A6"/>
    <w:rsid w:val="008066B0"/>
    <w:rsid w:val="00806A7A"/>
    <w:rsid w:val="00830730"/>
    <w:rsid w:val="0083205E"/>
    <w:rsid w:val="00840934"/>
    <w:rsid w:val="00844DAA"/>
    <w:rsid w:val="008450C7"/>
    <w:rsid w:val="00864129"/>
    <w:rsid w:val="00864B0F"/>
    <w:rsid w:val="00876A73"/>
    <w:rsid w:val="00893E1E"/>
    <w:rsid w:val="008A7C6D"/>
    <w:rsid w:val="008B2A38"/>
    <w:rsid w:val="008C53C8"/>
    <w:rsid w:val="008E7C42"/>
    <w:rsid w:val="008F4DEF"/>
    <w:rsid w:val="00904B39"/>
    <w:rsid w:val="00913737"/>
    <w:rsid w:val="00921A5C"/>
    <w:rsid w:val="00930A5C"/>
    <w:rsid w:val="00934503"/>
    <w:rsid w:val="009349A5"/>
    <w:rsid w:val="009512C6"/>
    <w:rsid w:val="00962553"/>
    <w:rsid w:val="00972598"/>
    <w:rsid w:val="00983FF3"/>
    <w:rsid w:val="009B1CD0"/>
    <w:rsid w:val="009B45B9"/>
    <w:rsid w:val="009C4738"/>
    <w:rsid w:val="009C54E4"/>
    <w:rsid w:val="009D661E"/>
    <w:rsid w:val="009F3FB5"/>
    <w:rsid w:val="00A34D04"/>
    <w:rsid w:val="00A40C04"/>
    <w:rsid w:val="00A46A16"/>
    <w:rsid w:val="00A67E57"/>
    <w:rsid w:val="00A756DC"/>
    <w:rsid w:val="00AD727C"/>
    <w:rsid w:val="00AE7831"/>
    <w:rsid w:val="00AF4E70"/>
    <w:rsid w:val="00B019B1"/>
    <w:rsid w:val="00B02608"/>
    <w:rsid w:val="00B0289C"/>
    <w:rsid w:val="00B054DA"/>
    <w:rsid w:val="00B40FDD"/>
    <w:rsid w:val="00B87564"/>
    <w:rsid w:val="00BA08A9"/>
    <w:rsid w:val="00BA44E5"/>
    <w:rsid w:val="00BB1140"/>
    <w:rsid w:val="00BB7023"/>
    <w:rsid w:val="00BC5E78"/>
    <w:rsid w:val="00BD767E"/>
    <w:rsid w:val="00BE6078"/>
    <w:rsid w:val="00C01A79"/>
    <w:rsid w:val="00C1766B"/>
    <w:rsid w:val="00C2168F"/>
    <w:rsid w:val="00C23457"/>
    <w:rsid w:val="00C2737E"/>
    <w:rsid w:val="00C3793D"/>
    <w:rsid w:val="00C450E7"/>
    <w:rsid w:val="00C55F52"/>
    <w:rsid w:val="00C630AD"/>
    <w:rsid w:val="00C63B72"/>
    <w:rsid w:val="00C67EC9"/>
    <w:rsid w:val="00C83930"/>
    <w:rsid w:val="00C91060"/>
    <w:rsid w:val="00C911FE"/>
    <w:rsid w:val="00C91C91"/>
    <w:rsid w:val="00C94B2A"/>
    <w:rsid w:val="00CB58F7"/>
    <w:rsid w:val="00CD185D"/>
    <w:rsid w:val="00CD46CC"/>
    <w:rsid w:val="00CD745A"/>
    <w:rsid w:val="00CE67FD"/>
    <w:rsid w:val="00CF6215"/>
    <w:rsid w:val="00D11E75"/>
    <w:rsid w:val="00D26AD2"/>
    <w:rsid w:val="00D337D7"/>
    <w:rsid w:val="00D412FD"/>
    <w:rsid w:val="00D455FF"/>
    <w:rsid w:val="00D46BC7"/>
    <w:rsid w:val="00D90A00"/>
    <w:rsid w:val="00D942FB"/>
    <w:rsid w:val="00DC5F35"/>
    <w:rsid w:val="00E20DB0"/>
    <w:rsid w:val="00E33203"/>
    <w:rsid w:val="00E47798"/>
    <w:rsid w:val="00E53E03"/>
    <w:rsid w:val="00E74C76"/>
    <w:rsid w:val="00E94416"/>
    <w:rsid w:val="00E96FF6"/>
    <w:rsid w:val="00EA1E1F"/>
    <w:rsid w:val="00EC2218"/>
    <w:rsid w:val="00ED0391"/>
    <w:rsid w:val="00EE026E"/>
    <w:rsid w:val="00EE0D78"/>
    <w:rsid w:val="00F77CDF"/>
    <w:rsid w:val="00F92811"/>
    <w:rsid w:val="00FA5DC7"/>
    <w:rsid w:val="00FA770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15009F5D"/>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8C53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C379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B7023"/>
    <w:pPr>
      <w:ind w:left="720"/>
      <w:contextualSpacing/>
    </w:pPr>
  </w:style>
  <w:style w:type="table" w:customStyle="1" w:styleId="Grilledutableau31">
    <w:name w:val="Grille du tableau31"/>
    <w:basedOn w:val="TableauNormal"/>
    <w:next w:val="Grilledutableau"/>
    <w:uiPriority w:val="59"/>
    <w:rsid w:val="001F6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2">
    <w:name w:val="Grille du tableau32"/>
    <w:basedOn w:val="TableauNormal"/>
    <w:next w:val="Grilledutableau"/>
    <w:uiPriority w:val="59"/>
    <w:rsid w:val="00021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chapelain-l@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jarry-a@chu-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niang-h@chu-caen.fr" TargetMode="External"/><Relationship Id="rId30" Type="http://schemas.openxmlformats.org/officeDocument/2006/relationships/hyperlink" Target="mailto:t014014@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F6B1B-DFAF-445D-9A88-47B4FB188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TotalTime>
  <Pages>6</Pages>
  <Words>2584</Words>
  <Characters>14218</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16769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32</cp:revision>
  <cp:lastPrinted>2024-10-03T11:07:00Z</cp:lastPrinted>
  <dcterms:created xsi:type="dcterms:W3CDTF">2024-10-03T11:59:00Z</dcterms:created>
  <dcterms:modified xsi:type="dcterms:W3CDTF">2025-01-13T13:48:00Z</dcterms:modified>
</cp:coreProperties>
</file>