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D34" w:rsidRDefault="00665D34" w:rsidP="008C7270">
      <w:pPr>
        <w:tabs>
          <w:tab w:val="right" w:pos="9638"/>
        </w:tabs>
        <w:ind w:left="0"/>
        <w:rPr>
          <w:b/>
          <w:bCs/>
          <w:sz w:val="32"/>
          <w:szCs w:val="32"/>
        </w:rPr>
      </w:pPr>
    </w:p>
    <w:p w:rsidR="003C706A" w:rsidRPr="00BC366B" w:rsidRDefault="00AC46CC" w:rsidP="00665D34">
      <w:pPr>
        <w:tabs>
          <w:tab w:val="right" w:pos="9638"/>
        </w:tabs>
        <w:ind w:left="0"/>
        <w:jc w:val="right"/>
        <w:rPr>
          <w:b/>
          <w:bCs/>
          <w:sz w:val="32"/>
          <w:szCs w:val="32"/>
        </w:rPr>
      </w:pPr>
      <w:r w:rsidRPr="00BC366B">
        <w:rPr>
          <w:b/>
          <w:bCs/>
          <w:sz w:val="32"/>
          <w:szCs w:val="32"/>
        </w:rPr>
        <w:t xml:space="preserve">Annexe n° </w:t>
      </w:r>
      <w:r w:rsidR="00BC366B" w:rsidRPr="00BC366B">
        <w:rPr>
          <w:b/>
          <w:bCs/>
          <w:sz w:val="32"/>
          <w:szCs w:val="32"/>
        </w:rPr>
        <w:t>1</w:t>
      </w:r>
      <w:r w:rsidR="00375BE3" w:rsidRPr="00BC366B">
        <w:rPr>
          <w:b/>
          <w:bCs/>
          <w:sz w:val="32"/>
          <w:szCs w:val="32"/>
        </w:rPr>
        <w:t xml:space="preserve"> </w:t>
      </w:r>
      <w:r w:rsidR="00BC366B" w:rsidRPr="00BC366B">
        <w:rPr>
          <w:b/>
          <w:bCs/>
          <w:sz w:val="32"/>
          <w:szCs w:val="32"/>
        </w:rPr>
        <w:t>à l’Acte d’Engagement (AE)</w:t>
      </w:r>
    </w:p>
    <w:p w:rsidR="003C706A" w:rsidRPr="00843537" w:rsidRDefault="003C706A" w:rsidP="008C7270">
      <w:pPr>
        <w:pBdr>
          <w:bottom w:val="single" w:sz="18" w:space="10" w:color="auto"/>
        </w:pBdr>
        <w:tabs>
          <w:tab w:val="left" w:pos="540"/>
          <w:tab w:val="right" w:pos="9638"/>
        </w:tabs>
        <w:ind w:left="0"/>
        <w:rPr>
          <w:sz w:val="40"/>
          <w:szCs w:val="40"/>
        </w:rPr>
      </w:pPr>
      <w:r w:rsidRPr="00BC366B">
        <w:rPr>
          <w:b/>
          <w:bCs/>
          <w:sz w:val="32"/>
          <w:szCs w:val="32"/>
        </w:rPr>
        <w:tab/>
      </w:r>
      <w:r w:rsidRPr="00BC366B">
        <w:rPr>
          <w:b/>
          <w:bCs/>
          <w:sz w:val="32"/>
          <w:szCs w:val="32"/>
        </w:rPr>
        <w:tab/>
      </w:r>
      <w:r w:rsidR="00AC46CC" w:rsidRPr="00BC366B">
        <w:rPr>
          <w:b/>
          <w:bCs/>
          <w:sz w:val="32"/>
          <w:szCs w:val="32"/>
        </w:rPr>
        <w:t>Acte contractuel de confidentialité</w:t>
      </w:r>
      <w:r w:rsidR="00BC366B" w:rsidRPr="00BC366B">
        <w:rPr>
          <w:b/>
          <w:bCs/>
          <w:sz w:val="32"/>
          <w:szCs w:val="32"/>
        </w:rPr>
        <w:t xml:space="preserve"> (ACC)</w:t>
      </w:r>
    </w:p>
    <w:p w:rsidR="003C706A" w:rsidRDefault="003C706A" w:rsidP="008C7270">
      <w:pPr>
        <w:ind w:left="0"/>
      </w:pPr>
    </w:p>
    <w:p w:rsidR="008C7270" w:rsidRDefault="008C7270" w:rsidP="008C7270">
      <w:pPr>
        <w:ind w:left="0"/>
      </w:pPr>
    </w:p>
    <w:p w:rsidR="008C7270" w:rsidRDefault="008C7270" w:rsidP="008C7270">
      <w:pPr>
        <w:ind w:left="0"/>
      </w:pPr>
    </w:p>
    <w:p w:rsidR="008C7270" w:rsidRDefault="008C7270" w:rsidP="008C7270">
      <w:pPr>
        <w:ind w:left="0"/>
      </w:pPr>
    </w:p>
    <w:p w:rsidR="008C7270" w:rsidRDefault="008C7270" w:rsidP="008C7270">
      <w:pPr>
        <w:ind w:left="0"/>
      </w:pPr>
    </w:p>
    <w:p w:rsidR="008C7270" w:rsidRPr="00BC366B" w:rsidRDefault="00D11EAD" w:rsidP="00BC366B">
      <w:pPr>
        <w:tabs>
          <w:tab w:val="right" w:pos="9360"/>
        </w:tabs>
        <w:ind w:left="0"/>
        <w:rPr>
          <w:rFonts w:cs="Calibri"/>
          <w:b/>
          <w:bCs/>
          <w:sz w:val="36"/>
          <w:szCs w:val="36"/>
        </w:rPr>
      </w:pPr>
      <w:r w:rsidRPr="00BC366B">
        <w:rPr>
          <w:rFonts w:cs="Calibri"/>
          <w:b/>
          <w:bCs/>
          <w:sz w:val="36"/>
          <w:szCs w:val="36"/>
        </w:rPr>
        <w:t xml:space="preserve">Marché n° </w:t>
      </w:r>
      <w:r w:rsidR="00C41311" w:rsidRPr="00BC366B">
        <w:rPr>
          <w:rFonts w:cs="Calibri"/>
          <w:b/>
          <w:bCs/>
          <w:sz w:val="36"/>
          <w:szCs w:val="36"/>
        </w:rPr>
        <w:t>39</w:t>
      </w:r>
      <w:r w:rsidR="008D6F08" w:rsidRPr="00BC366B">
        <w:rPr>
          <w:rFonts w:cs="Calibri"/>
          <w:b/>
          <w:bCs/>
          <w:sz w:val="36"/>
          <w:szCs w:val="36"/>
        </w:rPr>
        <w:t>-</w:t>
      </w:r>
      <w:r w:rsidR="00BC366B" w:rsidRPr="00BC366B">
        <w:rPr>
          <w:rFonts w:cs="Calibri"/>
          <w:b/>
          <w:bCs/>
          <w:sz w:val="36"/>
          <w:szCs w:val="36"/>
        </w:rPr>
        <w:t>2024PI</w:t>
      </w:r>
      <w:r w:rsidR="001311ED">
        <w:rPr>
          <w:rFonts w:cs="Calibri"/>
          <w:b/>
          <w:bCs/>
          <w:sz w:val="36"/>
          <w:szCs w:val="36"/>
        </w:rPr>
        <w:t xml:space="preserve"> – Lot 1</w:t>
      </w:r>
    </w:p>
    <w:p w:rsidR="008C7270" w:rsidRPr="00BC366B" w:rsidRDefault="008C7270" w:rsidP="00BC366B">
      <w:pPr>
        <w:tabs>
          <w:tab w:val="right" w:pos="9360"/>
        </w:tabs>
        <w:ind w:left="0"/>
        <w:rPr>
          <w:rFonts w:cs="Calibri"/>
          <w:b/>
          <w:bCs/>
          <w:sz w:val="36"/>
          <w:szCs w:val="36"/>
        </w:rPr>
      </w:pPr>
    </w:p>
    <w:p w:rsidR="0075666B" w:rsidRPr="00BA73B7" w:rsidRDefault="008C7270" w:rsidP="008C7270">
      <w:pPr>
        <w:tabs>
          <w:tab w:val="right" w:leader="dot" w:pos="9360"/>
        </w:tabs>
        <w:ind w:left="0"/>
        <w:rPr>
          <w:sz w:val="28"/>
          <w:szCs w:val="28"/>
        </w:rPr>
      </w:pPr>
      <w:r w:rsidRPr="00BA73B7">
        <w:rPr>
          <w:sz w:val="28"/>
          <w:szCs w:val="28"/>
        </w:rPr>
        <w:t>Objet du marché :</w:t>
      </w:r>
    </w:p>
    <w:p w:rsidR="00BC366B" w:rsidRPr="00BC366B" w:rsidRDefault="00BC366B" w:rsidP="001311ED">
      <w:pPr>
        <w:tabs>
          <w:tab w:val="right" w:pos="9360"/>
        </w:tabs>
        <w:ind w:left="0"/>
        <w:jc w:val="both"/>
        <w:rPr>
          <w:rFonts w:cs="Calibri"/>
          <w:b/>
          <w:bCs/>
          <w:sz w:val="36"/>
          <w:szCs w:val="36"/>
        </w:rPr>
      </w:pPr>
      <w:r w:rsidRPr="00BC366B">
        <w:rPr>
          <w:rFonts w:cs="Calibri"/>
          <w:b/>
          <w:bCs/>
          <w:sz w:val="36"/>
          <w:szCs w:val="36"/>
        </w:rPr>
        <w:t>Assistance, représentation légale et conseil / consultation juridique pour le pôle juridique de la Caisse Primaire d’Assurance maladie (CPAM) de la Gironde</w:t>
      </w:r>
    </w:p>
    <w:p w:rsidR="0063411B" w:rsidRDefault="0063411B" w:rsidP="008C7270">
      <w:pPr>
        <w:ind w:left="0"/>
      </w:pPr>
    </w:p>
    <w:p w:rsidR="001311ED" w:rsidRPr="00BA73B7" w:rsidRDefault="001311ED" w:rsidP="001311ED">
      <w:pPr>
        <w:tabs>
          <w:tab w:val="right" w:leader="dot" w:pos="9360"/>
        </w:tabs>
        <w:ind w:left="0"/>
        <w:rPr>
          <w:sz w:val="28"/>
          <w:szCs w:val="28"/>
        </w:rPr>
      </w:pPr>
      <w:r>
        <w:rPr>
          <w:sz w:val="28"/>
          <w:szCs w:val="28"/>
        </w:rPr>
        <w:t>Lot n°1</w:t>
      </w:r>
      <w:r w:rsidRPr="00BA73B7">
        <w:rPr>
          <w:sz w:val="28"/>
          <w:szCs w:val="28"/>
        </w:rPr>
        <w:t> :</w:t>
      </w:r>
    </w:p>
    <w:p w:rsidR="001311ED" w:rsidRPr="007C2396" w:rsidRDefault="001311ED" w:rsidP="001311ED">
      <w:pPr>
        <w:autoSpaceDE w:val="0"/>
        <w:autoSpaceDN w:val="0"/>
        <w:adjustRightInd w:val="0"/>
        <w:ind w:left="0"/>
        <w:jc w:val="both"/>
        <w:rPr>
          <w:rFonts w:cs="Calibri"/>
          <w:b/>
          <w:bCs/>
          <w:sz w:val="32"/>
          <w:szCs w:val="32"/>
        </w:rPr>
      </w:pPr>
      <w:r w:rsidRPr="007C2396">
        <w:rPr>
          <w:rFonts w:cs="Calibri"/>
          <w:b/>
          <w:bCs/>
          <w:sz w:val="32"/>
          <w:szCs w:val="32"/>
        </w:rPr>
        <w:t>Assistance juridique, représentation légale et conseil en matière de droit civil, droit administratif, droit pénal, droit de la responsabilité, droit des assurances, droit du dommage corporel, droit de la santé publique et droit processuel, pour le compte du service Recours contre Tiers</w:t>
      </w:r>
    </w:p>
    <w:p w:rsidR="001311ED" w:rsidRDefault="001311ED" w:rsidP="008C7270">
      <w:pPr>
        <w:ind w:left="0"/>
      </w:pPr>
    </w:p>
    <w:p w:rsidR="001311ED" w:rsidRDefault="001311ED" w:rsidP="008C7270">
      <w:pPr>
        <w:ind w:left="0"/>
      </w:pPr>
    </w:p>
    <w:p w:rsidR="008C7270" w:rsidRPr="00A14A2B" w:rsidRDefault="00D11EAD" w:rsidP="008C7270">
      <w:pPr>
        <w:ind w:left="0"/>
        <w:rPr>
          <w:b/>
        </w:rPr>
      </w:pPr>
      <w:r w:rsidRPr="00D11EAD">
        <w:rPr>
          <w:b/>
        </w:rPr>
        <w:t xml:space="preserve">Passé </w:t>
      </w:r>
      <w:r w:rsidR="008C7270" w:rsidRPr="00A14A2B">
        <w:rPr>
          <w:b/>
        </w:rPr>
        <w:t>Entre :</w:t>
      </w:r>
    </w:p>
    <w:p w:rsidR="008C7270" w:rsidRDefault="008C7270" w:rsidP="008C7270">
      <w:pPr>
        <w:ind w:left="0"/>
      </w:pPr>
    </w:p>
    <w:p w:rsidR="008C7270" w:rsidRDefault="008C7270" w:rsidP="008C7270">
      <w:pPr>
        <w:ind w:left="0"/>
      </w:pPr>
      <w:r>
        <w:t>La Caisse primaire d’assurance maladie de la Gironde</w:t>
      </w:r>
    </w:p>
    <w:p w:rsidR="008C7270" w:rsidRDefault="008C7270" w:rsidP="008C7270">
      <w:pPr>
        <w:spacing w:before="120"/>
        <w:ind w:left="0"/>
      </w:pPr>
      <w:r>
        <w:t>Place de l’Europe – 33085 Bordeaux Cedex</w:t>
      </w:r>
    </w:p>
    <w:p w:rsidR="008C7270" w:rsidRDefault="008C7270" w:rsidP="008C7270">
      <w:pPr>
        <w:ind w:left="0"/>
      </w:pPr>
      <w:r>
        <w:t xml:space="preserve">Représentée par Monsieur Philippe CLAUSSIN en sa qualité de Directeur, </w:t>
      </w:r>
    </w:p>
    <w:p w:rsidR="008C7270" w:rsidRDefault="008C7270" w:rsidP="008C7270">
      <w:pPr>
        <w:ind w:left="0"/>
      </w:pPr>
      <w:proofErr w:type="gramStart"/>
      <w:r>
        <w:t>ci</w:t>
      </w:r>
      <w:proofErr w:type="gramEnd"/>
      <w:r>
        <w:t>-après dénommée « l’organisme »,</w:t>
      </w:r>
    </w:p>
    <w:p w:rsidR="008C7270" w:rsidRDefault="008C7270" w:rsidP="008C7270">
      <w:pPr>
        <w:ind w:left="0"/>
      </w:pPr>
    </w:p>
    <w:p w:rsidR="008C7270" w:rsidRDefault="008C7270" w:rsidP="008C7270">
      <w:pPr>
        <w:ind w:left="0"/>
      </w:pPr>
    </w:p>
    <w:p w:rsidR="008C7270" w:rsidRPr="00A14A2B" w:rsidRDefault="008C7270" w:rsidP="008C7270">
      <w:pPr>
        <w:numPr>
          <w:ilvl w:val="12"/>
          <w:numId w:val="0"/>
        </w:numPr>
      </w:pPr>
      <w:proofErr w:type="gramStart"/>
      <w:r w:rsidRPr="00A14A2B">
        <w:rPr>
          <w:b/>
        </w:rPr>
        <w:t>et</w:t>
      </w:r>
      <w:proofErr w:type="gramEnd"/>
      <w:r>
        <w:t xml:space="preserve"> </w:t>
      </w:r>
      <w:r w:rsidRPr="00A14A2B">
        <w:t>:</w:t>
      </w:r>
    </w:p>
    <w:p w:rsidR="008C7270" w:rsidRPr="00441D8D" w:rsidRDefault="008C7270" w:rsidP="008C7270">
      <w:pPr>
        <w:numPr>
          <w:ilvl w:val="12"/>
          <w:numId w:val="0"/>
        </w:numPr>
      </w:pPr>
    </w:p>
    <w:p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ind w:left="0"/>
        <w:rPr>
          <w:rFonts w:cs="Calibri"/>
        </w:rPr>
      </w:pPr>
    </w:p>
    <w:p w:rsidR="008C7270" w:rsidRPr="00E202A1" w:rsidRDefault="008C7270" w:rsidP="008C7270">
      <w:pPr>
        <w:ind w:left="0"/>
        <w:rPr>
          <w:rFonts w:cs="Calibri"/>
        </w:rPr>
      </w:pPr>
      <w:proofErr w:type="gramStart"/>
      <w:r w:rsidRPr="00E202A1">
        <w:rPr>
          <w:rFonts w:cs="Calibri"/>
        </w:rPr>
        <w:t>ci</w:t>
      </w:r>
      <w:proofErr w:type="gramEnd"/>
      <w:r w:rsidRPr="00E202A1">
        <w:rPr>
          <w:rFonts w:cs="Calibri"/>
        </w:rPr>
        <w:t>-après dénommée « le titulaire ».</w:t>
      </w:r>
    </w:p>
    <w:p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rsidR="008C7270" w:rsidRDefault="008C7270" w:rsidP="008C7270">
      <w:pPr>
        <w:ind w:left="0"/>
        <w:rPr>
          <w:b/>
        </w:rPr>
      </w:pPr>
      <w:r>
        <w:rPr>
          <w:b/>
        </w:rPr>
        <w:lastRenderedPageBreak/>
        <w:t>PREAMBULE</w:t>
      </w:r>
    </w:p>
    <w:p w:rsidR="008C7270" w:rsidRPr="006B23A7" w:rsidRDefault="008C7270" w:rsidP="008C7270">
      <w:pPr>
        <w:ind w:left="0"/>
      </w:pPr>
    </w:p>
    <w:p w:rsidR="008C7270" w:rsidRPr="00BA73B7" w:rsidRDefault="008C7270" w:rsidP="008C7270">
      <w:pPr>
        <w:ind w:left="0"/>
        <w:jc w:val="both"/>
        <w:rPr>
          <w:b/>
        </w:rPr>
      </w:pPr>
      <w:r w:rsidRPr="00BA73B7">
        <w:rPr>
          <w:b/>
        </w:rPr>
        <w:t>Etant donné :</w:t>
      </w:r>
    </w:p>
    <w:p w:rsidR="008C7270" w:rsidRDefault="008C7270" w:rsidP="008C7270">
      <w:pPr>
        <w:ind w:left="0"/>
        <w:jc w:val="both"/>
      </w:pPr>
    </w:p>
    <w:p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rsidR="008C7270" w:rsidRDefault="008C7270" w:rsidP="00AD0B01">
      <w:pPr>
        <w:tabs>
          <w:tab w:val="num" w:pos="284"/>
        </w:tabs>
        <w:ind w:left="284" w:hanging="284"/>
        <w:jc w:val="both"/>
      </w:pPr>
    </w:p>
    <w:p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la divulgation du contenu de ces informations, des informations de toute nature relative à l’activité de l’organisme, des informations détenues par l’organisme est susceptible de nuire aux intérêts dudit organisme et de ceux d’autres personnes ;</w:t>
      </w:r>
    </w:p>
    <w:p w:rsidR="008C7270" w:rsidRDefault="008C7270" w:rsidP="008C7270">
      <w:pPr>
        <w:ind w:left="0"/>
        <w:jc w:val="both"/>
      </w:pPr>
    </w:p>
    <w:p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rsidR="008C7270" w:rsidRDefault="008C7270" w:rsidP="008C7270">
      <w:pPr>
        <w:ind w:left="0"/>
        <w:jc w:val="both"/>
      </w:pPr>
    </w:p>
    <w:p w:rsidR="008C7270" w:rsidRDefault="008C7270" w:rsidP="008C7270">
      <w:pPr>
        <w:ind w:left="0"/>
        <w:jc w:val="both"/>
      </w:pPr>
      <w:r>
        <w:t>Vu l’article 226-13 du Code pénal,</w:t>
      </w:r>
    </w:p>
    <w:p w:rsidR="008C7270" w:rsidRDefault="008C7270" w:rsidP="008C7270">
      <w:pPr>
        <w:ind w:left="0"/>
        <w:jc w:val="both"/>
      </w:pPr>
    </w:p>
    <w:p w:rsidR="008C7270" w:rsidRDefault="008C7270" w:rsidP="008C7270">
      <w:pPr>
        <w:ind w:left="0"/>
        <w:jc w:val="both"/>
      </w:pPr>
      <w:r>
        <w:t>Vu les articles 323-1 et suivants du Code pénal sur les intrusions et le maintien frauduleux dans un système informatique,</w:t>
      </w:r>
    </w:p>
    <w:p w:rsidR="008C7270" w:rsidRDefault="008C7270" w:rsidP="008C7270">
      <w:pPr>
        <w:ind w:left="0"/>
        <w:jc w:val="both"/>
      </w:pPr>
    </w:p>
    <w:p w:rsidR="008C7270" w:rsidRDefault="008C7270" w:rsidP="008C7270">
      <w:pPr>
        <w:ind w:left="0"/>
        <w:jc w:val="both"/>
      </w:pPr>
      <w:r>
        <w:t>Il est convenu ce qui suit :</w:t>
      </w:r>
    </w:p>
    <w:p w:rsidR="008C7270" w:rsidRDefault="008C7270" w:rsidP="008C7270">
      <w:pPr>
        <w:ind w:left="0"/>
        <w:jc w:val="both"/>
      </w:pPr>
    </w:p>
    <w:p w:rsidR="008C7270" w:rsidRPr="00E43177" w:rsidRDefault="008C7270" w:rsidP="008C7270">
      <w:pPr>
        <w:pStyle w:val="ARTICLECCAPCCTP"/>
        <w:ind w:left="0" w:firstLine="0"/>
      </w:pPr>
      <w:r w:rsidRPr="00E43177">
        <w:t>OBJET ET ETENDUE DES PRESENTES</w:t>
      </w:r>
    </w:p>
    <w:p w:rsidR="008C7270" w:rsidRPr="007C6AB6" w:rsidRDefault="008C7270" w:rsidP="008C7270">
      <w:pPr>
        <w:autoSpaceDE w:val="0"/>
        <w:autoSpaceDN w:val="0"/>
        <w:adjustRightInd w:val="0"/>
        <w:ind w:left="0"/>
        <w:jc w:val="both"/>
        <w:rPr>
          <w:rFonts w:cs="Times"/>
          <w:b/>
          <w:bCs/>
        </w:rPr>
      </w:pPr>
    </w:p>
    <w:p w:rsidR="008C7270" w:rsidRDefault="008C7270" w:rsidP="008C7270">
      <w:pPr>
        <w:autoSpaceDE w:val="0"/>
        <w:autoSpaceDN w:val="0"/>
        <w:adjustRightInd w:val="0"/>
        <w:ind w:left="0"/>
        <w:jc w:val="both"/>
        <w:rPr>
          <w:rFonts w:cs="Times"/>
        </w:rPr>
      </w:pPr>
      <w:r w:rsidRPr="007C6AB6">
        <w:rPr>
          <w:rFonts w:cs="Times"/>
        </w:rPr>
        <w:t xml:space="preserve">L'objet des présentes </w:t>
      </w:r>
      <w:r>
        <w:rPr>
          <w:rFonts w:cs="Times"/>
        </w:rPr>
        <w:t xml:space="preserve">conditions </w:t>
      </w:r>
      <w:r w:rsidRPr="007C6AB6">
        <w:rPr>
          <w:rFonts w:cs="Times"/>
        </w:rPr>
        <w:t>est d'organiser la protection des informations confidentielles que l’organisme est amené</w:t>
      </w:r>
      <w:r>
        <w:rPr>
          <w:rFonts w:cs="Times"/>
        </w:rPr>
        <w:t xml:space="preserve"> </w:t>
      </w:r>
      <w:r w:rsidRPr="007C6AB6">
        <w:rPr>
          <w:rFonts w:cs="Times"/>
        </w:rPr>
        <w:t xml:space="preserve">à communiquer au </w:t>
      </w:r>
      <w:r>
        <w:rPr>
          <w:rFonts w:cs="Times"/>
        </w:rPr>
        <w:t>titulaire</w:t>
      </w:r>
      <w:r w:rsidRPr="007C6AB6">
        <w:rPr>
          <w:rFonts w:cs="Times"/>
        </w:rPr>
        <w:t xml:space="preserve"> dans le cadre </w:t>
      </w:r>
      <w:r>
        <w:rPr>
          <w:rFonts w:cs="Times"/>
        </w:rPr>
        <w:t>marché</w:t>
      </w:r>
      <w:r w:rsidRPr="007C6AB6">
        <w:rPr>
          <w:rFonts w:cs="Times"/>
        </w:rPr>
        <w:t>.</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En cas de contradiction entre les dispositions des présentes et les dispositions figurant sur les informations</w:t>
      </w:r>
      <w:r>
        <w:rPr>
          <w:rFonts w:cs="Times"/>
        </w:rPr>
        <w:t xml:space="preserve"> </w:t>
      </w:r>
      <w:r w:rsidRPr="007C6AB6">
        <w:rPr>
          <w:rFonts w:cs="Times"/>
        </w:rPr>
        <w:t>confidentielles communiquées, les dispositions du présent contrat ont force de loi entre les parties. Elles</w:t>
      </w:r>
      <w:r>
        <w:rPr>
          <w:rFonts w:cs="Times"/>
        </w:rPr>
        <w:t xml:space="preserve"> </w:t>
      </w:r>
      <w:r w:rsidRPr="007C6AB6">
        <w:rPr>
          <w:rFonts w:cs="Times"/>
        </w:rPr>
        <w:t>s'appliqueront automatiquement à toute information confidentielle communiquée dans le cadre des présentes.</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La résiliation prévue à l’article </w:t>
      </w:r>
      <w:r>
        <w:rPr>
          <w:rFonts w:cs="Times"/>
        </w:rPr>
        <w:t>8</w:t>
      </w:r>
      <w:r w:rsidRPr="007C6AB6">
        <w:rPr>
          <w:rFonts w:cs="Times"/>
        </w:rPr>
        <w:t xml:space="preserve"> des présentes s’applique même en cas de disposition contraire dans le</w:t>
      </w:r>
      <w:r>
        <w:rPr>
          <w:rFonts w:cs="Times"/>
        </w:rPr>
        <w:t xml:space="preserve"> </w:t>
      </w:r>
      <w:r w:rsidRPr="007C6AB6">
        <w:rPr>
          <w:rFonts w:cs="Times"/>
        </w:rPr>
        <w:t xml:space="preserve">contrat désigné </w:t>
      </w:r>
      <w:r>
        <w:rPr>
          <w:rFonts w:cs="Times"/>
        </w:rPr>
        <w:t>en page de garde</w:t>
      </w:r>
      <w:r w:rsidRPr="007C6AB6">
        <w:rPr>
          <w:rFonts w:cs="Times"/>
        </w:rPr>
        <w:t>.</w:t>
      </w:r>
      <w:r>
        <w:rPr>
          <w:rFonts w:cs="Times"/>
        </w:rPr>
        <w:t xml:space="preserve"> </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2</w:t>
      </w:r>
      <w:r>
        <w:tab/>
        <w:t>DEFINITIONS</w:t>
      </w:r>
    </w:p>
    <w:p w:rsidR="008C7270" w:rsidRPr="00E43177" w:rsidRDefault="008C7270" w:rsidP="008C7270">
      <w:pPr>
        <w:autoSpaceDE w:val="0"/>
        <w:autoSpaceDN w:val="0"/>
        <w:adjustRightInd w:val="0"/>
        <w:ind w:left="0"/>
        <w:jc w:val="both"/>
        <w:rPr>
          <w:rFonts w:cs="Times"/>
          <w:b/>
          <w:bCs/>
        </w:rPr>
      </w:pPr>
    </w:p>
    <w:p w:rsidR="008C7270" w:rsidRPr="00E43177" w:rsidRDefault="008C7270" w:rsidP="00BC366B">
      <w:pPr>
        <w:pStyle w:val="Sous-titre1"/>
        <w:tabs>
          <w:tab w:val="num" w:pos="1134"/>
        </w:tabs>
      </w:pPr>
      <w:r>
        <w:t>2.1</w:t>
      </w:r>
      <w:r>
        <w:tab/>
      </w:r>
      <w:r w:rsidRPr="00E43177">
        <w:t>Partie communicante et partie réceptrice</w:t>
      </w:r>
    </w:p>
    <w:p w:rsidR="008C7270" w:rsidRPr="007C6AB6" w:rsidRDefault="008C7270" w:rsidP="00BC366B">
      <w:pPr>
        <w:autoSpaceDE w:val="0"/>
        <w:autoSpaceDN w:val="0"/>
        <w:adjustRightInd w:val="0"/>
        <w:ind w:left="0"/>
        <w:jc w:val="both"/>
        <w:rPr>
          <w:rFonts w:cs="Times"/>
          <w:b/>
          <w:bCs/>
        </w:rPr>
      </w:pPr>
    </w:p>
    <w:p w:rsidR="008C7270" w:rsidRDefault="008C7270" w:rsidP="00BC366B">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rsidR="008C7270" w:rsidRPr="007C6AB6" w:rsidRDefault="008C7270" w:rsidP="00BC366B">
      <w:pPr>
        <w:autoSpaceDE w:val="0"/>
        <w:autoSpaceDN w:val="0"/>
        <w:adjustRightInd w:val="0"/>
        <w:ind w:left="0"/>
        <w:jc w:val="both"/>
        <w:rPr>
          <w:rFonts w:cs="Times"/>
        </w:rPr>
      </w:pPr>
      <w:bookmarkStart w:id="1" w:name="_GoBack"/>
      <w:bookmarkEnd w:id="1"/>
    </w:p>
    <w:p w:rsidR="008C7270" w:rsidRPr="00E43177" w:rsidRDefault="008C7270" w:rsidP="00BC366B">
      <w:pPr>
        <w:pStyle w:val="Sous-titre1"/>
        <w:tabs>
          <w:tab w:val="num" w:pos="1134"/>
        </w:tabs>
      </w:pPr>
      <w:r w:rsidRPr="00E43177">
        <w:t>2.2</w:t>
      </w:r>
      <w:r>
        <w:tab/>
      </w:r>
      <w:r w:rsidRPr="00E43177">
        <w:t>Information confidentielle</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lastRenderedPageBreak/>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rsidR="008C7270" w:rsidRDefault="008C7270" w:rsidP="00BC366B">
      <w:pPr>
        <w:autoSpaceDE w:val="0"/>
        <w:autoSpaceDN w:val="0"/>
        <w:adjustRightInd w:val="0"/>
        <w:ind w:left="0"/>
        <w:jc w:val="both"/>
        <w:rPr>
          <w:rFonts w:cs="Times"/>
        </w:rPr>
      </w:pPr>
    </w:p>
    <w:p w:rsidR="008C7270" w:rsidRDefault="008C7270" w:rsidP="00BC366B">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r>
        <w:rPr>
          <w:rFonts w:cs="Times"/>
        </w:rPr>
        <w:t xml:space="preserve"> «</w:t>
      </w:r>
      <w:r w:rsidR="00BC366B">
        <w:rPr>
          <w:rFonts w:cs="Times"/>
        </w:rPr>
        <w:t xml:space="preserve"> </w:t>
      </w:r>
      <w:r w:rsidRPr="007C6AB6">
        <w:rPr>
          <w:rFonts w:cs="Times"/>
        </w:rPr>
        <w:t>confidentiel ».</w:t>
      </w:r>
    </w:p>
    <w:p w:rsidR="008C7270" w:rsidRDefault="008C7270" w:rsidP="008C7270">
      <w:pPr>
        <w:autoSpaceDE w:val="0"/>
        <w:autoSpaceDN w:val="0"/>
        <w:adjustRightInd w:val="0"/>
        <w:ind w:left="567"/>
        <w:jc w:val="both"/>
        <w:rPr>
          <w:rFonts w:cs="Times"/>
        </w:rPr>
      </w:pPr>
    </w:p>
    <w:p w:rsidR="008C7270" w:rsidRDefault="008C7270" w:rsidP="008C7270">
      <w:pPr>
        <w:autoSpaceDE w:val="0"/>
        <w:autoSpaceDN w:val="0"/>
        <w:adjustRightInd w:val="0"/>
        <w:ind w:left="567"/>
        <w:jc w:val="both"/>
        <w:rPr>
          <w:rFonts w:cs="Times"/>
        </w:rPr>
      </w:pPr>
    </w:p>
    <w:p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rsidR="008C7270" w:rsidRDefault="008C7270" w:rsidP="008C7270">
      <w:pPr>
        <w:autoSpaceDE w:val="0"/>
        <w:autoSpaceDN w:val="0"/>
        <w:adjustRightInd w:val="0"/>
        <w:ind w:left="0"/>
        <w:jc w:val="both"/>
        <w:rPr>
          <w:rFonts w:cs="Times"/>
        </w:rPr>
      </w:pPr>
    </w:p>
    <w:p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rsidR="008C7270" w:rsidRDefault="008C7270" w:rsidP="008C7270">
      <w:pPr>
        <w:snapToGrid w:val="0"/>
        <w:ind w:left="0"/>
        <w:jc w:val="both"/>
      </w:pPr>
    </w:p>
    <w:p w:rsidR="008C7270" w:rsidRDefault="008C7270" w:rsidP="008C7270">
      <w:pPr>
        <w:snapToGrid w:val="0"/>
        <w:ind w:left="0"/>
        <w:jc w:val="both"/>
      </w:pPr>
      <w:r>
        <w:t>Il s’engage également à protéger et à garder strictement confidentiel le contenu et les résultats de la prestation effectuée par l’organisme.</w:t>
      </w:r>
    </w:p>
    <w:p w:rsidR="008C7270" w:rsidRDefault="008C7270" w:rsidP="008C7270">
      <w:pPr>
        <w:snapToGrid w:val="0"/>
        <w:ind w:left="0"/>
        <w:jc w:val="both"/>
      </w:pPr>
    </w:p>
    <w:p w:rsidR="008C7270" w:rsidRDefault="008C7270" w:rsidP="008C7270">
      <w:pPr>
        <w:snapToGrid w:val="0"/>
        <w:ind w:left="0"/>
        <w:jc w:val="both"/>
      </w:pPr>
      <w:r>
        <w:t>Il s’engage à n’utiliser l’information confidentielle qu’aux seules fins de l’exécution de la prestation.</w:t>
      </w:r>
    </w:p>
    <w:p w:rsidR="008C7270" w:rsidRDefault="008C7270" w:rsidP="008C7270">
      <w:pPr>
        <w:snapToGrid w:val="0"/>
        <w:ind w:left="0"/>
        <w:jc w:val="both"/>
      </w:pPr>
    </w:p>
    <w:p w:rsidR="008C7270" w:rsidRDefault="008C7270" w:rsidP="008C7270">
      <w:pPr>
        <w:snapToGrid w:val="0"/>
        <w:ind w:left="0"/>
        <w:jc w:val="both"/>
      </w:pPr>
      <w:r>
        <w:t>Les personnes habilitées par le titulaire à recevoir les informations confidentielles sont :</w:t>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rsidR="008C7270" w:rsidRDefault="008C7270" w:rsidP="008C7270">
      <w:pPr>
        <w:tabs>
          <w:tab w:val="right" w:leader="dot" w:pos="9900"/>
        </w:tabs>
        <w:snapToGrid w:val="0"/>
        <w:ind w:left="0"/>
        <w:jc w:val="both"/>
      </w:pPr>
    </w:p>
    <w:p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rsidR="008C7270" w:rsidRDefault="008C7270" w:rsidP="008C7270">
      <w:pPr>
        <w:tabs>
          <w:tab w:val="right" w:leader="dot" w:pos="9900"/>
        </w:tabs>
        <w:snapToGrid w:val="0"/>
        <w:ind w:left="0"/>
        <w:jc w:val="both"/>
        <w:rPr>
          <w:rFonts w:cs="Arial"/>
          <w:iCs/>
          <w:lang w:val="x-none"/>
        </w:rPr>
      </w:pPr>
    </w:p>
    <w:p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rsidR="008C7270" w:rsidRDefault="008C7270" w:rsidP="008C7270">
      <w:pPr>
        <w:tabs>
          <w:tab w:val="right" w:leader="dot" w:pos="9900"/>
        </w:tabs>
        <w:snapToGrid w:val="0"/>
        <w:ind w:left="0"/>
        <w:jc w:val="both"/>
        <w:rPr>
          <w:rFonts w:cs="Arial"/>
          <w:iCs/>
          <w:lang w:val="x-none"/>
        </w:rPr>
      </w:pPr>
    </w:p>
    <w:p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rsidR="008C7270" w:rsidRDefault="008C7270" w:rsidP="008C7270">
      <w:pPr>
        <w:snapToGrid w:val="0"/>
        <w:ind w:left="0"/>
        <w:jc w:val="both"/>
        <w:rPr>
          <w:rFonts w:cs="Arial"/>
          <w:iCs/>
        </w:rPr>
      </w:pPr>
    </w:p>
    <w:p w:rsidR="008C7270" w:rsidRDefault="008C7270" w:rsidP="008C7270">
      <w:pPr>
        <w:snapToGrid w:val="0"/>
        <w:ind w:left="0"/>
        <w:jc w:val="both"/>
        <w:rPr>
          <w:rFonts w:cs="Arial"/>
          <w:iCs/>
        </w:rPr>
      </w:pPr>
    </w:p>
    <w:p w:rsidR="008C7270" w:rsidRPr="00E43177" w:rsidRDefault="008C7270" w:rsidP="008C7270">
      <w:pPr>
        <w:pStyle w:val="ARTICLECCAPCCTP"/>
        <w:numPr>
          <w:ilvl w:val="0"/>
          <w:numId w:val="0"/>
        </w:numPr>
      </w:pPr>
      <w:r w:rsidRPr="00E43177">
        <w:rPr>
          <w:caps w:val="0"/>
        </w:rPr>
        <w:t>Article</w:t>
      </w:r>
      <w:r>
        <w:t xml:space="preserve"> 4</w:t>
      </w:r>
      <w:r>
        <w:tab/>
        <w:t>limite des presentes</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tombe</w:t>
      </w:r>
      <w:proofErr w:type="gramEnd"/>
      <w:r w:rsidRPr="007C6AB6">
        <w:rPr>
          <w:rFonts w:cs="Times"/>
        </w:rPr>
        <w:t xml:space="preserve"> ou est tombée dans le domaine public sans violation des présentes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est</w:t>
      </w:r>
      <w:proofErr w:type="gramEnd"/>
      <w:r w:rsidRPr="007C6AB6">
        <w:rPr>
          <w:rFonts w:cs="Times"/>
        </w:rPr>
        <w:t xml:space="preserve">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a</w:t>
      </w:r>
      <w:proofErr w:type="gramEnd"/>
      <w:r w:rsidRPr="007C6AB6">
        <w:rPr>
          <w:rFonts w:cs="Times"/>
        </w:rPr>
        <w:t xml:space="preserve"> été reçue d’un tiers de manière licite sans violation du présent accord.</w:t>
      </w:r>
    </w:p>
    <w:p w:rsidR="008C7270" w:rsidRDefault="008C7270" w:rsidP="008C7270">
      <w:pPr>
        <w:autoSpaceDE w:val="0"/>
        <w:autoSpaceDN w:val="0"/>
        <w:adjustRightInd w:val="0"/>
        <w:ind w:left="0"/>
        <w:jc w:val="both"/>
        <w:rPr>
          <w:rFonts w:cs="Times"/>
          <w:b/>
          <w:bCs/>
        </w:rPr>
      </w:pPr>
    </w:p>
    <w:p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rsidR="008C7270" w:rsidRDefault="008C7270" w:rsidP="008C7270">
      <w:pPr>
        <w:autoSpaceDE w:val="0"/>
        <w:autoSpaceDN w:val="0"/>
        <w:adjustRightInd w:val="0"/>
        <w:ind w:left="0"/>
        <w:jc w:val="both"/>
        <w:rPr>
          <w:rFonts w:cs="Times"/>
          <w:b/>
          <w:bCs/>
        </w:rPr>
        <w:sectPr w:rsidR="008C7270" w:rsidSect="008C7270">
          <w:headerReference w:type="default" r:id="rId10"/>
          <w:pgSz w:w="11906" w:h="16838" w:code="9"/>
          <w:pgMar w:top="1134" w:right="1134" w:bottom="1134" w:left="1134" w:header="567" w:footer="284" w:gutter="0"/>
          <w:cols w:space="708"/>
          <w:docGrid w:linePitch="360"/>
        </w:sectPr>
      </w:pPr>
    </w:p>
    <w:p w:rsidR="008C7270" w:rsidRPr="00E43177" w:rsidRDefault="008C7270" w:rsidP="008C7270">
      <w:pPr>
        <w:pStyle w:val="ARTICLECCAPCCTP"/>
        <w:numPr>
          <w:ilvl w:val="0"/>
          <w:numId w:val="0"/>
        </w:numPr>
      </w:pPr>
      <w:r w:rsidRPr="00E43177">
        <w:rPr>
          <w:caps w:val="0"/>
        </w:rPr>
        <w:lastRenderedPageBreak/>
        <w:t>Article</w:t>
      </w:r>
      <w:r>
        <w:t xml:space="preserve"> 5</w:t>
      </w:r>
      <w:r>
        <w:tab/>
        <w:t>injonctions judiciaires ou administratives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rsidR="008C7270" w:rsidRPr="007C6AB6"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C7270">
      <w:pPr>
        <w:pStyle w:val="ARTICLECCAPCCTP"/>
        <w:numPr>
          <w:ilvl w:val="0"/>
          <w:numId w:val="0"/>
        </w:numPr>
      </w:pPr>
      <w:r w:rsidRPr="00E43177">
        <w:rPr>
          <w:caps w:val="0"/>
        </w:rPr>
        <w:t>Article</w:t>
      </w:r>
      <w:r>
        <w:t xml:space="preserve"> 7</w:t>
      </w:r>
      <w:r>
        <w:tab/>
        <w:t>duree</w:t>
      </w:r>
    </w:p>
    <w:p w:rsidR="008C7270" w:rsidRDefault="008C7270" w:rsidP="008C7270">
      <w:pPr>
        <w:autoSpaceDE w:val="0"/>
        <w:autoSpaceDN w:val="0"/>
        <w:adjustRightInd w:val="0"/>
        <w:ind w:left="0"/>
        <w:jc w:val="both"/>
        <w:rPr>
          <w:rFonts w:cs="Times"/>
        </w:rPr>
      </w:pPr>
    </w:p>
    <w:p w:rsidR="00C41311" w:rsidRPr="00BC366B" w:rsidRDefault="00C41311" w:rsidP="00C41311">
      <w:pPr>
        <w:ind w:left="0"/>
        <w:jc w:val="both"/>
        <w:rPr>
          <w:rFonts w:cs="Calibri"/>
        </w:rPr>
      </w:pPr>
      <w:r w:rsidRPr="00BC366B">
        <w:rPr>
          <w:rFonts w:cs="Calibri"/>
        </w:rPr>
        <w:t>Le marché est passé pour une périod</w:t>
      </w:r>
      <w:r w:rsidR="00E11201">
        <w:rPr>
          <w:rFonts w:cs="Calibri"/>
        </w:rPr>
        <w:t xml:space="preserve">e ferme d’un (1) an à compter </w:t>
      </w:r>
      <w:r w:rsidR="00E11201" w:rsidRPr="00E11201">
        <w:rPr>
          <w:rFonts w:cs="Calibri"/>
          <w:b/>
        </w:rPr>
        <w:t>du 03 mars 2025</w:t>
      </w:r>
      <w:r w:rsidRPr="00BC366B">
        <w:rPr>
          <w:rFonts w:cs="Calibri"/>
        </w:rPr>
        <w:t>.</w:t>
      </w:r>
    </w:p>
    <w:p w:rsidR="00C41311" w:rsidRPr="00BC366B" w:rsidRDefault="00C41311" w:rsidP="00C41311">
      <w:pPr>
        <w:jc w:val="both"/>
        <w:rPr>
          <w:rFonts w:cs="Calibri"/>
        </w:rPr>
      </w:pPr>
    </w:p>
    <w:p w:rsidR="00C41311" w:rsidRPr="00BC366B" w:rsidRDefault="00C41311" w:rsidP="00C41311">
      <w:pPr>
        <w:ind w:left="0"/>
        <w:jc w:val="both"/>
        <w:rPr>
          <w:rFonts w:cs="Calibri"/>
        </w:rPr>
      </w:pPr>
      <w:r w:rsidRPr="00BC366B">
        <w:rPr>
          <w:rFonts w:cs="Calibri"/>
        </w:rPr>
        <w:t>Il peut être reconduit trois (3) fois par recond</w:t>
      </w:r>
      <w:r w:rsidR="00BC366B" w:rsidRPr="00BC366B">
        <w:rPr>
          <w:rFonts w:cs="Calibri"/>
        </w:rPr>
        <w:t>uction tacite pour une durée d’</w:t>
      </w:r>
      <w:r w:rsidRPr="00BC366B">
        <w:rPr>
          <w:rFonts w:cs="Calibri"/>
        </w:rPr>
        <w:t>un (1) an à chaque fois. La durée totale du marché ne peut excéder quatre (4) ans.</w:t>
      </w:r>
    </w:p>
    <w:p w:rsidR="00C41311" w:rsidRPr="00BC366B" w:rsidRDefault="00C41311" w:rsidP="00C41311">
      <w:pPr>
        <w:jc w:val="both"/>
        <w:rPr>
          <w:rFonts w:cs="Calibri"/>
        </w:rPr>
      </w:pPr>
    </w:p>
    <w:p w:rsidR="00C41311" w:rsidRPr="00BC366B" w:rsidRDefault="00C41311" w:rsidP="00C41311">
      <w:pPr>
        <w:ind w:left="0"/>
        <w:jc w:val="both"/>
        <w:rPr>
          <w:rFonts w:cs="Calibri"/>
        </w:rPr>
      </w:pPr>
      <w:r w:rsidRPr="00BC366B">
        <w:rPr>
          <w:rFonts w:cs="Calibri"/>
        </w:rPr>
        <w:t>En cas de non-reconduction du marché, les deux parties demeurent liées jusqu'à l’achèvement des obligations contractées pendant la période de validité du marché.</w:t>
      </w:r>
    </w:p>
    <w:p w:rsidR="00C41311" w:rsidRPr="00BC366B" w:rsidRDefault="00C41311" w:rsidP="00C41311">
      <w:pPr>
        <w:jc w:val="both"/>
        <w:rPr>
          <w:rFonts w:cs="Calibri"/>
        </w:rPr>
      </w:pPr>
    </w:p>
    <w:p w:rsidR="00C41311" w:rsidRDefault="00C41311" w:rsidP="00C41311">
      <w:pPr>
        <w:ind w:left="0"/>
        <w:jc w:val="both"/>
        <w:rPr>
          <w:rFonts w:cs="Calibri"/>
        </w:rPr>
      </w:pPr>
      <w:r w:rsidRPr="00BC366B">
        <w:rPr>
          <w:rFonts w:cs="Calibri"/>
        </w:rPr>
        <w:t>En cas de non reconduction, la décision sera notifiée par le pouvoir adjudicateur au titulaire par lettre recommandée avec accusé de réception, deux (2) mois avant l’expiration de la période considérée.</w:t>
      </w:r>
    </w:p>
    <w:p w:rsidR="00C41311" w:rsidRPr="0074190C" w:rsidRDefault="00C41311" w:rsidP="00C41311">
      <w:pPr>
        <w:ind w:left="0"/>
        <w:jc w:val="both"/>
        <w:rPr>
          <w:rFonts w:cs="Calibri"/>
        </w:rPr>
      </w:pPr>
    </w:p>
    <w:p w:rsidR="00BE6B67" w:rsidRPr="00BE6B67" w:rsidRDefault="00BE6B67" w:rsidP="001800EB">
      <w:pPr>
        <w:pStyle w:val="Paragraphedeliste"/>
        <w:ind w:left="0"/>
        <w:jc w:val="both"/>
        <w:rPr>
          <w:rFonts w:asciiTheme="minorHAnsi" w:hAnsiTheme="minorHAnsi" w:cstheme="minorHAnsi"/>
        </w:rPr>
      </w:pPr>
    </w:p>
    <w:p w:rsidR="008C7270" w:rsidRDefault="008C7270" w:rsidP="008C7270">
      <w:pPr>
        <w:ind w:left="0"/>
        <w:rPr>
          <w:rFonts w:cs="Calibri"/>
        </w:rPr>
      </w:pPr>
    </w:p>
    <w:p w:rsidR="008C7270" w:rsidRPr="00E43177" w:rsidRDefault="008C7270" w:rsidP="001800EB">
      <w:pPr>
        <w:pStyle w:val="ARTICLECCAPCCTP"/>
        <w:numPr>
          <w:ilvl w:val="0"/>
          <w:numId w:val="0"/>
        </w:numPr>
      </w:pPr>
      <w:r w:rsidRPr="00E43177">
        <w:rPr>
          <w:caps w:val="0"/>
        </w:rPr>
        <w:lastRenderedPageBreak/>
        <w:t>Article</w:t>
      </w:r>
      <w:r>
        <w:t xml:space="preserve"> 8</w:t>
      </w:r>
      <w:r>
        <w:tab/>
        <w:t>responsabilite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rsidR="008C7270" w:rsidRDefault="008C7270" w:rsidP="008C7270">
      <w:pPr>
        <w:autoSpaceDE w:val="0"/>
        <w:autoSpaceDN w:val="0"/>
        <w:adjustRightInd w:val="0"/>
        <w:ind w:left="0"/>
        <w:jc w:val="both"/>
        <w:rPr>
          <w:rFonts w:cs="Times"/>
        </w:rPr>
      </w:pPr>
    </w:p>
    <w:p w:rsidR="008C7270" w:rsidRPr="007C6AB6" w:rsidRDefault="008C7270" w:rsidP="008C7270">
      <w:pPr>
        <w:autoSpaceDE w:val="0"/>
        <w:autoSpaceDN w:val="0"/>
        <w:adjustRightInd w:val="0"/>
        <w:ind w:left="0"/>
        <w:jc w:val="both"/>
        <w:rPr>
          <w:rFonts w:cs="Times"/>
        </w:rPr>
      </w:pPr>
      <w:r w:rsidRPr="007C6AB6">
        <w:rPr>
          <w:rFonts w:cs="Times"/>
        </w:rPr>
        <w:t>Enfin, l’organisme se réserve le droit de porter plainte avec constitution de partie civile.</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43177" w:rsidRDefault="008C7270" w:rsidP="008D5AAF">
      <w:pPr>
        <w:pStyle w:val="ARTICLECCAPCCTP"/>
        <w:numPr>
          <w:ilvl w:val="0"/>
          <w:numId w:val="0"/>
        </w:numPr>
      </w:pPr>
      <w:r w:rsidRPr="00E43177">
        <w:rPr>
          <w:caps w:val="0"/>
        </w:rPr>
        <w:t>Article</w:t>
      </w:r>
      <w:r>
        <w:t xml:space="preserve"> 9</w:t>
      </w:r>
      <w:r>
        <w:tab/>
        <w:t>reglement des litiges</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l’organisme, devant le Tribunal compétent.</w:t>
      </w: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Default="008C7270" w:rsidP="008C7270">
      <w:pPr>
        <w:autoSpaceDE w:val="0"/>
        <w:autoSpaceDN w:val="0"/>
        <w:adjustRightInd w:val="0"/>
        <w:ind w:left="0"/>
        <w:jc w:val="both"/>
        <w:rPr>
          <w:rFonts w:cs="Times"/>
        </w:rPr>
      </w:pPr>
    </w:p>
    <w:p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rsidR="008C7270" w:rsidRPr="00E202A1" w:rsidRDefault="008C7270" w:rsidP="008C7270">
      <w:pPr>
        <w:tabs>
          <w:tab w:val="left" w:pos="5670"/>
        </w:tabs>
        <w:ind w:left="0"/>
        <w:jc w:val="both"/>
        <w:rPr>
          <w:rFonts w:cs="Calibri"/>
        </w:rPr>
      </w:pPr>
    </w:p>
    <w:p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sidR="00BC366B">
        <w:rPr>
          <w:rFonts w:cs="Calibri"/>
          <w:b/>
        </w:rPr>
        <w:t>Le Directeur</w:t>
      </w:r>
      <w:r w:rsidR="008353C9">
        <w:rPr>
          <w:rFonts w:cs="Calibri"/>
          <w:b/>
        </w:rPr>
        <w:t xml:space="preserve"> de la Stratégie et des Moyens</w:t>
      </w:r>
    </w:p>
    <w:p w:rsidR="008C7270" w:rsidRPr="00E202A1" w:rsidRDefault="008C7270" w:rsidP="008C7270">
      <w:pPr>
        <w:ind w:left="0"/>
        <w:rPr>
          <w:rFonts w:cs="Calibri"/>
          <w:b/>
        </w:rPr>
      </w:pPr>
    </w:p>
    <w:p w:rsidR="008C7270" w:rsidRPr="00E202A1" w:rsidRDefault="008C7270" w:rsidP="008C7270">
      <w:pPr>
        <w:tabs>
          <w:tab w:val="left" w:pos="900"/>
          <w:tab w:val="left" w:pos="5670"/>
          <w:tab w:val="right" w:pos="9000"/>
        </w:tabs>
        <w:ind w:left="0"/>
        <w:rPr>
          <w:rFonts w:cs="Calibri"/>
          <w:b/>
        </w:rPr>
      </w:pPr>
    </w:p>
    <w:p w:rsidR="008C7270" w:rsidRPr="00E202A1" w:rsidRDefault="008C7270" w:rsidP="008C7270">
      <w:pPr>
        <w:tabs>
          <w:tab w:val="left" w:pos="900"/>
          <w:tab w:val="left" w:pos="5670"/>
          <w:tab w:val="right" w:pos="9000"/>
        </w:tabs>
        <w:ind w:left="0"/>
        <w:rPr>
          <w:rFonts w:cs="Calibri"/>
          <w:b/>
        </w:rPr>
      </w:pPr>
    </w:p>
    <w:p w:rsidR="008C7270" w:rsidRPr="00E202A1" w:rsidRDefault="008C7270" w:rsidP="008C7270">
      <w:pPr>
        <w:tabs>
          <w:tab w:val="left" w:pos="5670"/>
        </w:tabs>
        <w:ind w:left="0"/>
        <w:jc w:val="both"/>
        <w:rPr>
          <w:rFonts w:cs="Calibri"/>
          <w:b/>
        </w:rPr>
      </w:pPr>
      <w:r w:rsidRPr="00E202A1">
        <w:rPr>
          <w:rFonts w:cs="Calibri"/>
          <w:b/>
        </w:rPr>
        <w:t>Signature et cachet du candidat</w:t>
      </w:r>
      <w:r w:rsidRPr="00E202A1">
        <w:rPr>
          <w:rFonts w:cs="Calibri"/>
          <w:b/>
        </w:rPr>
        <w:tab/>
      </w:r>
      <w:r w:rsidR="00BC366B">
        <w:rPr>
          <w:rFonts w:cs="Calibri"/>
          <w:b/>
          <w:bCs/>
        </w:rPr>
        <w:t>Julien LACROIX</w:t>
      </w:r>
      <w:r>
        <w:rPr>
          <w:rFonts w:cs="Calibri"/>
          <w:b/>
          <w:bCs/>
        </w:rPr>
        <w:t xml:space="preserve"> </w:t>
      </w:r>
    </w:p>
    <w:p w:rsidR="008C7270" w:rsidRPr="00E202A1" w:rsidRDefault="008C7270" w:rsidP="008C7270">
      <w:pPr>
        <w:autoSpaceDE w:val="0"/>
        <w:autoSpaceDN w:val="0"/>
        <w:adjustRightInd w:val="0"/>
        <w:ind w:left="0"/>
        <w:jc w:val="both"/>
        <w:rPr>
          <w:rFonts w:cs="Calibri"/>
          <w:b/>
        </w:rPr>
      </w:pPr>
    </w:p>
    <w:p w:rsidR="003B5F99" w:rsidRPr="005716C7" w:rsidRDefault="003B5F99" w:rsidP="008C7270">
      <w:pPr>
        <w:ind w:left="0"/>
        <w:rPr>
          <w:rFonts w:asciiTheme="minorHAnsi" w:hAnsiTheme="minorHAnsi" w:cstheme="minorHAnsi"/>
        </w:rPr>
      </w:pPr>
    </w:p>
    <w:sectPr w:rsidR="003B5F99" w:rsidRPr="005716C7" w:rsidSect="008C7270">
      <w:headerReference w:type="default" r:id="rId11"/>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349" w:rsidRDefault="00260349" w:rsidP="003C706A">
      <w:r>
        <w:separator/>
      </w:r>
    </w:p>
  </w:endnote>
  <w:endnote w:type="continuationSeparator" w:id="0">
    <w:p w:rsidR="00260349" w:rsidRDefault="00260349"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8C7270" w:rsidP="00033FF1">
    <w:pPr>
      <w:pStyle w:val="Pieddepage"/>
      <w:rPr>
        <w:rFonts w:cs="Calibri"/>
        <w:sz w:val="2"/>
        <w:szCs w:val="2"/>
      </w:rPr>
    </w:pPr>
  </w:p>
  <w:p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rsidTr="00B757F9">
      <w:trPr>
        <w:trHeight w:val="983"/>
      </w:trPr>
      <w:tc>
        <w:tcPr>
          <w:tcW w:w="1701" w:type="dxa"/>
          <w:shd w:val="clear" w:color="auto" w:fill="auto"/>
          <w:vAlign w:val="center"/>
        </w:tcPr>
        <w:p w:rsidR="008C7270" w:rsidRPr="0028267B" w:rsidRDefault="00BC366B" w:rsidP="00B757F9">
          <w:pPr>
            <w:pStyle w:val="Pieddepage"/>
            <w:tabs>
              <w:tab w:val="clear" w:pos="9072"/>
              <w:tab w:val="right" w:pos="9639"/>
            </w:tabs>
            <w:rPr>
              <w:rFonts w:cs="Calibri"/>
              <w:sz w:val="12"/>
              <w:szCs w:val="12"/>
            </w:rPr>
          </w:pPr>
          <w:r>
            <w:rPr>
              <w:noProof/>
            </w:rPr>
            <w:drawing>
              <wp:anchor distT="0" distB="0" distL="114300" distR="114300" simplePos="0" relativeHeight="251687424" behindDoc="1" locked="0" layoutInCell="1" allowOverlap="1" wp14:anchorId="4533546A" wp14:editId="5D3A30AF">
                <wp:simplePos x="0" y="0"/>
                <wp:positionH relativeFrom="margin">
                  <wp:posOffset>-67310</wp:posOffset>
                </wp:positionH>
                <wp:positionV relativeFrom="margin">
                  <wp:posOffset>36830</wp:posOffset>
                </wp:positionV>
                <wp:extent cx="1483995" cy="341630"/>
                <wp:effectExtent l="0" t="0" r="1905"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8C7270" w:rsidRDefault="008C7270" w:rsidP="00AC46CC">
          <w:pPr>
            <w:ind w:left="0"/>
            <w:jc w:val="right"/>
            <w:rPr>
              <w:sz w:val="12"/>
              <w:szCs w:val="12"/>
            </w:rPr>
          </w:pPr>
        </w:p>
        <w:p w:rsidR="00BC366B" w:rsidRPr="00BC366B" w:rsidRDefault="00BC366B" w:rsidP="00BC366B">
          <w:pPr>
            <w:ind w:left="1026"/>
            <w:contextualSpacing/>
            <w:jc w:val="right"/>
            <w:rPr>
              <w:rFonts w:asciiTheme="minorHAnsi" w:hAnsiTheme="minorHAnsi" w:cstheme="minorHAnsi"/>
              <w:bCs/>
              <w:sz w:val="12"/>
              <w:szCs w:val="12"/>
            </w:rPr>
          </w:pPr>
          <w:r w:rsidRPr="00BC366B">
            <w:rPr>
              <w:rFonts w:asciiTheme="minorHAnsi" w:hAnsiTheme="minorHAnsi" w:cstheme="minorHAnsi"/>
              <w:bCs/>
              <w:sz w:val="12"/>
              <w:szCs w:val="12"/>
            </w:rPr>
            <w:t>Assistance juridique, représentation légale et conseil / consultation juridique pour la CPAM de la Gironde</w:t>
          </w:r>
        </w:p>
        <w:p w:rsidR="00BC366B" w:rsidRPr="00BC366B" w:rsidRDefault="00BC366B" w:rsidP="00BC366B">
          <w:pPr>
            <w:ind w:left="0"/>
            <w:contextualSpacing/>
            <w:jc w:val="right"/>
            <w:rPr>
              <w:rFonts w:asciiTheme="minorHAnsi" w:hAnsiTheme="minorHAnsi" w:cstheme="minorHAnsi"/>
              <w:bCs/>
              <w:sz w:val="12"/>
              <w:szCs w:val="12"/>
            </w:rPr>
          </w:pPr>
          <w:r w:rsidRPr="00BC366B">
            <w:rPr>
              <w:rFonts w:asciiTheme="minorHAnsi" w:hAnsiTheme="minorHAnsi" w:cstheme="minorHAnsi"/>
              <w:bCs/>
              <w:sz w:val="12"/>
              <w:szCs w:val="12"/>
            </w:rPr>
            <w:t xml:space="preserve">MAPA n°39_2024PI </w:t>
          </w:r>
        </w:p>
        <w:p w:rsidR="00BC366B" w:rsidRPr="00BC366B" w:rsidRDefault="00BC366B" w:rsidP="00BC366B">
          <w:pPr>
            <w:ind w:left="34"/>
            <w:contextualSpacing/>
            <w:jc w:val="right"/>
            <w:rPr>
              <w:rFonts w:cs="Calibri"/>
              <w:bCs/>
              <w:i/>
              <w:sz w:val="12"/>
              <w:szCs w:val="12"/>
            </w:rPr>
          </w:pPr>
          <w:r>
            <w:rPr>
              <w:rFonts w:cs="Calibri"/>
              <w:bCs/>
              <w:i/>
              <w:sz w:val="12"/>
              <w:szCs w:val="12"/>
            </w:rPr>
            <w:t>Acte Contractuel de Confidentialité (ACC) - Lot 1</w:t>
          </w:r>
        </w:p>
        <w:p w:rsidR="008C7270" w:rsidRPr="0028267B" w:rsidRDefault="00BC366B" w:rsidP="00BC366B">
          <w:pPr>
            <w:ind w:left="0"/>
            <w:jc w:val="right"/>
            <w:rPr>
              <w:rFonts w:cs="Calibri"/>
              <w:sz w:val="12"/>
              <w:szCs w:val="12"/>
            </w:rPr>
          </w:pPr>
          <w:r w:rsidRPr="00BC366B">
            <w:rPr>
              <w:rFonts w:cs="Calibri"/>
              <w:sz w:val="12"/>
              <w:szCs w:val="12"/>
            </w:rPr>
            <w:t xml:space="preserve">Page </w:t>
          </w:r>
          <w:r w:rsidRPr="00BC366B">
            <w:rPr>
              <w:rFonts w:cs="Calibri"/>
              <w:sz w:val="12"/>
              <w:szCs w:val="12"/>
            </w:rPr>
            <w:fldChar w:fldCharType="begin"/>
          </w:r>
          <w:r w:rsidRPr="00BC366B">
            <w:rPr>
              <w:rFonts w:cs="Calibri"/>
              <w:sz w:val="12"/>
              <w:szCs w:val="12"/>
            </w:rPr>
            <w:instrText xml:space="preserve"> PAGE </w:instrText>
          </w:r>
          <w:r w:rsidRPr="00BC366B">
            <w:rPr>
              <w:rFonts w:cs="Calibri"/>
              <w:sz w:val="12"/>
              <w:szCs w:val="12"/>
            </w:rPr>
            <w:fldChar w:fldCharType="separate"/>
          </w:r>
          <w:r w:rsidR="0083643D">
            <w:rPr>
              <w:rFonts w:cs="Calibri"/>
              <w:noProof/>
              <w:sz w:val="12"/>
              <w:szCs w:val="12"/>
            </w:rPr>
            <w:t>5</w:t>
          </w:r>
          <w:r w:rsidRPr="00BC366B">
            <w:rPr>
              <w:rFonts w:cs="Calibri"/>
              <w:sz w:val="12"/>
              <w:szCs w:val="12"/>
            </w:rPr>
            <w:fldChar w:fldCharType="end"/>
          </w:r>
          <w:r w:rsidRPr="00BC366B">
            <w:rPr>
              <w:rFonts w:cs="Calibri"/>
              <w:sz w:val="12"/>
              <w:szCs w:val="12"/>
            </w:rPr>
            <w:t>/</w:t>
          </w:r>
          <w:r w:rsidRPr="00BC366B">
            <w:rPr>
              <w:rFonts w:cs="Calibri"/>
              <w:sz w:val="12"/>
              <w:szCs w:val="12"/>
            </w:rPr>
            <w:fldChar w:fldCharType="begin"/>
          </w:r>
          <w:r w:rsidRPr="00BC366B">
            <w:rPr>
              <w:rFonts w:cs="Calibri"/>
              <w:sz w:val="12"/>
              <w:szCs w:val="12"/>
            </w:rPr>
            <w:instrText xml:space="preserve"> NUMPAGES </w:instrText>
          </w:r>
          <w:r w:rsidRPr="00BC366B">
            <w:rPr>
              <w:rFonts w:cs="Calibri"/>
              <w:sz w:val="12"/>
              <w:szCs w:val="12"/>
            </w:rPr>
            <w:fldChar w:fldCharType="separate"/>
          </w:r>
          <w:r w:rsidR="0083643D">
            <w:rPr>
              <w:rFonts w:cs="Calibri"/>
              <w:noProof/>
              <w:sz w:val="12"/>
              <w:szCs w:val="12"/>
            </w:rPr>
            <w:t>5</w:t>
          </w:r>
          <w:r w:rsidRPr="00BC366B">
            <w:rPr>
              <w:rFonts w:cs="Calibri"/>
              <w:sz w:val="12"/>
              <w:szCs w:val="12"/>
            </w:rPr>
            <w:fldChar w:fldCharType="end"/>
          </w:r>
        </w:p>
      </w:tc>
    </w:tr>
  </w:tbl>
  <w:p w:rsidR="008C7270" w:rsidRPr="00E37B15" w:rsidRDefault="008C7270" w:rsidP="008C7270">
    <w:pPr>
      <w:pStyle w:val="Pieddepage"/>
      <w:rPr>
        <w:sz w:val="2"/>
        <w:szCs w:val="2"/>
      </w:rPr>
    </w:pPr>
  </w:p>
  <w:p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349" w:rsidRDefault="00260349" w:rsidP="003C706A">
      <w:r>
        <w:separator/>
      </w:r>
    </w:p>
  </w:footnote>
  <w:footnote w:type="continuationSeparator" w:id="0">
    <w:p w:rsidR="00260349" w:rsidRDefault="00260349"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Pr="008C7270" w:rsidRDefault="00BC366B" w:rsidP="008C7270">
    <w:pPr>
      <w:pStyle w:val="En-tte"/>
      <w:ind w:left="0"/>
    </w:pPr>
    <w:r>
      <w:rPr>
        <w:noProof/>
      </w:rPr>
      <w:drawing>
        <wp:anchor distT="0" distB="0" distL="114300" distR="114300" simplePos="0" relativeHeight="251686400" behindDoc="1" locked="0" layoutInCell="1" allowOverlap="1" wp14:anchorId="0614D3CA" wp14:editId="680D949E">
          <wp:simplePos x="0" y="0"/>
          <wp:positionH relativeFrom="margin">
            <wp:posOffset>0</wp:posOffset>
          </wp:positionH>
          <wp:positionV relativeFrom="margin">
            <wp:posOffset>-360045</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270" w:rsidRDefault="008C727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6"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2"/>
  </w:num>
  <w:num w:numId="2">
    <w:abstractNumId w:val="6"/>
  </w:num>
  <w:num w:numId="3">
    <w:abstractNumId w:val="2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
  </w:num>
  <w:num w:numId="8">
    <w:abstractNumId w:val="2"/>
  </w:num>
  <w:num w:numId="9">
    <w:abstractNumId w:val="3"/>
  </w:num>
  <w:num w:numId="10">
    <w:abstractNumId w:val="4"/>
  </w:num>
  <w:num w:numId="11">
    <w:abstractNumId w:val="20"/>
  </w:num>
  <w:num w:numId="12">
    <w:abstractNumId w:val="25"/>
  </w:num>
  <w:num w:numId="13">
    <w:abstractNumId w:val="8"/>
  </w:num>
  <w:num w:numId="14">
    <w:abstractNumId w:val="12"/>
  </w:num>
  <w:num w:numId="15">
    <w:abstractNumId w:val="19"/>
  </w:num>
  <w:num w:numId="16">
    <w:abstractNumId w:val="27"/>
  </w:num>
  <w:num w:numId="17">
    <w:abstractNumId w:val="18"/>
  </w:num>
  <w:num w:numId="18">
    <w:abstractNumId w:val="13"/>
  </w:num>
  <w:num w:numId="19">
    <w:abstractNumId w:val="11"/>
  </w:num>
  <w:num w:numId="20">
    <w:abstractNumId w:val="14"/>
  </w:num>
  <w:num w:numId="21">
    <w:abstractNumId w:val="10"/>
  </w:num>
  <w:num w:numId="22">
    <w:abstractNumId w:val="16"/>
  </w:num>
  <w:num w:numId="23">
    <w:abstractNumId w:val="24"/>
  </w:num>
  <w:num w:numId="24">
    <w:abstractNumId w:val="17"/>
  </w:num>
  <w:num w:numId="25">
    <w:abstractNumId w:val="26"/>
  </w:num>
  <w:num w:numId="26">
    <w:abstractNumId w:val="23"/>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5"/>
  </w:num>
  <w:num w:numId="29">
    <w:abstractNumId w:val="9"/>
  </w:num>
  <w:num w:numId="30">
    <w:abstractNumId w:val="21"/>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631CA"/>
    <w:rsid w:val="000B1D7F"/>
    <w:rsid w:val="000D2146"/>
    <w:rsid w:val="001311ED"/>
    <w:rsid w:val="00144568"/>
    <w:rsid w:val="001454A2"/>
    <w:rsid w:val="001800EB"/>
    <w:rsid w:val="00185409"/>
    <w:rsid w:val="00197DBC"/>
    <w:rsid w:val="001A27AD"/>
    <w:rsid w:val="001C2ABA"/>
    <w:rsid w:val="001C7726"/>
    <w:rsid w:val="001D243E"/>
    <w:rsid w:val="001F66C7"/>
    <w:rsid w:val="00231FC4"/>
    <w:rsid w:val="00260349"/>
    <w:rsid w:val="00264097"/>
    <w:rsid w:val="00265928"/>
    <w:rsid w:val="002722B7"/>
    <w:rsid w:val="002A2EB1"/>
    <w:rsid w:val="002F2E35"/>
    <w:rsid w:val="002F3EEC"/>
    <w:rsid w:val="002F616A"/>
    <w:rsid w:val="003315A9"/>
    <w:rsid w:val="003477D7"/>
    <w:rsid w:val="00375BE3"/>
    <w:rsid w:val="003B5F99"/>
    <w:rsid w:val="003C5F00"/>
    <w:rsid w:val="003C706A"/>
    <w:rsid w:val="003E3505"/>
    <w:rsid w:val="003F0D50"/>
    <w:rsid w:val="00457921"/>
    <w:rsid w:val="004F1F2C"/>
    <w:rsid w:val="004F6D4C"/>
    <w:rsid w:val="00545539"/>
    <w:rsid w:val="00555884"/>
    <w:rsid w:val="00570F1A"/>
    <w:rsid w:val="005716C7"/>
    <w:rsid w:val="005A27FF"/>
    <w:rsid w:val="005D62CB"/>
    <w:rsid w:val="005F5762"/>
    <w:rsid w:val="00612AD0"/>
    <w:rsid w:val="006276B4"/>
    <w:rsid w:val="0063411B"/>
    <w:rsid w:val="00665D34"/>
    <w:rsid w:val="006A7A47"/>
    <w:rsid w:val="006B4588"/>
    <w:rsid w:val="006C000B"/>
    <w:rsid w:val="006C5F2E"/>
    <w:rsid w:val="007138E0"/>
    <w:rsid w:val="00750450"/>
    <w:rsid w:val="0075666B"/>
    <w:rsid w:val="007C2396"/>
    <w:rsid w:val="007D221C"/>
    <w:rsid w:val="007D50F6"/>
    <w:rsid w:val="00807260"/>
    <w:rsid w:val="008353C9"/>
    <w:rsid w:val="0083643D"/>
    <w:rsid w:val="008612A3"/>
    <w:rsid w:val="008639D1"/>
    <w:rsid w:val="00873329"/>
    <w:rsid w:val="008B2A07"/>
    <w:rsid w:val="008C7270"/>
    <w:rsid w:val="008D5AAF"/>
    <w:rsid w:val="008D6F08"/>
    <w:rsid w:val="008E68D0"/>
    <w:rsid w:val="00915639"/>
    <w:rsid w:val="00925561"/>
    <w:rsid w:val="00965B56"/>
    <w:rsid w:val="009928E9"/>
    <w:rsid w:val="009B4E3B"/>
    <w:rsid w:val="009D0A66"/>
    <w:rsid w:val="009F22F2"/>
    <w:rsid w:val="00A01D91"/>
    <w:rsid w:val="00A03C0A"/>
    <w:rsid w:val="00AA097E"/>
    <w:rsid w:val="00AC46CC"/>
    <w:rsid w:val="00AD0B01"/>
    <w:rsid w:val="00AE0A3E"/>
    <w:rsid w:val="00AE79DC"/>
    <w:rsid w:val="00B139F6"/>
    <w:rsid w:val="00BC366B"/>
    <w:rsid w:val="00BC71EF"/>
    <w:rsid w:val="00BE6B67"/>
    <w:rsid w:val="00C22E09"/>
    <w:rsid w:val="00C27C93"/>
    <w:rsid w:val="00C41311"/>
    <w:rsid w:val="00C854BB"/>
    <w:rsid w:val="00CB1011"/>
    <w:rsid w:val="00CB4A2E"/>
    <w:rsid w:val="00D00E3F"/>
    <w:rsid w:val="00D039B2"/>
    <w:rsid w:val="00D11EAD"/>
    <w:rsid w:val="00D25D61"/>
    <w:rsid w:val="00D3213F"/>
    <w:rsid w:val="00DC7F1E"/>
    <w:rsid w:val="00E061BF"/>
    <w:rsid w:val="00E11201"/>
    <w:rsid w:val="00E11542"/>
    <w:rsid w:val="00E3724C"/>
    <w:rsid w:val="00E47E15"/>
    <w:rsid w:val="00E80257"/>
    <w:rsid w:val="00ED634F"/>
    <w:rsid w:val="00EF63F4"/>
    <w:rsid w:val="00F07A60"/>
    <w:rsid w:val="00F20DBB"/>
    <w:rsid w:val="00F21C33"/>
    <w:rsid w:val="00F43AD6"/>
    <w:rsid w:val="00F53048"/>
    <w:rsid w:val="00F73206"/>
    <w:rsid w:val="00FA484A"/>
    <w:rsid w:val="00FC3915"/>
    <w:rsid w:val="00FD6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C8FCBE2"/>
  <w15:docId w15:val="{67376282-AC56-4E43-86A4-EFD081052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basedOn w:val="Policepardfaut"/>
    <w:link w:val="Paragraphedeliste"/>
    <w:uiPriority w:val="34"/>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semiHidden/>
    <w:unhideWhenUsed/>
    <w:rsid w:val="001454A2"/>
    <w:rPr>
      <w:sz w:val="16"/>
      <w:szCs w:val="16"/>
    </w:rPr>
  </w:style>
  <w:style w:type="paragraph" w:styleId="Commentaire">
    <w:name w:val="annotation text"/>
    <w:basedOn w:val="Normal"/>
    <w:link w:val="CommentaireCar"/>
    <w:uiPriority w:val="99"/>
    <w:semiHidden/>
    <w:unhideWhenUsed/>
    <w:rsid w:val="001454A2"/>
  </w:style>
  <w:style w:type="character" w:customStyle="1" w:styleId="CommentaireCar">
    <w:name w:val="Commentaire Car"/>
    <w:basedOn w:val="Policepardfaut"/>
    <w:link w:val="Commentaire"/>
    <w:uiPriority w:val="99"/>
    <w:semiHidden/>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ABAA0-E4EB-4670-A93A-7EB304254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1632</Words>
  <Characters>8980</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SAPHORE CELINE (CPAM GIRONDE)</cp:lastModifiedBy>
  <cp:revision>6</cp:revision>
  <cp:lastPrinted>2019-03-29T13:08:00Z</cp:lastPrinted>
  <dcterms:created xsi:type="dcterms:W3CDTF">2024-12-11T10:20:00Z</dcterms:created>
  <dcterms:modified xsi:type="dcterms:W3CDTF">2025-01-07T11:12:00Z</dcterms:modified>
</cp:coreProperties>
</file>