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F1D61" w14:textId="77777777" w:rsidR="00FE51D7" w:rsidRDefault="00FE51D7" w:rsidP="00FE51D7">
      <w:r>
        <w:rPr>
          <w:noProof/>
          <w:lang w:eastAsia="fr-FR"/>
        </w:rPr>
        <mc:AlternateContent>
          <mc:Choice Requires="wps">
            <w:drawing>
              <wp:anchor distT="0" distB="0" distL="114300" distR="114300" simplePos="0" relativeHeight="251659264" behindDoc="0" locked="0" layoutInCell="1" allowOverlap="1" wp14:anchorId="5BCDF9B0" wp14:editId="07F0C316">
                <wp:simplePos x="0" y="0"/>
                <wp:positionH relativeFrom="column">
                  <wp:posOffset>0</wp:posOffset>
                </wp:positionH>
                <wp:positionV relativeFrom="paragraph">
                  <wp:posOffset>-414655</wp:posOffset>
                </wp:positionV>
                <wp:extent cx="1728470" cy="31051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28470" cy="310515"/>
                        </a:xfrm>
                        <a:prstGeom prst="rect">
                          <a:avLst/>
                        </a:prstGeom>
                        <a:noFill/>
                      </wps:spPr>
                      <wps:txbx>
                        <w:txbxContent>
                          <w:p w14:paraId="041792E9" w14:textId="77777777" w:rsidR="00FE51D7" w:rsidRDefault="00FE51D7" w:rsidP="00FE51D7">
                            <w:pPr>
                              <w:textAlignment w:val="baseline"/>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BCDF9B0" id="_x0000_t202" coordsize="21600,21600" o:spt="202" path="m,l,21600r21600,l21600,xe">
                <v:stroke joinstyle="miter"/>
                <v:path gradientshapeok="t" o:connecttype="rect"/>
              </v:shapetype>
              <v:shape id="Zone de texte 14" o:spid="_x0000_s1026" type="#_x0000_t202" style="position:absolute;margin-left:0;margin-top:-32.65pt;width:136.1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" filled="f" stroked="f">
                <v:textbox style="mso-fit-shape-to-text:t">
                  <w:txbxContent>
                    <w:p w14:paraId="041792E9" w14:textId="77777777" w:rsidR="00FE51D7" w:rsidRDefault="00FE51D7" w:rsidP="00FE51D7">
                      <w:pPr>
                        <w:textAlignment w:val="baseline"/>
                      </w:pPr>
                    </w:p>
                  </w:txbxContent>
                </v:textbox>
              </v:shape>
            </w:pict>
          </mc:Fallback>
        </mc:AlternateContent>
      </w:r>
    </w:p>
    <w:p w14:paraId="63E6FBF6" w14:textId="77777777" w:rsidR="00FE51D7" w:rsidRDefault="00FE51D7" w:rsidP="00FE51D7">
      <w:r w:rsidRPr="00044056">
        <w:rPr>
          <w:noProof/>
          <w:lang w:eastAsia="fr-FR"/>
        </w:rPr>
        <w:drawing>
          <wp:anchor distT="0" distB="0" distL="114300" distR="114300" simplePos="0" relativeHeight="251660288" behindDoc="0" locked="0" layoutInCell="1" allowOverlap="1" wp14:anchorId="3A78D6EB" wp14:editId="48D9CA7D">
            <wp:simplePos x="0" y="0"/>
            <wp:positionH relativeFrom="margin">
              <wp:align>center</wp:align>
            </wp:positionH>
            <wp:positionV relativeFrom="paragraph">
              <wp:posOffset>9525</wp:posOffset>
            </wp:positionV>
            <wp:extent cx="1147445" cy="110426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7445" cy="1104265"/>
                    </a:xfrm>
                    <a:prstGeom prst="rect">
                      <a:avLst/>
                    </a:prstGeom>
                  </pic:spPr>
                </pic:pic>
              </a:graphicData>
            </a:graphic>
          </wp:anchor>
        </w:drawing>
      </w:r>
    </w:p>
    <w:p w14:paraId="2F5CF186" w14:textId="77777777" w:rsidR="00FE51D7" w:rsidRDefault="00FE51D7" w:rsidP="00FE51D7"/>
    <w:p w14:paraId="1BAA5D66" w14:textId="77777777" w:rsidR="00FE51D7" w:rsidRDefault="00FE51D7" w:rsidP="00FE51D7"/>
    <w:p w14:paraId="71CDE2F9" w14:textId="77777777" w:rsidR="00FE51D7" w:rsidRDefault="00FE51D7" w:rsidP="00FE51D7"/>
    <w:p w14:paraId="02897142" w14:textId="77777777" w:rsidR="00FE51D7" w:rsidRDefault="00FE51D7" w:rsidP="00FE51D7"/>
    <w:p w14:paraId="6DCA9BC2" w14:textId="77777777" w:rsidR="00FE51D7" w:rsidRDefault="00FE51D7" w:rsidP="00FE51D7"/>
    <w:p w14:paraId="10C656D2" w14:textId="77777777" w:rsidR="00FE51D7" w:rsidRDefault="00FE51D7" w:rsidP="00FE51D7"/>
    <w:p w14:paraId="23FD6BB7" w14:textId="77777777" w:rsidR="00FE51D7" w:rsidRPr="00340702" w:rsidRDefault="00FE51D7" w:rsidP="00FE51D7">
      <w:pPr>
        <w:tabs>
          <w:tab w:val="left" w:pos="6960"/>
        </w:tabs>
        <w:spacing w:before="120" w:after="120" w:line="264" w:lineRule="auto"/>
        <w:rPr>
          <w:rFonts w:ascii="Arial" w:eastAsia="Times New Roman" w:hAnsi="Arial" w:cs="Arial"/>
          <w:snapToGrid w:val="0"/>
          <w:lang w:eastAsia="fr-FR"/>
        </w:rPr>
      </w:pPr>
    </w:p>
    <w:p w14:paraId="4C1A1283" w14:textId="77777777" w:rsidR="00FE51D7" w:rsidRPr="00340702" w:rsidRDefault="00FE51D7" w:rsidP="00FE51D7">
      <w:pPr>
        <w:tabs>
          <w:tab w:val="left" w:pos="6960"/>
        </w:tabs>
        <w:spacing w:before="120" w:after="120" w:line="264" w:lineRule="auto"/>
        <w:rPr>
          <w:rFonts w:ascii="Arial" w:eastAsia="Times New Roman" w:hAnsi="Arial" w:cs="Arial"/>
          <w:snapToGrid w:val="0"/>
          <w:lang w:eastAsia="fr-FR"/>
        </w:rPr>
      </w:pPr>
    </w:p>
    <w:p w14:paraId="1F450CED" w14:textId="77777777" w:rsidR="00FE51D7" w:rsidRPr="00FE51D7" w:rsidRDefault="00FE51D7" w:rsidP="00FE51D7">
      <w:pPr>
        <w:pBdr>
          <w:top w:val="single" w:sz="4" w:space="1" w:color="auto"/>
          <w:left w:val="single" w:sz="4" w:space="4" w:color="auto"/>
          <w:bottom w:val="single" w:sz="4" w:space="1" w:color="auto"/>
          <w:right w:val="single" w:sz="4" w:space="0" w:color="auto"/>
        </w:pBdr>
        <w:spacing w:before="120" w:after="120" w:line="264" w:lineRule="auto"/>
        <w:jc w:val="center"/>
        <w:rPr>
          <w:rFonts w:ascii="Arial" w:eastAsia="Times New Roman" w:hAnsi="Arial" w:cs="Arial"/>
          <w:b/>
          <w:snapToGrid w:val="0"/>
          <w:sz w:val="28"/>
          <w:lang w:eastAsia="fr-FR"/>
        </w:rPr>
      </w:pPr>
      <w:r w:rsidRPr="00FE51D7">
        <w:rPr>
          <w:rFonts w:ascii="Arial" w:eastAsia="Times New Roman" w:hAnsi="Arial" w:cs="Arial"/>
          <w:b/>
          <w:snapToGrid w:val="0"/>
          <w:sz w:val="28"/>
          <w:lang w:eastAsia="fr-FR"/>
        </w:rPr>
        <w:t xml:space="preserve">MARCHE N° </w:t>
      </w:r>
      <w:r w:rsidR="004625A3" w:rsidRPr="004625A3">
        <w:rPr>
          <w:rFonts w:ascii="Arial" w:eastAsia="Times New Roman" w:hAnsi="Arial" w:cs="Arial"/>
          <w:b/>
          <w:snapToGrid w:val="0"/>
          <w:sz w:val="28"/>
          <w:lang w:eastAsia="fr-FR"/>
        </w:rPr>
        <w:t>24 125-00</w:t>
      </w:r>
    </w:p>
    <w:p w14:paraId="370D91B3" w14:textId="77777777" w:rsidR="00FE51D7" w:rsidRPr="006D043D" w:rsidRDefault="004625A3" w:rsidP="00FE51D7">
      <w:pPr>
        <w:pStyle w:val="Texte1"/>
        <w:pBdr>
          <w:top w:val="single" w:sz="4" w:space="1" w:color="auto"/>
          <w:left w:val="single" w:sz="4" w:space="4" w:color="auto"/>
          <w:bottom w:val="single" w:sz="4" w:space="1" w:color="auto"/>
          <w:right w:val="single" w:sz="4" w:space="4" w:color="auto"/>
        </w:pBdr>
        <w:spacing w:before="0" w:line="20" w:lineRule="atLeast"/>
        <w:jc w:val="center"/>
        <w:rPr>
          <w:rFonts w:ascii="Arial" w:hAnsi="Arial"/>
          <w:b/>
          <w:color w:val="auto"/>
          <w:sz w:val="28"/>
          <w:lang w:val="fr-FR"/>
        </w:rPr>
      </w:pPr>
      <w:r w:rsidRPr="004625A3">
        <w:rPr>
          <w:rFonts w:ascii="Arial" w:hAnsi="Arial"/>
          <w:b/>
          <w:color w:val="auto"/>
          <w:sz w:val="28"/>
          <w:lang w:val="fr-FR"/>
        </w:rPr>
        <w:t>Réalisation d’application nouvelle, évolution et maintenance en conditions opérationnelles du parc d’application interne de l’OFII</w:t>
      </w:r>
    </w:p>
    <w:p w14:paraId="1E9B634F" w14:textId="77777777" w:rsidR="00FE51D7" w:rsidRDefault="00FE51D7" w:rsidP="00FE51D7"/>
    <w:p w14:paraId="4A3D9B06" w14:textId="77777777" w:rsidR="00FE51D7" w:rsidRPr="00A276F2" w:rsidRDefault="00FE51D7" w:rsidP="00FE51D7">
      <w:pPr>
        <w:jc w:val="center"/>
        <w:rPr>
          <w:b/>
          <w:sz w:val="40"/>
          <w:szCs w:val="40"/>
        </w:rPr>
      </w:pPr>
      <w:r w:rsidRPr="00A276F2">
        <w:rPr>
          <w:b/>
          <w:sz w:val="40"/>
          <w:szCs w:val="40"/>
        </w:rPr>
        <w:t xml:space="preserve">CADRE DE REPONSE TECHNIQUE </w:t>
      </w:r>
    </w:p>
    <w:p w14:paraId="38712067" w14:textId="77777777" w:rsidR="00FE51D7" w:rsidRDefault="00FE51D7" w:rsidP="00FE51D7"/>
    <w:p w14:paraId="66F4E67C" w14:textId="77777777" w:rsidR="00FE51D7" w:rsidRDefault="00FE51D7" w:rsidP="00FE51D7">
      <w:pPr>
        <w:pStyle w:val="Paragraphedeliste"/>
        <w:numPr>
          <w:ilvl w:val="0"/>
          <w:numId w:val="1"/>
        </w:numPr>
        <w:spacing w:before="120" w:after="0" w:line="240" w:lineRule="auto"/>
        <w:jc w:val="both"/>
      </w:pPr>
      <w:r w:rsidRPr="001B1C53">
        <w:t xml:space="preserve">Ce dossier de réponse reprend l’ensemble des éléments techniques permettant d’évaluer l’offre. </w:t>
      </w:r>
      <w:r>
        <w:t xml:space="preserve">Il doit être renseigné en respectant </w:t>
      </w:r>
      <w:r w:rsidRPr="00340702">
        <w:rPr>
          <w:u w:val="single"/>
        </w:rPr>
        <w:t>scrupuleusement</w:t>
      </w:r>
      <w:r>
        <w:t xml:space="preserve"> le cadre proposé. </w:t>
      </w:r>
    </w:p>
    <w:p w14:paraId="5C3AFF6F" w14:textId="77777777" w:rsidR="00FE51D7" w:rsidRDefault="00FE51D7" w:rsidP="00FE51D7">
      <w:pPr>
        <w:pStyle w:val="Paragraphedeliste"/>
        <w:numPr>
          <w:ilvl w:val="0"/>
          <w:numId w:val="1"/>
        </w:numPr>
        <w:spacing w:before="120" w:after="0" w:line="240" w:lineRule="auto"/>
        <w:jc w:val="both"/>
      </w:pPr>
      <w:r w:rsidRPr="001B1C53">
        <w:t xml:space="preserve">En cas de groupement, un seul dossier </w:t>
      </w:r>
      <w:r>
        <w:t>est</w:t>
      </w:r>
      <w:r w:rsidRPr="001B1C53">
        <w:t xml:space="preserve"> constitué pour l’ensemble des </w:t>
      </w:r>
      <w:r>
        <w:t>membres</w:t>
      </w:r>
      <w:r w:rsidRPr="001B1C53">
        <w:t xml:space="preserve"> </w:t>
      </w:r>
      <w:r>
        <w:t xml:space="preserve"> </w:t>
      </w:r>
      <w:r w:rsidRPr="001B1C53">
        <w:t>q</w:t>
      </w:r>
      <w:r>
        <w:t>ui le compose</w:t>
      </w:r>
      <w:r w:rsidRPr="001B1C53">
        <w:t>.</w:t>
      </w:r>
    </w:p>
    <w:p w14:paraId="5E661DBD" w14:textId="77777777" w:rsidR="00FE51D7" w:rsidRPr="00505A97" w:rsidRDefault="00FE51D7" w:rsidP="00FE51D7">
      <w:pPr>
        <w:pStyle w:val="Paragraphedeliste"/>
        <w:numPr>
          <w:ilvl w:val="0"/>
          <w:numId w:val="1"/>
        </w:numPr>
        <w:spacing w:before="120" w:after="0" w:line="240" w:lineRule="auto"/>
        <w:jc w:val="both"/>
        <w:rPr>
          <w:b/>
          <w:color w:val="C00000"/>
        </w:rPr>
      </w:pPr>
      <w:r w:rsidRPr="00505A97">
        <w:rPr>
          <w:b/>
          <w:color w:val="C00000"/>
        </w:rPr>
        <w:t>La réponse à chaque question ne peut excéder une vingtaine de lignes.</w:t>
      </w:r>
    </w:p>
    <w:p w14:paraId="0E8FC264" w14:textId="77777777" w:rsidR="00FE51D7" w:rsidRDefault="00FE51D7" w:rsidP="00FE51D7">
      <w:pPr>
        <w:pStyle w:val="Corpsdetexte2"/>
        <w:widowControl w:val="0"/>
        <w:spacing w:before="0"/>
        <w:ind w:left="284"/>
        <w:jc w:val="center"/>
        <w:rPr>
          <w:rFonts w:ascii="Calibri" w:hAnsi="Calibri"/>
          <w:sz w:val="22"/>
          <w:szCs w:val="22"/>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FE51D7" w:rsidRPr="009449BB" w14:paraId="348DA9FA" w14:textId="77777777" w:rsidTr="00CE4290">
        <w:trPr>
          <w:trHeight w:hRule="exact" w:val="340"/>
        </w:trPr>
        <w:tc>
          <w:tcPr>
            <w:tcW w:w="5000" w:type="pct"/>
          </w:tcPr>
          <w:p w14:paraId="3C212AEE" w14:textId="77777777" w:rsidR="00FE51D7" w:rsidRPr="002164A5" w:rsidRDefault="00FE51D7" w:rsidP="00CE4290">
            <w:pPr>
              <w:widowControl w:val="0"/>
              <w:spacing w:line="360" w:lineRule="auto"/>
              <w:rPr>
                <w:rFonts w:ascii="Calibri" w:hAnsi="Calibri"/>
                <w:b/>
              </w:rPr>
            </w:pPr>
            <w:r w:rsidRPr="002164A5">
              <w:rPr>
                <w:rFonts w:ascii="Calibri" w:hAnsi="Calibri"/>
                <w:b/>
              </w:rPr>
              <w:t xml:space="preserve">Nom et adresse du </w:t>
            </w:r>
            <w:r>
              <w:rPr>
                <w:rFonts w:ascii="Calibri" w:hAnsi="Calibri"/>
                <w:b/>
              </w:rPr>
              <w:t>soumissionnaire</w:t>
            </w:r>
            <w:r w:rsidRPr="002164A5">
              <w:rPr>
                <w:rFonts w:ascii="Calibri" w:hAnsi="Calibri"/>
                <w:b/>
              </w:rPr>
              <w:t xml:space="preserve"> (ou mandataire)</w:t>
            </w:r>
          </w:p>
          <w:p w14:paraId="5F78B391" w14:textId="77777777" w:rsidR="00FE51D7" w:rsidRPr="002164A5" w:rsidRDefault="00FE51D7" w:rsidP="00CE4290">
            <w:pPr>
              <w:rPr>
                <w:b/>
                <w:sz w:val="20"/>
                <w:szCs w:val="20"/>
              </w:rPr>
            </w:pPr>
          </w:p>
        </w:tc>
      </w:tr>
      <w:tr w:rsidR="00FE51D7" w:rsidRPr="009449BB" w14:paraId="6365F069" w14:textId="77777777" w:rsidTr="00CE4290">
        <w:trPr>
          <w:trHeight w:hRule="exact" w:val="680"/>
        </w:trPr>
        <w:tc>
          <w:tcPr>
            <w:tcW w:w="5000" w:type="pct"/>
            <w:vAlign w:val="center"/>
          </w:tcPr>
          <w:p w14:paraId="39BEAFAA" w14:textId="77777777" w:rsidR="00FE51D7" w:rsidRPr="002164A5" w:rsidRDefault="00FE51D7" w:rsidP="00CE4290">
            <w:pPr>
              <w:widowControl w:val="0"/>
              <w:rPr>
                <w:rFonts w:ascii="Calibri" w:hAnsi="Calibri"/>
              </w:rPr>
            </w:pPr>
          </w:p>
        </w:tc>
      </w:tr>
    </w:tbl>
    <w:p w14:paraId="58C4DC50" w14:textId="77777777" w:rsidR="00FE51D7" w:rsidRDefault="00FE51D7" w:rsidP="00FE51D7">
      <w:pPr>
        <w:widowControl w:val="0"/>
        <w:rPr>
          <w:rFonts w:ascii="Calibri" w:hAnsi="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129"/>
        <w:gridCol w:w="6520"/>
      </w:tblGrid>
      <w:tr w:rsidR="00FE51D7" w:rsidRPr="009449BB" w14:paraId="223B55F3" w14:textId="77777777" w:rsidTr="00CE4290">
        <w:trPr>
          <w:trHeight w:hRule="exact" w:val="340"/>
        </w:trPr>
        <w:tc>
          <w:tcPr>
            <w:tcW w:w="9322" w:type="dxa"/>
            <w:gridSpan w:val="3"/>
          </w:tcPr>
          <w:p w14:paraId="1344BFAF" w14:textId="77777777" w:rsidR="00FE51D7" w:rsidRPr="002164A5" w:rsidRDefault="00FE51D7" w:rsidP="00CE4290">
            <w:pPr>
              <w:widowControl w:val="0"/>
              <w:spacing w:line="360" w:lineRule="auto"/>
              <w:rPr>
                <w:rFonts w:ascii="Calibri" w:hAnsi="Calibri"/>
                <w:b/>
              </w:rPr>
            </w:pPr>
            <w:r w:rsidRPr="002164A5">
              <w:rPr>
                <w:rFonts w:ascii="Calibri" w:hAnsi="Calibri"/>
                <w:b/>
              </w:rPr>
              <w:t>Composition du groupement</w:t>
            </w:r>
          </w:p>
          <w:p w14:paraId="4F7A4F26" w14:textId="77777777" w:rsidR="00FE51D7" w:rsidRPr="002164A5" w:rsidRDefault="00FE51D7" w:rsidP="00CE4290">
            <w:pPr>
              <w:widowControl w:val="0"/>
              <w:spacing w:line="360" w:lineRule="auto"/>
              <w:rPr>
                <w:rFonts w:ascii="Calibri" w:hAnsi="Calibri"/>
                <w:b/>
              </w:rPr>
            </w:pPr>
          </w:p>
        </w:tc>
      </w:tr>
      <w:tr w:rsidR="00FE51D7" w:rsidRPr="009449BB" w14:paraId="60AC4F06" w14:textId="77777777" w:rsidTr="00CE4290">
        <w:trPr>
          <w:trHeight w:hRule="exact" w:val="567"/>
        </w:trPr>
        <w:tc>
          <w:tcPr>
            <w:tcW w:w="673" w:type="dxa"/>
            <w:vAlign w:val="center"/>
          </w:tcPr>
          <w:p w14:paraId="595D0964" w14:textId="77777777" w:rsidR="00FE51D7" w:rsidRPr="002164A5" w:rsidRDefault="00FE51D7" w:rsidP="00CE4290">
            <w:pPr>
              <w:widowControl w:val="0"/>
              <w:spacing w:line="360" w:lineRule="auto"/>
              <w:jc w:val="center"/>
              <w:rPr>
                <w:rFonts w:ascii="Calibri" w:hAnsi="Calibri"/>
                <w:b/>
                <w:sz w:val="18"/>
                <w:szCs w:val="18"/>
              </w:rPr>
            </w:pPr>
            <w:r w:rsidRPr="002164A5">
              <w:rPr>
                <w:rFonts w:ascii="Calibri" w:hAnsi="Calibri"/>
                <w:b/>
                <w:sz w:val="18"/>
                <w:szCs w:val="18"/>
              </w:rPr>
              <w:t>N°</w:t>
            </w:r>
          </w:p>
          <w:p w14:paraId="613E316B" w14:textId="77777777" w:rsidR="00FE51D7" w:rsidRPr="002164A5" w:rsidRDefault="00FE51D7" w:rsidP="00CE4290">
            <w:pPr>
              <w:widowControl w:val="0"/>
              <w:spacing w:line="360" w:lineRule="auto"/>
              <w:jc w:val="center"/>
              <w:rPr>
                <w:rFonts w:ascii="Calibri" w:hAnsi="Calibri"/>
                <w:b/>
                <w:sz w:val="18"/>
                <w:szCs w:val="18"/>
              </w:rPr>
            </w:pPr>
          </w:p>
          <w:p w14:paraId="29FACBE3" w14:textId="77777777" w:rsidR="00FE51D7" w:rsidRPr="002164A5" w:rsidRDefault="00FE51D7" w:rsidP="00CE4290">
            <w:pPr>
              <w:jc w:val="center"/>
              <w:rPr>
                <w:b/>
                <w:sz w:val="18"/>
                <w:szCs w:val="18"/>
              </w:rPr>
            </w:pPr>
          </w:p>
        </w:tc>
        <w:tc>
          <w:tcPr>
            <w:tcW w:w="2129" w:type="dxa"/>
            <w:vAlign w:val="center"/>
          </w:tcPr>
          <w:p w14:paraId="156C7A2A" w14:textId="77777777" w:rsidR="00FE51D7" w:rsidRPr="002164A5" w:rsidRDefault="00FE51D7" w:rsidP="00CE4290">
            <w:pPr>
              <w:widowControl w:val="0"/>
              <w:spacing w:after="0"/>
              <w:jc w:val="center"/>
              <w:rPr>
                <w:rFonts w:ascii="Calibri" w:hAnsi="Calibri"/>
                <w:b/>
                <w:sz w:val="18"/>
                <w:szCs w:val="18"/>
              </w:rPr>
            </w:pPr>
            <w:r w:rsidRPr="002164A5">
              <w:rPr>
                <w:rFonts w:ascii="Calibri" w:hAnsi="Calibri"/>
                <w:b/>
                <w:sz w:val="18"/>
                <w:szCs w:val="18"/>
              </w:rPr>
              <w:t>Mandataire/Cotraitant/</w:t>
            </w:r>
          </w:p>
          <w:p w14:paraId="7D9767A8" w14:textId="77777777" w:rsidR="00FE51D7" w:rsidRPr="002164A5" w:rsidRDefault="00FE51D7" w:rsidP="00CE4290">
            <w:pPr>
              <w:widowControl w:val="0"/>
              <w:jc w:val="center"/>
              <w:rPr>
                <w:rFonts w:ascii="Calibri" w:hAnsi="Calibri"/>
                <w:b/>
                <w:sz w:val="18"/>
                <w:szCs w:val="18"/>
              </w:rPr>
            </w:pPr>
            <w:r w:rsidRPr="002164A5">
              <w:rPr>
                <w:rFonts w:ascii="Calibri" w:hAnsi="Calibri"/>
                <w:b/>
                <w:sz w:val="18"/>
                <w:szCs w:val="18"/>
              </w:rPr>
              <w:t>Sous-traitant</w:t>
            </w:r>
          </w:p>
        </w:tc>
        <w:tc>
          <w:tcPr>
            <w:tcW w:w="6520" w:type="dxa"/>
            <w:vAlign w:val="center"/>
          </w:tcPr>
          <w:p w14:paraId="3470A665" w14:textId="77777777" w:rsidR="00FE51D7" w:rsidRPr="002164A5" w:rsidRDefault="00FE51D7" w:rsidP="00CE4290">
            <w:pPr>
              <w:widowControl w:val="0"/>
              <w:spacing w:line="360" w:lineRule="auto"/>
              <w:jc w:val="center"/>
              <w:rPr>
                <w:rFonts w:ascii="Calibri" w:hAnsi="Calibri"/>
                <w:b/>
                <w:sz w:val="18"/>
                <w:szCs w:val="18"/>
              </w:rPr>
            </w:pPr>
            <w:r w:rsidRPr="002164A5">
              <w:rPr>
                <w:rFonts w:ascii="Calibri" w:hAnsi="Calibri"/>
                <w:b/>
                <w:sz w:val="18"/>
                <w:szCs w:val="18"/>
              </w:rPr>
              <w:t>Nom de l’organisme</w:t>
            </w:r>
          </w:p>
        </w:tc>
      </w:tr>
      <w:tr w:rsidR="00FE51D7" w:rsidRPr="00076C35" w14:paraId="0C00834D" w14:textId="77777777" w:rsidTr="00CE4290">
        <w:trPr>
          <w:trHeight w:hRule="exact" w:val="567"/>
        </w:trPr>
        <w:tc>
          <w:tcPr>
            <w:tcW w:w="673" w:type="dxa"/>
            <w:vAlign w:val="center"/>
          </w:tcPr>
          <w:p w14:paraId="4D608D51" w14:textId="77777777" w:rsidR="00FE51D7" w:rsidRPr="00076C35" w:rsidRDefault="00FE51D7" w:rsidP="00CE4290">
            <w:pPr>
              <w:widowControl w:val="0"/>
              <w:spacing w:line="360" w:lineRule="auto"/>
              <w:jc w:val="center"/>
              <w:rPr>
                <w:rFonts w:ascii="Calibri" w:hAnsi="Calibri"/>
                <w:sz w:val="20"/>
                <w:szCs w:val="20"/>
              </w:rPr>
            </w:pPr>
          </w:p>
          <w:p w14:paraId="0C1A4B19" w14:textId="77777777" w:rsidR="00FE51D7" w:rsidRPr="00076C35" w:rsidRDefault="00FE51D7" w:rsidP="00CE4290">
            <w:pPr>
              <w:jc w:val="center"/>
              <w:rPr>
                <w:rFonts w:ascii="Calibri" w:hAnsi="Calibri"/>
                <w:sz w:val="20"/>
                <w:szCs w:val="20"/>
              </w:rPr>
            </w:pPr>
          </w:p>
        </w:tc>
        <w:tc>
          <w:tcPr>
            <w:tcW w:w="2129" w:type="dxa"/>
            <w:vAlign w:val="center"/>
          </w:tcPr>
          <w:p w14:paraId="67BFBC6C" w14:textId="77777777" w:rsidR="00FE51D7" w:rsidRPr="00076C35" w:rsidRDefault="00FE51D7" w:rsidP="00CE4290">
            <w:pPr>
              <w:widowControl w:val="0"/>
              <w:jc w:val="center"/>
              <w:rPr>
                <w:rFonts w:ascii="Calibri" w:hAnsi="Calibri"/>
                <w:sz w:val="20"/>
                <w:szCs w:val="20"/>
              </w:rPr>
            </w:pPr>
          </w:p>
        </w:tc>
        <w:tc>
          <w:tcPr>
            <w:tcW w:w="6520" w:type="dxa"/>
            <w:vAlign w:val="center"/>
          </w:tcPr>
          <w:p w14:paraId="41AC59DE" w14:textId="77777777" w:rsidR="00FE51D7" w:rsidRPr="00076C35" w:rsidRDefault="00FE51D7" w:rsidP="00CE4290">
            <w:pPr>
              <w:widowControl w:val="0"/>
              <w:spacing w:line="360" w:lineRule="auto"/>
              <w:rPr>
                <w:rFonts w:ascii="Calibri" w:hAnsi="Calibri"/>
                <w:sz w:val="20"/>
                <w:szCs w:val="20"/>
              </w:rPr>
            </w:pPr>
          </w:p>
        </w:tc>
      </w:tr>
      <w:tr w:rsidR="00FE51D7" w:rsidRPr="00076C35" w14:paraId="36D5D0FD" w14:textId="77777777" w:rsidTr="00CE4290">
        <w:trPr>
          <w:trHeight w:hRule="exact" w:val="567"/>
        </w:trPr>
        <w:tc>
          <w:tcPr>
            <w:tcW w:w="673" w:type="dxa"/>
            <w:vAlign w:val="center"/>
          </w:tcPr>
          <w:p w14:paraId="0AB9D8CC" w14:textId="77777777" w:rsidR="00FE51D7" w:rsidRPr="00076C35" w:rsidRDefault="00FE51D7" w:rsidP="00CE4290">
            <w:pPr>
              <w:widowControl w:val="0"/>
              <w:spacing w:line="360" w:lineRule="auto"/>
              <w:jc w:val="center"/>
              <w:rPr>
                <w:rFonts w:ascii="Calibri" w:hAnsi="Calibri"/>
                <w:sz w:val="20"/>
                <w:szCs w:val="20"/>
              </w:rPr>
            </w:pPr>
          </w:p>
          <w:p w14:paraId="16BEC9F3" w14:textId="77777777" w:rsidR="00FE51D7" w:rsidRPr="00076C35" w:rsidRDefault="00FE51D7" w:rsidP="00CE4290">
            <w:pPr>
              <w:jc w:val="center"/>
              <w:rPr>
                <w:rFonts w:ascii="Calibri" w:hAnsi="Calibri"/>
                <w:sz w:val="20"/>
                <w:szCs w:val="20"/>
              </w:rPr>
            </w:pPr>
          </w:p>
        </w:tc>
        <w:tc>
          <w:tcPr>
            <w:tcW w:w="2129" w:type="dxa"/>
            <w:vAlign w:val="center"/>
          </w:tcPr>
          <w:p w14:paraId="30563FD4" w14:textId="77777777" w:rsidR="00FE51D7" w:rsidRPr="00076C35" w:rsidRDefault="00FE51D7" w:rsidP="00CE4290">
            <w:pPr>
              <w:widowControl w:val="0"/>
              <w:jc w:val="center"/>
              <w:rPr>
                <w:rFonts w:ascii="Calibri" w:hAnsi="Calibri"/>
                <w:sz w:val="20"/>
                <w:szCs w:val="20"/>
              </w:rPr>
            </w:pPr>
          </w:p>
        </w:tc>
        <w:tc>
          <w:tcPr>
            <w:tcW w:w="6520" w:type="dxa"/>
            <w:vAlign w:val="center"/>
          </w:tcPr>
          <w:p w14:paraId="77DB659B" w14:textId="77777777" w:rsidR="00FE51D7" w:rsidRPr="00076C35" w:rsidRDefault="00FE51D7" w:rsidP="00CE4290">
            <w:pPr>
              <w:widowControl w:val="0"/>
              <w:spacing w:line="360" w:lineRule="auto"/>
              <w:rPr>
                <w:rFonts w:ascii="Calibri" w:hAnsi="Calibri"/>
                <w:sz w:val="20"/>
                <w:szCs w:val="20"/>
              </w:rPr>
            </w:pPr>
          </w:p>
        </w:tc>
      </w:tr>
      <w:tr w:rsidR="00FE51D7" w:rsidRPr="00076C35" w14:paraId="799D83C5" w14:textId="77777777" w:rsidTr="00CE4290">
        <w:trPr>
          <w:trHeight w:hRule="exact" w:val="567"/>
        </w:trPr>
        <w:tc>
          <w:tcPr>
            <w:tcW w:w="673" w:type="dxa"/>
            <w:vAlign w:val="center"/>
          </w:tcPr>
          <w:p w14:paraId="43BF401E" w14:textId="77777777" w:rsidR="00FE51D7" w:rsidRPr="00076C35" w:rsidRDefault="00FE51D7" w:rsidP="00CE4290">
            <w:pPr>
              <w:widowControl w:val="0"/>
              <w:spacing w:line="360" w:lineRule="auto"/>
              <w:jc w:val="center"/>
              <w:rPr>
                <w:rFonts w:ascii="Calibri" w:hAnsi="Calibri"/>
                <w:sz w:val="20"/>
                <w:szCs w:val="20"/>
              </w:rPr>
            </w:pPr>
          </w:p>
          <w:p w14:paraId="1B0BA04F" w14:textId="77777777" w:rsidR="00FE51D7" w:rsidRPr="00076C35" w:rsidRDefault="00FE51D7" w:rsidP="00CE4290">
            <w:pPr>
              <w:jc w:val="center"/>
              <w:rPr>
                <w:rFonts w:ascii="Calibri" w:hAnsi="Calibri"/>
                <w:sz w:val="20"/>
                <w:szCs w:val="20"/>
              </w:rPr>
            </w:pPr>
          </w:p>
        </w:tc>
        <w:tc>
          <w:tcPr>
            <w:tcW w:w="2129" w:type="dxa"/>
            <w:vAlign w:val="center"/>
          </w:tcPr>
          <w:p w14:paraId="2811AF46" w14:textId="77777777" w:rsidR="00FE51D7" w:rsidRPr="00076C35" w:rsidRDefault="00FE51D7" w:rsidP="00CE4290">
            <w:pPr>
              <w:widowControl w:val="0"/>
              <w:jc w:val="center"/>
              <w:rPr>
                <w:rFonts w:ascii="Calibri" w:hAnsi="Calibri"/>
                <w:sz w:val="20"/>
                <w:szCs w:val="20"/>
              </w:rPr>
            </w:pPr>
          </w:p>
        </w:tc>
        <w:tc>
          <w:tcPr>
            <w:tcW w:w="6520" w:type="dxa"/>
            <w:vAlign w:val="center"/>
          </w:tcPr>
          <w:p w14:paraId="497DC93A" w14:textId="77777777" w:rsidR="00FE51D7" w:rsidRPr="00076C35" w:rsidRDefault="00FE51D7" w:rsidP="00CE4290">
            <w:pPr>
              <w:widowControl w:val="0"/>
              <w:spacing w:line="360" w:lineRule="auto"/>
              <w:rPr>
                <w:rFonts w:ascii="Calibri" w:hAnsi="Calibri"/>
                <w:sz w:val="20"/>
                <w:szCs w:val="20"/>
              </w:rPr>
            </w:pPr>
          </w:p>
        </w:tc>
      </w:tr>
    </w:tbl>
    <w:p w14:paraId="2AD50445" w14:textId="77777777" w:rsidR="00FE51D7" w:rsidRDefault="00FE51D7" w:rsidP="00FE51D7">
      <w:r>
        <w:br w:type="page"/>
      </w:r>
    </w:p>
    <w:tbl>
      <w:tblPr>
        <w:tblStyle w:val="Grilledutableau"/>
        <w:tblW w:w="0" w:type="auto"/>
        <w:tblLook w:val="04A0" w:firstRow="1" w:lastRow="0" w:firstColumn="1" w:lastColumn="0" w:noHBand="0" w:noVBand="1"/>
      </w:tblPr>
      <w:tblGrid>
        <w:gridCol w:w="9062"/>
      </w:tblGrid>
      <w:tr w:rsidR="00FE51D7" w14:paraId="416F524E" w14:textId="77777777" w:rsidTr="00CE4290">
        <w:trPr>
          <w:trHeight w:val="554"/>
        </w:trPr>
        <w:tc>
          <w:tcPr>
            <w:tcW w:w="0" w:type="auto"/>
          </w:tcPr>
          <w:p w14:paraId="49118D87" w14:textId="3F023C65" w:rsidR="00FE51D7" w:rsidRPr="00287E49" w:rsidRDefault="00ED520A" w:rsidP="00CE4290">
            <w:pPr>
              <w:spacing w:before="120" w:after="120"/>
              <w:jc w:val="center"/>
              <w:rPr>
                <w:b/>
                <w:sz w:val="28"/>
                <w:szCs w:val="28"/>
              </w:rPr>
            </w:pPr>
            <w:r>
              <w:rPr>
                <w:rFonts w:ascii="Arial" w:eastAsia="Calibri" w:hAnsi="Arial"/>
                <w:b/>
                <w:snapToGrid w:val="0"/>
                <w:sz w:val="28"/>
              </w:rPr>
              <w:lastRenderedPageBreak/>
              <w:t>Q</w:t>
            </w:r>
            <w:r w:rsidR="004625A3" w:rsidRPr="004625A3">
              <w:rPr>
                <w:rFonts w:ascii="Arial" w:eastAsia="Calibri" w:hAnsi="Arial"/>
                <w:b/>
                <w:snapToGrid w:val="0"/>
                <w:sz w:val="28"/>
              </w:rPr>
              <w:t xml:space="preserve">ualité de l’offre technique </w:t>
            </w:r>
            <w:r w:rsidR="00AC6D09">
              <w:rPr>
                <w:rFonts w:ascii="Arial" w:eastAsia="Calibri" w:hAnsi="Arial"/>
                <w:b/>
                <w:snapToGrid w:val="0"/>
                <w:sz w:val="28"/>
              </w:rPr>
              <w:t>(6</w:t>
            </w:r>
            <w:r w:rsidR="00FE51D7" w:rsidRPr="00113193">
              <w:rPr>
                <w:rFonts w:ascii="Arial" w:eastAsia="Calibri" w:hAnsi="Arial"/>
                <w:b/>
                <w:snapToGrid w:val="0"/>
                <w:sz w:val="28"/>
              </w:rPr>
              <w:t>0 points</w:t>
            </w:r>
            <w:r w:rsidR="00AC6D09">
              <w:rPr>
                <w:rFonts w:ascii="Arial" w:hAnsi="Arial"/>
                <w:b/>
                <w:snapToGrid w:val="0"/>
                <w:sz w:val="28"/>
              </w:rPr>
              <w:t xml:space="preserve"> soit 6</w:t>
            </w:r>
            <w:r w:rsidR="00FE51D7" w:rsidRPr="00113193">
              <w:rPr>
                <w:rFonts w:ascii="Arial" w:hAnsi="Arial"/>
                <w:b/>
                <w:snapToGrid w:val="0"/>
                <w:sz w:val="28"/>
              </w:rPr>
              <w:t>0 % de la note finale</w:t>
            </w:r>
            <w:r w:rsidR="00FE51D7">
              <w:rPr>
                <w:rFonts w:ascii="Arial" w:hAnsi="Arial"/>
                <w:b/>
                <w:snapToGrid w:val="0"/>
                <w:sz w:val="28"/>
              </w:rPr>
              <w:t>)</w:t>
            </w:r>
          </w:p>
        </w:tc>
      </w:tr>
      <w:tr w:rsidR="00FE51D7" w14:paraId="6EF9ABDA" w14:textId="77777777" w:rsidTr="00CE4290">
        <w:tc>
          <w:tcPr>
            <w:tcW w:w="0" w:type="auto"/>
          </w:tcPr>
          <w:p w14:paraId="66B54124" w14:textId="77777777" w:rsidR="00FE51D7" w:rsidRDefault="00FE51D7" w:rsidP="00CE4290">
            <w:pPr>
              <w:pStyle w:val="Paragraphedeliste"/>
              <w:ind w:left="360"/>
              <w:jc w:val="both"/>
              <w:rPr>
                <w:b/>
              </w:rPr>
            </w:pPr>
            <w:r>
              <w:rPr>
                <w:b/>
              </w:rPr>
              <w:t xml:space="preserve">- </w:t>
            </w:r>
            <w:r w:rsidR="004625A3" w:rsidRPr="004625A3">
              <w:rPr>
                <w:rFonts w:ascii="Arial" w:hAnsi="Arial" w:cs="Arial"/>
              </w:rPr>
              <w:t xml:space="preserve">Compréhension des enjeux et des besoins </w:t>
            </w:r>
            <w:r w:rsidR="00ED520A" w:rsidRPr="00A939C3">
              <w:rPr>
                <w:rFonts w:ascii="Arial" w:hAnsi="Arial" w:cs="Arial"/>
              </w:rPr>
              <w:t>(</w:t>
            </w:r>
            <w:r w:rsidR="004625A3">
              <w:rPr>
                <w:rFonts w:ascii="Arial" w:hAnsi="Arial" w:cs="Arial"/>
                <w:b/>
              </w:rPr>
              <w:t>5</w:t>
            </w:r>
            <w:r w:rsidR="00ED520A" w:rsidRPr="00A939C3">
              <w:rPr>
                <w:rFonts w:ascii="Arial" w:hAnsi="Arial" w:cs="Arial"/>
                <w:b/>
              </w:rPr>
              <w:t xml:space="preserve"> points</w:t>
            </w:r>
            <w:r w:rsidR="00ED520A" w:rsidRPr="00A939C3">
              <w:rPr>
                <w:rFonts w:ascii="Arial" w:hAnsi="Arial" w:cs="Arial"/>
              </w:rPr>
              <w:t>) </w:t>
            </w:r>
          </w:p>
          <w:p w14:paraId="5290F4DE" w14:textId="598712CB" w:rsidR="00FE51D7" w:rsidRDefault="00D82EDD" w:rsidP="006707F2">
            <w:pPr>
              <w:jc w:val="both"/>
            </w:pPr>
            <w:r w:rsidRPr="00D82EDD">
              <w:t>(</w:t>
            </w:r>
            <w:r w:rsidR="00FF3626" w:rsidRPr="00FF3626">
              <w:t>Le candidat sera évalué sur sa compréhension approfondie des aspects techniques ainsi que de l'environnement de l'OFII. Il devra démontrer ses compétences organisationnelles en matière de gestion des commandes publiques de l'OFII, en détaillant rigoureusement l'organisation mise en place. Le candidat indiquera également les mesures prises pour garantir les délais de remplacement en cas de départ d’une ressource sur un projet de l’OFII.</w:t>
            </w:r>
            <w:r w:rsidRPr="00D82EDD">
              <w:t>).</w:t>
            </w:r>
            <w:r w:rsidR="00FF3626">
              <w:t xml:space="preserve"> </w:t>
            </w:r>
          </w:p>
          <w:p w14:paraId="1E0ECCFB" w14:textId="77777777" w:rsidR="00FE51D7" w:rsidRDefault="00FE51D7" w:rsidP="00CE4290">
            <w:pPr>
              <w:jc w:val="both"/>
              <w:rPr>
                <w:b/>
              </w:rPr>
            </w:pPr>
          </w:p>
          <w:p w14:paraId="38DA74FA" w14:textId="77777777" w:rsidR="00FE51D7" w:rsidRDefault="00FE51D7" w:rsidP="00CE4290">
            <w:pPr>
              <w:jc w:val="both"/>
              <w:rPr>
                <w:b/>
              </w:rPr>
            </w:pPr>
          </w:p>
          <w:p w14:paraId="2FC672B6" w14:textId="77777777" w:rsidR="00FE51D7" w:rsidRDefault="00FE51D7" w:rsidP="00CE4290">
            <w:pPr>
              <w:jc w:val="both"/>
              <w:rPr>
                <w:b/>
              </w:rPr>
            </w:pPr>
          </w:p>
          <w:p w14:paraId="6B2B8C6D" w14:textId="77777777" w:rsidR="00FE51D7" w:rsidRDefault="00FE51D7" w:rsidP="00CE4290">
            <w:pPr>
              <w:jc w:val="both"/>
              <w:rPr>
                <w:b/>
              </w:rPr>
            </w:pPr>
          </w:p>
          <w:p w14:paraId="00B7296A" w14:textId="77777777" w:rsidR="00FE51D7" w:rsidRDefault="00FE51D7" w:rsidP="00CE4290">
            <w:pPr>
              <w:jc w:val="both"/>
              <w:rPr>
                <w:b/>
              </w:rPr>
            </w:pPr>
          </w:p>
          <w:p w14:paraId="0DBC65B5" w14:textId="77777777" w:rsidR="00FE51D7" w:rsidRPr="00E238A6" w:rsidRDefault="00FE51D7" w:rsidP="00CE4290">
            <w:pPr>
              <w:jc w:val="both"/>
              <w:rPr>
                <w:b/>
              </w:rPr>
            </w:pPr>
          </w:p>
          <w:p w14:paraId="0F968BF4" w14:textId="77777777" w:rsidR="00FE51D7" w:rsidRPr="00D112C1" w:rsidRDefault="00FE51D7" w:rsidP="00CE4290">
            <w:pPr>
              <w:jc w:val="both"/>
              <w:rPr>
                <w:b/>
              </w:rPr>
            </w:pPr>
          </w:p>
          <w:p w14:paraId="1D83BB4A" w14:textId="77777777" w:rsidR="00FE51D7" w:rsidRPr="00D112C1" w:rsidRDefault="00FE51D7" w:rsidP="00CE4290">
            <w:pPr>
              <w:jc w:val="both"/>
              <w:rPr>
                <w:b/>
              </w:rPr>
            </w:pPr>
          </w:p>
          <w:p w14:paraId="61B4C515" w14:textId="77777777" w:rsidR="00FE51D7" w:rsidRPr="00D112C1" w:rsidRDefault="00FE51D7" w:rsidP="00CE4290">
            <w:pPr>
              <w:jc w:val="both"/>
              <w:rPr>
                <w:b/>
              </w:rPr>
            </w:pPr>
          </w:p>
        </w:tc>
      </w:tr>
      <w:tr w:rsidR="00FE51D7" w:rsidRPr="00234E63" w14:paraId="19E866A2" w14:textId="77777777" w:rsidTr="00CE4290">
        <w:tc>
          <w:tcPr>
            <w:tcW w:w="0" w:type="auto"/>
          </w:tcPr>
          <w:p w14:paraId="7B42BE08" w14:textId="1C0BF6D4" w:rsidR="00FE51D7" w:rsidRPr="00234E63" w:rsidRDefault="00FE51D7" w:rsidP="00CE4290">
            <w:pPr>
              <w:jc w:val="both"/>
              <w:rPr>
                <w:b/>
              </w:rPr>
            </w:pPr>
            <w:r>
              <w:rPr>
                <w:b/>
              </w:rPr>
              <w:t xml:space="preserve">- </w:t>
            </w:r>
            <w:r w:rsidR="004625A3" w:rsidRPr="004625A3">
              <w:rPr>
                <w:rFonts w:ascii="Arial" w:hAnsi="Arial" w:cs="Arial"/>
              </w:rPr>
              <w:t xml:space="preserve">Compétences et capacité à travailler en mode produit et en mode projet </w:t>
            </w:r>
            <w:r w:rsidR="00ED520A" w:rsidRPr="00A939C3">
              <w:rPr>
                <w:rFonts w:ascii="Arial" w:hAnsi="Arial" w:cs="Arial"/>
              </w:rPr>
              <w:t>(</w:t>
            </w:r>
            <w:r w:rsidR="00ED520A" w:rsidRPr="00A939C3">
              <w:rPr>
                <w:rFonts w:ascii="Arial" w:hAnsi="Arial" w:cs="Arial"/>
                <w:b/>
              </w:rPr>
              <w:t>20 points</w:t>
            </w:r>
            <w:r w:rsidR="0003201B">
              <w:rPr>
                <w:rFonts w:ascii="Arial" w:hAnsi="Arial" w:cs="Arial"/>
              </w:rPr>
              <w:t>)</w:t>
            </w:r>
          </w:p>
          <w:p w14:paraId="4A813237" w14:textId="77777777" w:rsidR="00FE51D7" w:rsidRPr="00234E63" w:rsidRDefault="00FE51D7" w:rsidP="00CE4290">
            <w:pPr>
              <w:jc w:val="both"/>
              <w:rPr>
                <w:b/>
              </w:rPr>
            </w:pPr>
          </w:p>
          <w:p w14:paraId="597044D1" w14:textId="5A3F7FBA" w:rsidR="00FE51D7" w:rsidRPr="00234E63" w:rsidRDefault="00FF3626" w:rsidP="00CE4290">
            <w:pPr>
              <w:jc w:val="both"/>
              <w:rPr>
                <w:b/>
              </w:rPr>
            </w:pPr>
            <w:r w:rsidRPr="00FF3626">
              <w:t>Dans le cadre du mode projet, le candidat devra préciser les processus, normes et modalités de gestion des projets internes qui lui seront confiés. Il devra détailler notamment les mesures implémentées pour garantir la qualité du code, la sécurité du code ainsi que le respect des délais. Dans le cadre du mode produit, le candidat exposera les modalités instaurées pour sélectionner les profils proposés, tant en interne que ceux des travailleurs indépendants, afin de répondre aux exigences spécifiques de l'OFII. En mode produit, il explicitera également les procédures mises en place pour suivre les ressources intervenant sur les missions assignées dans le cadre du marché, qu'il s'agisse de ressources internes ou de travailleurs indépendants</w:t>
            </w:r>
            <w:r w:rsidR="00F54755" w:rsidRPr="00F54755">
              <w:t>.</w:t>
            </w:r>
          </w:p>
          <w:p w14:paraId="430CE1CA" w14:textId="77777777" w:rsidR="00FE51D7" w:rsidRPr="00234E63" w:rsidRDefault="00FE51D7" w:rsidP="00CE4290">
            <w:pPr>
              <w:jc w:val="both"/>
              <w:rPr>
                <w:b/>
              </w:rPr>
            </w:pPr>
          </w:p>
          <w:p w14:paraId="603ED062" w14:textId="77777777" w:rsidR="00FE51D7" w:rsidRPr="00234E63" w:rsidRDefault="00FE51D7" w:rsidP="00CE4290">
            <w:pPr>
              <w:jc w:val="both"/>
              <w:rPr>
                <w:b/>
              </w:rPr>
            </w:pPr>
          </w:p>
          <w:p w14:paraId="64CD1CCF" w14:textId="77777777" w:rsidR="00FE51D7" w:rsidRPr="00234E63" w:rsidRDefault="00FE51D7" w:rsidP="00CE4290">
            <w:pPr>
              <w:jc w:val="both"/>
              <w:rPr>
                <w:b/>
              </w:rPr>
            </w:pPr>
          </w:p>
          <w:p w14:paraId="2BD72FE8" w14:textId="77777777" w:rsidR="00FE51D7" w:rsidRPr="00234E63" w:rsidRDefault="00FE51D7" w:rsidP="00CE4290">
            <w:pPr>
              <w:jc w:val="both"/>
              <w:rPr>
                <w:b/>
              </w:rPr>
            </w:pPr>
          </w:p>
          <w:p w14:paraId="795590AC" w14:textId="77777777" w:rsidR="00FE51D7" w:rsidRPr="00234E63" w:rsidRDefault="00FE51D7" w:rsidP="00CE4290">
            <w:pPr>
              <w:jc w:val="both"/>
              <w:rPr>
                <w:b/>
              </w:rPr>
            </w:pPr>
          </w:p>
          <w:p w14:paraId="629C1BEE" w14:textId="77777777" w:rsidR="00FE51D7" w:rsidRPr="00234E63" w:rsidRDefault="00FE51D7" w:rsidP="00CE4290">
            <w:pPr>
              <w:jc w:val="both"/>
              <w:rPr>
                <w:b/>
              </w:rPr>
            </w:pPr>
          </w:p>
        </w:tc>
      </w:tr>
      <w:tr w:rsidR="00FE51D7" w14:paraId="26539ADB" w14:textId="77777777" w:rsidTr="00CE4290">
        <w:tc>
          <w:tcPr>
            <w:tcW w:w="0" w:type="auto"/>
          </w:tcPr>
          <w:p w14:paraId="03B62148" w14:textId="77777777" w:rsidR="00FE51D7" w:rsidRDefault="00FE51D7" w:rsidP="00CE4290">
            <w:pPr>
              <w:pStyle w:val="Paragraphedeliste"/>
              <w:ind w:left="360"/>
              <w:jc w:val="both"/>
              <w:rPr>
                <w:b/>
              </w:rPr>
            </w:pPr>
          </w:p>
          <w:p w14:paraId="7D27851E" w14:textId="783552D9" w:rsidR="00FE51D7" w:rsidRPr="00446F27" w:rsidRDefault="004625A3" w:rsidP="004625A3">
            <w:pPr>
              <w:pStyle w:val="Paragraphedeliste"/>
              <w:numPr>
                <w:ilvl w:val="0"/>
                <w:numId w:val="3"/>
              </w:numPr>
              <w:jc w:val="both"/>
              <w:rPr>
                <w:b/>
              </w:rPr>
            </w:pPr>
            <w:r w:rsidRPr="004625A3">
              <w:rPr>
                <w:rFonts w:ascii="Arial" w:hAnsi="Arial" w:cs="Arial"/>
              </w:rPr>
              <w:t xml:space="preserve">Composition et organisation des équipes </w:t>
            </w:r>
            <w:r w:rsidR="0022667E">
              <w:rPr>
                <w:rFonts w:ascii="Arial" w:hAnsi="Arial" w:cs="Arial"/>
                <w:b/>
              </w:rPr>
              <w:t>(3</w:t>
            </w:r>
            <w:r>
              <w:rPr>
                <w:rFonts w:ascii="Arial" w:hAnsi="Arial" w:cs="Arial"/>
                <w:b/>
              </w:rPr>
              <w:t>5</w:t>
            </w:r>
            <w:r w:rsidR="00446F27" w:rsidRPr="00446F27">
              <w:rPr>
                <w:rFonts w:ascii="Arial" w:hAnsi="Arial" w:cs="Arial"/>
                <w:b/>
              </w:rPr>
              <w:t xml:space="preserve"> points)</w:t>
            </w:r>
          </w:p>
          <w:p w14:paraId="702AD86A" w14:textId="77777777" w:rsidR="00FE51D7" w:rsidRDefault="00FE51D7" w:rsidP="00CE4290">
            <w:pPr>
              <w:pStyle w:val="Paragraphedeliste"/>
              <w:ind w:left="360"/>
              <w:jc w:val="both"/>
              <w:rPr>
                <w:b/>
              </w:rPr>
            </w:pPr>
            <w:bookmarkStart w:id="0" w:name="_GoBack"/>
            <w:bookmarkEnd w:id="0"/>
          </w:p>
          <w:p w14:paraId="36BD58EA" w14:textId="77777777" w:rsidR="00FE51D7" w:rsidRPr="00446F27" w:rsidRDefault="00FE51D7" w:rsidP="00446F27">
            <w:pPr>
              <w:jc w:val="both"/>
              <w:rPr>
                <w:b/>
              </w:rPr>
            </w:pPr>
          </w:p>
          <w:p w14:paraId="1908CCF8" w14:textId="106343A4" w:rsidR="00FE51D7" w:rsidRDefault="004625A3" w:rsidP="004625A3">
            <w:pPr>
              <w:pStyle w:val="Paragraphedeliste"/>
              <w:numPr>
                <w:ilvl w:val="0"/>
                <w:numId w:val="4"/>
              </w:numPr>
              <w:jc w:val="both"/>
            </w:pPr>
            <w:r w:rsidRPr="004625A3">
              <w:t>Analyse du profil type par UO demandée</w:t>
            </w:r>
            <w:r w:rsidR="0022667E">
              <w:t xml:space="preserve"> </w:t>
            </w:r>
            <w:r w:rsidR="0022667E" w:rsidRPr="0022667E">
              <w:rPr>
                <w:rFonts w:ascii="Arial" w:hAnsi="Arial" w:cs="Arial"/>
              </w:rPr>
              <w:t>(</w:t>
            </w:r>
            <w:r w:rsidR="0022667E" w:rsidRPr="0022667E">
              <w:rPr>
                <w:rFonts w:ascii="Arial" w:hAnsi="Arial" w:cs="Arial"/>
                <w:b/>
              </w:rPr>
              <w:t>5 points</w:t>
            </w:r>
            <w:r w:rsidR="0022667E" w:rsidRPr="0022667E">
              <w:rPr>
                <w:rFonts w:ascii="Arial" w:hAnsi="Arial" w:cs="Arial"/>
              </w:rPr>
              <w:t>)</w:t>
            </w:r>
          </w:p>
          <w:p w14:paraId="00D6371F" w14:textId="77777777" w:rsidR="004B5D6A" w:rsidRPr="004625A3" w:rsidRDefault="004B5D6A" w:rsidP="004B5D6A">
            <w:pPr>
              <w:pStyle w:val="Paragraphedeliste"/>
              <w:ind w:left="1275"/>
              <w:jc w:val="both"/>
            </w:pPr>
          </w:p>
          <w:p w14:paraId="29CEB0E9" w14:textId="64332C0D" w:rsidR="004625A3" w:rsidRPr="00FF3626" w:rsidRDefault="00F54755" w:rsidP="00FF3626">
            <w:pPr>
              <w:jc w:val="both"/>
            </w:pPr>
            <w:r w:rsidRPr="00FF3626">
              <w:t>Pour chaque UO et expérience, le candidat devra fournir des curriculum vitae types, en mettant l'accent sur le nombre d'années d'expérience requis. Les niveaux de séniorité étant des minimums, le candidat est autorisé à proposer un nombre d'années d'expérience supérieur à celui imposé par l'OFII. Cela doit être clairement reflété dans les curriculum vitae soumis.</w:t>
            </w:r>
          </w:p>
          <w:p w14:paraId="7965B049" w14:textId="77777777" w:rsidR="004625A3" w:rsidRDefault="004625A3" w:rsidP="00CE4290">
            <w:pPr>
              <w:pStyle w:val="Paragraphedeliste"/>
              <w:ind w:left="360"/>
              <w:jc w:val="both"/>
              <w:rPr>
                <w:b/>
              </w:rPr>
            </w:pPr>
          </w:p>
          <w:p w14:paraId="4D28D1F6" w14:textId="77777777" w:rsidR="004625A3" w:rsidRDefault="004625A3" w:rsidP="00CE4290">
            <w:pPr>
              <w:pStyle w:val="Paragraphedeliste"/>
              <w:ind w:left="360"/>
              <w:jc w:val="both"/>
              <w:rPr>
                <w:b/>
              </w:rPr>
            </w:pPr>
          </w:p>
          <w:p w14:paraId="320BA482" w14:textId="5AABC773" w:rsidR="004625A3" w:rsidRPr="004625A3" w:rsidRDefault="004625A3" w:rsidP="004625A3">
            <w:pPr>
              <w:pStyle w:val="Paragraphedeliste"/>
              <w:numPr>
                <w:ilvl w:val="0"/>
                <w:numId w:val="4"/>
              </w:numPr>
              <w:jc w:val="both"/>
            </w:pPr>
            <w:r w:rsidRPr="004625A3">
              <w:t>Capacité à mobiliser des sous-traitants</w:t>
            </w:r>
            <w:r w:rsidR="0022667E">
              <w:t xml:space="preserve"> </w:t>
            </w:r>
            <w:r w:rsidR="0022667E" w:rsidRPr="0022667E">
              <w:rPr>
                <w:rFonts w:ascii="Arial" w:hAnsi="Arial" w:cs="Arial"/>
              </w:rPr>
              <w:t>(</w:t>
            </w:r>
            <w:r w:rsidR="0022667E" w:rsidRPr="0022667E">
              <w:rPr>
                <w:rFonts w:ascii="Arial" w:hAnsi="Arial" w:cs="Arial"/>
                <w:b/>
              </w:rPr>
              <w:t>30 points</w:t>
            </w:r>
            <w:r w:rsidR="0022667E" w:rsidRPr="0022667E">
              <w:rPr>
                <w:rFonts w:ascii="Arial" w:hAnsi="Arial" w:cs="Arial"/>
              </w:rPr>
              <w:t>)</w:t>
            </w:r>
          </w:p>
          <w:p w14:paraId="03B2D66A" w14:textId="77777777" w:rsidR="00FE51D7" w:rsidRDefault="00FE51D7" w:rsidP="00CE4290">
            <w:pPr>
              <w:pStyle w:val="Paragraphedeliste"/>
              <w:ind w:left="360"/>
              <w:jc w:val="both"/>
              <w:rPr>
                <w:b/>
              </w:rPr>
            </w:pPr>
          </w:p>
          <w:p w14:paraId="7ED8430C" w14:textId="6C877E44" w:rsidR="004625A3" w:rsidRPr="00C36D61" w:rsidRDefault="00C36D61" w:rsidP="00C36D61">
            <w:r w:rsidRPr="00C36D61">
              <w:t>Le candidat est tenu d’indiquer la taille du vivier de travailleurs indépendants correspondant aux profils requis, y compris par le biais de la sous-traitance si nécessaire. Il doit également préciser les moyens de sourcing pour ces profils définis par l'OFII et, le cas échéant, la manière d’effectuer des recherches complémentaires.</w:t>
            </w:r>
            <w:r w:rsidR="00F54755" w:rsidRPr="00C36D61">
              <w:t xml:space="preserve"> </w:t>
            </w:r>
            <w:r w:rsidR="00FF3626" w:rsidRPr="00FF3626">
              <w:t xml:space="preserve">Il devra enfin préciser le taux de marge (différence entre le prix </w:t>
            </w:r>
            <w:r w:rsidR="00FF3626" w:rsidRPr="00FF3626">
              <w:lastRenderedPageBreak/>
              <w:t>plafond de l’UO et le montant versé à l’indépendant) plafond qu’il appliquera dans le cadre du recours à des indépendants Ceci permettra d’évaluer la capacité d’avoir recours au vivier sans être limiter par le plafond proposé par chaque UO.</w:t>
            </w:r>
          </w:p>
          <w:p w14:paraId="49911972" w14:textId="77777777" w:rsidR="004625A3" w:rsidRDefault="004625A3" w:rsidP="00CE4290">
            <w:pPr>
              <w:pStyle w:val="Paragraphedeliste"/>
              <w:ind w:left="360"/>
              <w:jc w:val="both"/>
              <w:rPr>
                <w:b/>
              </w:rPr>
            </w:pPr>
          </w:p>
          <w:p w14:paraId="5E8A0E71" w14:textId="77777777" w:rsidR="004625A3" w:rsidRDefault="004625A3" w:rsidP="00CE4290">
            <w:pPr>
              <w:pStyle w:val="Paragraphedeliste"/>
              <w:ind w:left="360"/>
              <w:jc w:val="both"/>
              <w:rPr>
                <w:b/>
              </w:rPr>
            </w:pPr>
          </w:p>
          <w:p w14:paraId="7158F1B2" w14:textId="77777777" w:rsidR="004625A3" w:rsidRDefault="004625A3" w:rsidP="00CE4290">
            <w:pPr>
              <w:pStyle w:val="Paragraphedeliste"/>
              <w:ind w:left="360"/>
              <w:jc w:val="both"/>
              <w:rPr>
                <w:b/>
              </w:rPr>
            </w:pPr>
          </w:p>
          <w:p w14:paraId="7C3D2209" w14:textId="77777777" w:rsidR="004625A3" w:rsidRDefault="004625A3" w:rsidP="00CE4290">
            <w:pPr>
              <w:pStyle w:val="Paragraphedeliste"/>
              <w:ind w:left="360"/>
              <w:jc w:val="both"/>
              <w:rPr>
                <w:b/>
              </w:rPr>
            </w:pPr>
          </w:p>
          <w:p w14:paraId="504FB485" w14:textId="77777777" w:rsidR="004625A3" w:rsidRDefault="004625A3" w:rsidP="00CE4290">
            <w:pPr>
              <w:pStyle w:val="Paragraphedeliste"/>
              <w:ind w:left="360"/>
              <w:jc w:val="both"/>
              <w:rPr>
                <w:b/>
              </w:rPr>
            </w:pPr>
          </w:p>
          <w:p w14:paraId="1CCD38E5" w14:textId="77777777" w:rsidR="004625A3" w:rsidRDefault="004625A3" w:rsidP="00CE4290">
            <w:pPr>
              <w:pStyle w:val="Paragraphedeliste"/>
              <w:ind w:left="360"/>
              <w:jc w:val="both"/>
              <w:rPr>
                <w:b/>
              </w:rPr>
            </w:pPr>
          </w:p>
          <w:p w14:paraId="080C7639" w14:textId="77777777" w:rsidR="004625A3" w:rsidRPr="004625A3" w:rsidRDefault="004625A3" w:rsidP="004625A3">
            <w:pPr>
              <w:jc w:val="both"/>
              <w:rPr>
                <w:b/>
              </w:rPr>
            </w:pPr>
          </w:p>
          <w:p w14:paraId="612011B1" w14:textId="77777777" w:rsidR="00FE51D7" w:rsidRDefault="00FE51D7" w:rsidP="00CE4290">
            <w:pPr>
              <w:pStyle w:val="Paragraphedeliste"/>
              <w:ind w:left="360"/>
              <w:jc w:val="both"/>
              <w:rPr>
                <w:b/>
              </w:rPr>
            </w:pPr>
          </w:p>
        </w:tc>
      </w:tr>
    </w:tbl>
    <w:p w14:paraId="70687815" w14:textId="77777777" w:rsidR="00FE51D7" w:rsidRDefault="00FE51D7" w:rsidP="00FE51D7"/>
    <w:p w14:paraId="72D3A421" w14:textId="77777777" w:rsidR="00FE51D7" w:rsidRDefault="00FE51D7" w:rsidP="00FE51D7"/>
    <w:p w14:paraId="3C4C7269" w14:textId="77777777" w:rsidR="000663AA" w:rsidRDefault="000663AA"/>
    <w:sectPr w:rsidR="000663AA">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26428D" w16cex:dateUtc="2025-01-17T14:48:00Z"/>
  <w16cex:commentExtensible w16cex:durableId="2FF03910" w16cex:dateUtc="2025-01-17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029AC9" w16cid:durableId="28029AC9"/>
  <w16cid:commentId w16cid:paraId="386B8CE1" w16cid:durableId="5A26428D"/>
  <w16cid:commentId w16cid:paraId="1208D5E5" w16cid:durableId="1208D5E5"/>
  <w16cid:commentId w16cid:paraId="04AC7C0F" w16cid:durableId="2FF039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D65D7" w14:textId="77777777" w:rsidR="00B429D2" w:rsidRDefault="00B429D2" w:rsidP="00183242">
      <w:pPr>
        <w:spacing w:after="0" w:line="240" w:lineRule="auto"/>
      </w:pPr>
      <w:r>
        <w:separator/>
      </w:r>
    </w:p>
  </w:endnote>
  <w:endnote w:type="continuationSeparator" w:id="0">
    <w:p w14:paraId="265DF93B" w14:textId="77777777" w:rsidR="00B429D2" w:rsidRDefault="00B429D2" w:rsidP="0018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567917"/>
      <w:docPartObj>
        <w:docPartGallery w:val="Page Numbers (Bottom of Page)"/>
        <w:docPartUnique/>
      </w:docPartObj>
    </w:sdtPr>
    <w:sdtEndPr/>
    <w:sdtContent>
      <w:p w14:paraId="00AF4302" w14:textId="77777777" w:rsidR="000663AA" w:rsidRDefault="00183242" w:rsidP="008875CE">
        <w:pPr>
          <w:pStyle w:val="En-tte"/>
          <w:jc w:val="right"/>
        </w:pPr>
        <w:r w:rsidRPr="00505A97">
          <w:rPr>
            <w:i/>
          </w:rPr>
          <w:fldChar w:fldCharType="begin"/>
        </w:r>
        <w:r w:rsidRPr="00505A97">
          <w:rPr>
            <w:i/>
          </w:rPr>
          <w:instrText xml:space="preserve"> FILENAME \* MERGEFORMAT </w:instrText>
        </w:r>
        <w:r w:rsidRPr="00505A97">
          <w:rPr>
            <w:i/>
          </w:rPr>
          <w:fldChar w:fldCharType="separate"/>
        </w:r>
        <w:r w:rsidR="004625A3">
          <w:rPr>
            <w:i/>
            <w:noProof/>
          </w:rPr>
          <w:t>24 125-00_</w:t>
        </w:r>
        <w:r w:rsidRPr="00505A97">
          <w:rPr>
            <w:i/>
            <w:noProof/>
          </w:rPr>
          <w:t xml:space="preserve">Cadre de réponse </w:t>
        </w:r>
        <w:r w:rsidRPr="00505A97">
          <w:rPr>
            <w:i/>
            <w:noProof/>
          </w:rPr>
          <w:fldChar w:fldCharType="end"/>
        </w:r>
        <w:r w:rsidRPr="00505A97">
          <w:rPr>
            <w:i/>
            <w:noProof/>
          </w:rPr>
          <w:t>technique</w:t>
        </w:r>
        <w:r>
          <w:tab/>
        </w:r>
        <w:r>
          <w:tab/>
        </w:r>
        <w:sdt>
          <w:sdtPr>
            <w:id w:val="1284463808"/>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D648BD">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648BD">
              <w:rPr>
                <w:b/>
                <w:bCs/>
                <w:noProof/>
              </w:rPr>
              <w:t>3</w:t>
            </w:r>
            <w:r>
              <w:rPr>
                <w:b/>
                <w:bCs/>
                <w:sz w:val="24"/>
                <w:szCs w:val="24"/>
              </w:rPr>
              <w:fldChar w:fldCharType="end"/>
            </w:r>
          </w:sdtContent>
        </w:sdt>
      </w:p>
    </w:sdtContent>
  </w:sdt>
  <w:p w14:paraId="5EAA53E7" w14:textId="77777777" w:rsidR="000663AA" w:rsidRDefault="000663A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66EAB" w14:textId="77777777" w:rsidR="00B429D2" w:rsidRDefault="00B429D2" w:rsidP="00183242">
      <w:pPr>
        <w:spacing w:after="0" w:line="240" w:lineRule="auto"/>
      </w:pPr>
      <w:r>
        <w:separator/>
      </w:r>
    </w:p>
  </w:footnote>
  <w:footnote w:type="continuationSeparator" w:id="0">
    <w:p w14:paraId="1AD6F89E" w14:textId="77777777" w:rsidR="00B429D2" w:rsidRDefault="00B429D2" w:rsidP="0018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B3575"/>
    <w:multiLevelType w:val="hybridMultilevel"/>
    <w:tmpl w:val="90CA4228"/>
    <w:lvl w:ilvl="0" w:tplc="040C0001">
      <w:start w:val="1"/>
      <w:numFmt w:val="bullet"/>
      <w:lvlText w:val=""/>
      <w:lvlJc w:val="left"/>
      <w:pPr>
        <w:ind w:left="1275" w:hanging="360"/>
      </w:pPr>
      <w:rPr>
        <w:rFonts w:ascii="Symbol" w:hAnsi="Symbol" w:hint="default"/>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1">
    <w:nsid w:val="38CB7D98"/>
    <w:multiLevelType w:val="hybridMultilevel"/>
    <w:tmpl w:val="C540BE3E"/>
    <w:lvl w:ilvl="0" w:tplc="DE4ECF8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038393B"/>
    <w:multiLevelType w:val="hybridMultilevel"/>
    <w:tmpl w:val="62F0FCFA"/>
    <w:lvl w:ilvl="0" w:tplc="B2C8386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E1B4ECB"/>
    <w:multiLevelType w:val="hybridMultilevel"/>
    <w:tmpl w:val="336877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1D7"/>
    <w:rsid w:val="0003201B"/>
    <w:rsid w:val="000663AA"/>
    <w:rsid w:val="00183242"/>
    <w:rsid w:val="001E7413"/>
    <w:rsid w:val="0022667E"/>
    <w:rsid w:val="00440068"/>
    <w:rsid w:val="00446F27"/>
    <w:rsid w:val="004625A3"/>
    <w:rsid w:val="00481EF0"/>
    <w:rsid w:val="00491429"/>
    <w:rsid w:val="004B5D6A"/>
    <w:rsid w:val="004C0F23"/>
    <w:rsid w:val="00545312"/>
    <w:rsid w:val="006707F2"/>
    <w:rsid w:val="007651B5"/>
    <w:rsid w:val="00794773"/>
    <w:rsid w:val="008A02DD"/>
    <w:rsid w:val="00A652F8"/>
    <w:rsid w:val="00AC6D09"/>
    <w:rsid w:val="00B429D2"/>
    <w:rsid w:val="00BE31A5"/>
    <w:rsid w:val="00C36D61"/>
    <w:rsid w:val="00D648BD"/>
    <w:rsid w:val="00D82EDD"/>
    <w:rsid w:val="00E40660"/>
    <w:rsid w:val="00EA1F73"/>
    <w:rsid w:val="00ED520A"/>
    <w:rsid w:val="00F50954"/>
    <w:rsid w:val="00F54755"/>
    <w:rsid w:val="00FE05FC"/>
    <w:rsid w:val="00FE51D7"/>
    <w:rsid w:val="00FF36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A4BD"/>
  <w15:chartTrackingRefBased/>
  <w15:docId w15:val="{85CDEF0B-81F7-4748-A397-25C1ABDF7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1D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E5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FE51D7"/>
    <w:pPr>
      <w:ind w:left="720"/>
      <w:contextualSpacing/>
    </w:pPr>
  </w:style>
  <w:style w:type="paragraph" w:styleId="Corpsdetexte2">
    <w:name w:val="Body Text 2"/>
    <w:basedOn w:val="Normal"/>
    <w:link w:val="Corpsdetexte2Car"/>
    <w:rsid w:val="00FE51D7"/>
    <w:pPr>
      <w:spacing w:before="120" w:after="0" w:line="240" w:lineRule="auto"/>
      <w:ind w:right="252"/>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FE51D7"/>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FE51D7"/>
    <w:pPr>
      <w:tabs>
        <w:tab w:val="center" w:pos="4536"/>
        <w:tab w:val="right" w:pos="9072"/>
      </w:tabs>
      <w:spacing w:after="0" w:line="240" w:lineRule="auto"/>
    </w:pPr>
  </w:style>
  <w:style w:type="character" w:customStyle="1" w:styleId="En-tteCar">
    <w:name w:val="En-tête Car"/>
    <w:basedOn w:val="Policepardfaut"/>
    <w:link w:val="En-tte"/>
    <w:uiPriority w:val="99"/>
    <w:rsid w:val="00FE51D7"/>
  </w:style>
  <w:style w:type="paragraph" w:styleId="Pieddepage">
    <w:name w:val="footer"/>
    <w:basedOn w:val="Normal"/>
    <w:link w:val="PieddepageCar"/>
    <w:uiPriority w:val="99"/>
    <w:unhideWhenUsed/>
    <w:rsid w:val="00FE51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51D7"/>
  </w:style>
  <w:style w:type="paragraph" w:customStyle="1" w:styleId="Texte1">
    <w:name w:val="Texte1"/>
    <w:basedOn w:val="Normal"/>
    <w:rsid w:val="00FE51D7"/>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after="0" w:line="240" w:lineRule="auto"/>
      <w:jc w:val="both"/>
    </w:pPr>
    <w:rPr>
      <w:rFonts w:ascii="Times New Roman" w:eastAsia="Times New Roman" w:hAnsi="Times New Roman" w:cs="Arial"/>
      <w:color w:val="000000"/>
      <w:sz w:val="20"/>
      <w:szCs w:val="20"/>
      <w:shd w:val="clear" w:color="auto" w:fill="FFFFFF"/>
      <w:lang w:val="en-US" w:eastAsia="ar-SA"/>
    </w:rPr>
  </w:style>
  <w:style w:type="character" w:styleId="Marquedecommentaire">
    <w:name w:val="annotation reference"/>
    <w:basedOn w:val="Policepardfaut"/>
    <w:uiPriority w:val="99"/>
    <w:semiHidden/>
    <w:unhideWhenUsed/>
    <w:rsid w:val="008A02DD"/>
    <w:rPr>
      <w:sz w:val="16"/>
      <w:szCs w:val="16"/>
    </w:rPr>
  </w:style>
  <w:style w:type="paragraph" w:styleId="Commentaire">
    <w:name w:val="annotation text"/>
    <w:basedOn w:val="Normal"/>
    <w:link w:val="CommentaireCar"/>
    <w:uiPriority w:val="99"/>
    <w:unhideWhenUsed/>
    <w:rsid w:val="008A02DD"/>
    <w:pPr>
      <w:spacing w:line="240" w:lineRule="auto"/>
    </w:pPr>
    <w:rPr>
      <w:sz w:val="20"/>
      <w:szCs w:val="20"/>
    </w:rPr>
  </w:style>
  <w:style w:type="character" w:customStyle="1" w:styleId="CommentaireCar">
    <w:name w:val="Commentaire Car"/>
    <w:basedOn w:val="Policepardfaut"/>
    <w:link w:val="Commentaire"/>
    <w:uiPriority w:val="99"/>
    <w:rsid w:val="008A02DD"/>
    <w:rPr>
      <w:sz w:val="20"/>
      <w:szCs w:val="20"/>
    </w:rPr>
  </w:style>
  <w:style w:type="paragraph" w:styleId="Objetducommentaire">
    <w:name w:val="annotation subject"/>
    <w:basedOn w:val="Commentaire"/>
    <w:next w:val="Commentaire"/>
    <w:link w:val="ObjetducommentaireCar"/>
    <w:uiPriority w:val="99"/>
    <w:semiHidden/>
    <w:unhideWhenUsed/>
    <w:rsid w:val="008A02DD"/>
    <w:rPr>
      <w:b/>
      <w:bCs/>
    </w:rPr>
  </w:style>
  <w:style w:type="character" w:customStyle="1" w:styleId="ObjetducommentaireCar">
    <w:name w:val="Objet du commentaire Car"/>
    <w:basedOn w:val="CommentaireCar"/>
    <w:link w:val="Objetducommentaire"/>
    <w:uiPriority w:val="99"/>
    <w:semiHidden/>
    <w:rsid w:val="008A02DD"/>
    <w:rPr>
      <w:b/>
      <w:bCs/>
      <w:sz w:val="20"/>
      <w:szCs w:val="20"/>
    </w:rPr>
  </w:style>
  <w:style w:type="paragraph" w:styleId="Textedebulles">
    <w:name w:val="Balloon Text"/>
    <w:basedOn w:val="Normal"/>
    <w:link w:val="TextedebullesCar"/>
    <w:uiPriority w:val="99"/>
    <w:semiHidden/>
    <w:unhideWhenUsed/>
    <w:rsid w:val="008A02D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02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506</Words>
  <Characters>2787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Stephane SOMANADANE</cp:lastModifiedBy>
  <cp:revision>15</cp:revision>
  <dcterms:created xsi:type="dcterms:W3CDTF">2025-01-13T16:45:00Z</dcterms:created>
  <dcterms:modified xsi:type="dcterms:W3CDTF">2025-03-05T07:47:00Z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70069e-3084-4e86-bc4b-5beca2595cc5_Enabled">
    <vt:lpwstr>true</vt:lpwstr>
  </property>
  <property fmtid="{D5CDD505-2E9C-101B-9397-08002B2CF9AE}" pid="3" name="MSIP_Label_9270069e-3084-4e86-bc4b-5beca2595cc5_SetDate">
    <vt:lpwstr>2025-01-15T08:57:24Z</vt:lpwstr>
  </property>
  <property fmtid="{D5CDD505-2E9C-101B-9397-08002B2CF9AE}" pid="4" name="MSIP_Label_9270069e-3084-4e86-bc4b-5beca2595cc5_Method">
    <vt:lpwstr>Standard</vt:lpwstr>
  </property>
  <property fmtid="{D5CDD505-2E9C-101B-9397-08002B2CF9AE}" pid="5" name="MSIP_Label_9270069e-3084-4e86-bc4b-5beca2595cc5_Name">
    <vt:lpwstr>restreint</vt:lpwstr>
  </property>
  <property fmtid="{D5CDD505-2E9C-101B-9397-08002B2CF9AE}" pid="6" name="MSIP_Label_9270069e-3084-4e86-bc4b-5beca2595cc5_SiteId">
    <vt:lpwstr>f51f324c-f96d-4f7b-b408-ce5533cfc592</vt:lpwstr>
  </property>
  <property fmtid="{D5CDD505-2E9C-101B-9397-08002B2CF9AE}" pid="7" name="MSIP_Label_9270069e-3084-4e86-bc4b-5beca2595cc5_ActionId">
    <vt:lpwstr>a9bcec7a-f983-4163-beb3-b8a227c37bd1</vt:lpwstr>
  </property>
  <property fmtid="{D5CDD505-2E9C-101B-9397-08002B2CF9AE}" pid="8" name="MSIP_Label_9270069e-3084-4e86-bc4b-5beca2595cc5_ContentBits">
    <vt:lpwstr>0</vt:lpwstr>
  </property>
</Properties>
</file>