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810" w:type="dxa"/>
        <w:jc w:val="left"/>
        <w:tblInd w:w="-4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239"/>
        <w:gridCol w:w="12570"/>
      </w:tblGrid>
      <w:tr>
        <w:trPr>
          <w:trHeight w:val="1935" w:hRule="atLeast"/>
        </w:trPr>
        <w:tc>
          <w:tcPr>
            <w:tcW w:w="323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color="auto" w:fill="DDDDDD" w:val="clear"/>
          </w:tcPr>
          <w:p>
            <w:pPr>
              <w:pStyle w:val="Contenudetableau"/>
              <w:widowControl w:val="false"/>
              <w:jc w:val="center"/>
              <w:rPr>
                <w:i/>
                <w:i/>
                <w:iCs/>
                <w:color w:val="006699"/>
                <w:sz w:val="12"/>
                <w:szCs w:val="12"/>
              </w:rPr>
            </w:pPr>
            <w:r>
              <w:rPr>
                <w:i/>
                <w:iCs/>
                <w:color w:val="006699"/>
                <w:sz w:val="12"/>
                <w:szCs w:val="12"/>
              </w:rPr>
            </w:r>
          </w:p>
          <w:p>
            <w:pPr>
              <w:pStyle w:val="Contenudetableau"/>
              <w:widowControl w:val="false"/>
              <w:jc w:val="center"/>
              <w:rPr>
                <w:i/>
                <w:i/>
                <w:iCs/>
                <w:color w:val="006699"/>
                <w:sz w:val="12"/>
                <w:szCs w:val="12"/>
              </w:rPr>
            </w:pPr>
            <w:r>
              <w:rPr>
                <w:i/>
                <w:iCs/>
                <w:color w:val="006699"/>
                <w:sz w:val="12"/>
                <w:szCs w:val="12"/>
              </w:rPr>
            </w:r>
          </w:p>
          <w:p>
            <w:pPr>
              <w:pStyle w:val="Contenudetableau"/>
              <w:widowControl w:val="false"/>
              <w:spacing w:before="0" w:after="160"/>
              <w:jc w:val="center"/>
              <w:rPr/>
            </w:pPr>
            <w:r>
              <w:rPr/>
              <w:drawing>
                <wp:anchor behindDoc="0" distT="0" distB="0" distL="114300" distR="114300" simplePos="0" locked="0" layoutInCell="1" allowOverlap="1" relativeHeight="2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-189230</wp:posOffset>
                  </wp:positionV>
                  <wp:extent cx="1717040" cy="1043940"/>
                  <wp:effectExtent l="0" t="0" r="0" b="0"/>
                  <wp:wrapSquare wrapText="bothSides"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70" w:type="dxa"/>
            <w:tcBorders>
              <w:top w:val="single" w:sz="2" w:space="0" w:color="FFFFFF"/>
              <w:left w:val="single" w:sz="8" w:space="0" w:color="FFFFFF"/>
              <w:bottom w:val="single" w:sz="2" w:space="0" w:color="FFFFFF"/>
              <w:right w:val="single" w:sz="2" w:space="0" w:color="FFFFFF"/>
            </w:tcBorders>
            <w:shd w:color="auto" w:fill="DDDDDD" w:val="clear"/>
            <w:vAlign w:val="center"/>
          </w:tcPr>
          <w:p>
            <w:pPr>
              <w:pStyle w:val="Contenudetableau"/>
              <w:widowControl w:val="false"/>
              <w:jc w:val="center"/>
              <w:rPr>
                <w:color w:val="006699"/>
              </w:rPr>
            </w:pPr>
            <w:r>
              <w:rPr>
                <w:color w:val="006699"/>
              </w:rPr>
            </w:r>
          </w:p>
          <w:p>
            <w:pPr>
              <w:pStyle w:val="Contenudetableau"/>
              <w:widowControl w:val="false"/>
              <w:jc w:val="center"/>
              <w:rPr>
                <w:color w:val="006699"/>
                <w:sz w:val="40"/>
                <w:szCs w:val="40"/>
              </w:rPr>
            </w:pPr>
            <w:r>
              <w:rPr>
                <w:color w:val="006699"/>
                <w:sz w:val="40"/>
                <w:szCs w:val="40"/>
              </w:rPr>
              <w:t>CADRE DE RÉPONSE TECHNIQUE</w:t>
            </w:r>
          </w:p>
          <w:p>
            <w:pPr>
              <w:pStyle w:val="Contenudetableau"/>
              <w:widowControl w:val="false"/>
              <w:jc w:val="center"/>
              <w:rPr>
                <w:color w:val="006699"/>
                <w:sz w:val="40"/>
                <w:szCs w:val="40"/>
              </w:rPr>
            </w:pPr>
            <w:r>
              <w:rPr>
                <w:color w:val="006699"/>
                <w:sz w:val="40"/>
                <w:szCs w:val="40"/>
              </w:rPr>
              <w:t xml:space="preserve">ACQUISITION DE </w:t>
            </w:r>
            <w:r>
              <w:rPr>
                <w:rStyle w:val="Emphasis"/>
                <w:rFonts w:eastAsia="Calibri" w:cs="SimSun"/>
                <w:i w:val="false"/>
                <w:iCs w:val="false"/>
                <w:color w:val="006699"/>
                <w:kern w:val="0"/>
                <w:sz w:val="40"/>
                <w:szCs w:val="40"/>
                <w:lang w:eastAsia="en-US" w:bidi="ar-SA"/>
              </w:rPr>
              <w:t>FOURNITURE D’EXPLOSIFS ET DE LEURS ARTIFICES DE MISE EN OEUVRE AU PROFIT DE LA DGSCGC</w:t>
            </w:r>
          </w:p>
          <w:p>
            <w:pPr>
              <w:pStyle w:val="Contenudetableau"/>
              <w:widowControl w:val="false"/>
              <w:spacing w:before="0" w:after="160"/>
              <w:jc w:val="center"/>
              <w:rPr>
                <w:b/>
                <w:bCs/>
                <w:color w:val="006699"/>
                <w:sz w:val="28"/>
                <w:szCs w:val="28"/>
              </w:rPr>
            </w:pPr>
            <w:r>
              <w:rPr>
                <w:b/>
                <w:bCs/>
                <w:color w:val="006699"/>
                <w:sz w:val="28"/>
                <w:szCs w:val="28"/>
              </w:rPr>
              <w:t>LOT 3 : charge linéaire découpante</w:t>
            </w:r>
          </w:p>
        </w:tc>
      </w:tr>
    </w:tbl>
    <w:p>
      <w:pPr>
        <w:pStyle w:val="Standard"/>
        <w:jc w:val="center"/>
        <w:rPr>
          <w:rFonts w:ascii="Calibri" w:hAnsi="Calibri"/>
          <w:b/>
          <w:bCs/>
          <w:color w:val="000000"/>
          <w:sz w:val="16"/>
          <w:szCs w:val="16"/>
        </w:rPr>
      </w:pPr>
      <w:r>
        <w:rPr>
          <w:rFonts w:ascii="Calibri" w:hAnsi="Calibri"/>
          <w:b/>
          <w:bCs/>
          <w:color w:val="000000"/>
          <w:sz w:val="16"/>
          <w:szCs w:val="16"/>
        </w:rPr>
      </w:r>
    </w:p>
    <w:p>
      <w:pPr>
        <w:pStyle w:val="Textbody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Nom de la société :</w:t>
      </w:r>
    </w:p>
    <w:p>
      <w:pPr>
        <w:pStyle w:val="Textbody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Offre :</w:t>
      </w:r>
    </w:p>
    <w:p>
      <w:pPr>
        <w:pStyle w:val="Textbody"/>
        <w:ind w:hanging="737" w:left="737"/>
        <w:jc w:val="both"/>
        <w:rPr/>
      </w:pPr>
      <w:r>
        <w:rPr>
          <w:rFonts w:ascii="Calibri" w:hAnsi="Calibri"/>
          <w:u w:val="single"/>
          <w:shd w:fill="FFFFFF" w:val="clear"/>
        </w:rPr>
        <w:t>Il existe 2 types d’exigences</w:t>
      </w:r>
      <w:r>
        <w:rPr>
          <w:rFonts w:ascii="Calibri" w:hAnsi="Calibri"/>
          <w:shd w:fill="FFFFFF" w:val="clear"/>
        </w:rPr>
        <w:t> :</w:t>
      </w:r>
    </w:p>
    <w:p>
      <w:pPr>
        <w:pStyle w:val="Textbody"/>
        <w:spacing w:lineRule="auto" w:line="240" w:before="0" w:after="0"/>
        <w:ind w:right="567"/>
        <w:jc w:val="both"/>
        <w:rPr/>
      </w:pPr>
      <w:r>
        <w:rPr>
          <w:rFonts w:ascii="Calibri" w:hAnsi="Calibri"/>
          <w:shd w:fill="FFFFFF" w:val="clear"/>
        </w:rPr>
        <w:t>Les exigences impératives, notées</w:t>
      </w:r>
      <w:r>
        <w:rPr>
          <w:rFonts w:ascii="Calibri" w:hAnsi="Calibri"/>
          <w:b/>
          <w:bCs/>
          <w:shd w:fill="FFFFFF" w:val="clear"/>
        </w:rPr>
        <w:t xml:space="preserve"> I</w:t>
      </w:r>
      <w:r>
        <w:rPr>
          <w:rFonts w:ascii="Calibri" w:hAnsi="Calibri"/>
          <w:shd w:fill="FFFFFF" w:val="clear"/>
        </w:rPr>
        <w:t>, sont des exigences obligatoires, leur non-respect est éliminatoire.</w:t>
      </w:r>
    </w:p>
    <w:p>
      <w:pPr>
        <w:pStyle w:val="Standard"/>
        <w:jc w:val="both"/>
        <w:rPr>
          <w:rFonts w:ascii="Calibri" w:hAnsi="Calibri"/>
          <w:iCs/>
          <w:color w:val="000000"/>
          <w:shd w:fill="FFFFFF" w:val="clear"/>
        </w:rPr>
      </w:pPr>
      <w:r>
        <w:rPr>
          <w:rFonts w:ascii="Calibri" w:hAnsi="Calibri"/>
          <w:iCs/>
          <w:color w:val="000000"/>
          <w:shd w:fill="FFFFFF" w:val="clear"/>
        </w:rPr>
        <w:t>La conformité de l’offre aux exigences impératives est vérifiée au travers du dossier technique et des échantillons.</w:t>
      </w:r>
    </w:p>
    <w:p>
      <w:pPr>
        <w:pStyle w:val="Textbody"/>
        <w:spacing w:before="0" w:after="0"/>
        <w:ind w:right="567"/>
        <w:jc w:val="both"/>
        <w:rPr/>
      </w:pPr>
      <w:r>
        <w:rPr>
          <w:rFonts w:ascii="Calibri" w:hAnsi="Calibri"/>
          <w:color w:val="000000"/>
          <w:shd w:fill="FFFFFF" w:val="clear"/>
        </w:rPr>
        <w:t xml:space="preserve">Les exigences souhaitables sont notées </w:t>
      </w:r>
      <w:r>
        <w:rPr>
          <w:rFonts w:ascii="Calibri" w:hAnsi="Calibri"/>
          <w:b/>
          <w:bCs/>
          <w:color w:val="000000"/>
          <w:shd w:fill="FFFFFF" w:val="clear"/>
        </w:rPr>
        <w:t>S</w:t>
      </w:r>
      <w:r>
        <w:rPr>
          <w:rFonts w:ascii="Calibri" w:hAnsi="Calibri"/>
          <w:color w:val="000000"/>
          <w:shd w:fill="FFFFFF" w:val="clear"/>
        </w:rPr>
        <w:t>.</w:t>
      </w:r>
    </w:p>
    <w:p>
      <w:pPr>
        <w:pStyle w:val="Textbody"/>
        <w:spacing w:before="0" w:after="0"/>
        <w:ind w:right="567"/>
        <w:jc w:val="both"/>
        <w:rPr/>
      </w:pPr>
      <w:r>
        <w:rPr/>
      </w:r>
    </w:p>
    <w:tbl>
      <w:tblPr>
        <w:tblW w:w="18434" w:type="dxa"/>
        <w:jc w:val="left"/>
        <w:tblInd w:w="-47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3117"/>
        <w:gridCol w:w="6345"/>
        <w:gridCol w:w="1312"/>
        <w:gridCol w:w="5036"/>
        <w:gridCol w:w="1311"/>
        <w:gridCol w:w="1312"/>
      </w:tblGrid>
      <w:tr>
        <w:trPr>
          <w:tblHeader w:val="true"/>
          <w:trHeight w:val="805" w:hRule="atLeast"/>
        </w:trPr>
        <w:tc>
          <w:tcPr>
            <w:tcW w:w="15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Contenudetableau"/>
              <w:widowControl w:val="false"/>
              <w:jc w:val="center"/>
              <w:rPr>
                <w:color w:val="006699"/>
                <w:sz w:val="6"/>
                <w:szCs w:val="6"/>
              </w:rPr>
            </w:pPr>
            <w:r>
              <w:rPr>
                <w:color w:val="006699"/>
                <w:sz w:val="6"/>
                <w:szCs w:val="6"/>
              </w:rPr>
            </w:r>
          </w:p>
          <w:p>
            <w:pPr>
              <w:pStyle w:val="Contenudetableau"/>
              <w:widowControl w:val="false"/>
              <w:jc w:val="center"/>
              <w:rPr>
                <w:b/>
                <w:bCs/>
                <w:color w:val="006699"/>
                <w:sz w:val="28"/>
                <w:szCs w:val="28"/>
              </w:rPr>
            </w:pPr>
            <w:r>
              <w:rPr>
                <w:b/>
                <w:bCs/>
                <w:color w:val="006699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6699"/>
                <w:sz w:val="28"/>
                <w:szCs w:val="28"/>
              </w:rPr>
              <w:t>LOT 3 : charge linéaire découpante</w:t>
            </w:r>
          </w:p>
          <w:p>
            <w:pPr>
              <w:pStyle w:val="Contenudetableau"/>
              <w:widowControl w:val="false"/>
              <w:spacing w:before="0" w:after="160"/>
              <w:jc w:val="center"/>
              <w:rPr>
                <w:color w:val="006699"/>
                <w:sz w:val="6"/>
                <w:szCs w:val="6"/>
              </w:rPr>
            </w:pPr>
            <w:r>
              <w:rPr>
                <w:color w:val="006699"/>
                <w:sz w:val="6"/>
                <w:szCs w:val="6"/>
              </w:rPr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Contenudetableau"/>
              <w:widowControl w:val="false"/>
              <w:spacing w:before="0" w:after="160"/>
              <w:jc w:val="center"/>
              <w:rPr>
                <w:color w:val="006699"/>
                <w:sz w:val="6"/>
                <w:szCs w:val="6"/>
              </w:rPr>
            </w:pPr>
            <w:r>
              <w:rPr>
                <w:color w:val="006699"/>
                <w:sz w:val="6"/>
                <w:szCs w:val="6"/>
              </w:rPr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spacing w:before="0" w:after="160"/>
              <w:jc w:val="center"/>
              <w:rPr>
                <w:color w:val="006699"/>
                <w:sz w:val="6"/>
                <w:szCs w:val="6"/>
              </w:rPr>
            </w:pPr>
            <w:r>
              <w:rPr>
                <w:color w:val="006699"/>
                <w:sz w:val="6"/>
                <w:szCs w:val="6"/>
              </w:rPr>
            </w:r>
          </w:p>
        </w:tc>
      </w:tr>
      <w:tr>
        <w:trPr>
          <w:tblHeader w:val="true"/>
          <w:trHeight w:val="873" w:hRule="atLeast"/>
        </w:trPr>
        <w:tc>
          <w:tcPr>
            <w:tcW w:w="3117" w:type="dxa"/>
            <w:tcBorders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Subtitle"/>
              <w:widowControl w:val="false"/>
              <w:snapToGrid w:val="false"/>
              <w:rPr>
                <w:rFonts w:ascii="Calibri" w:hAnsi="Calibri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Calibri" w:hAnsi="Calibri"/>
                <w:i w:val="false"/>
                <w:iCs w:val="false"/>
                <w:sz w:val="24"/>
                <w:szCs w:val="24"/>
              </w:rPr>
              <w:t>Fonction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Exigence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Demandé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Réponse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ascii="Calibri" w:hAnsi="Calibri"/>
                <w:b/>
                <w:i w:val="false"/>
                <w:iCs w:val="false"/>
              </w:rPr>
              <w:t>avec renvoi au mémoire technique</w:t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  <w:i/>
                <w:i/>
                <w:iCs/>
              </w:rPr>
            </w:pPr>
            <w:r>
              <w:rPr>
                <w:rFonts w:ascii="Calibri" w:hAnsi="Calibri"/>
                <w:b/>
                <w:i/>
                <w:iCs/>
              </w:rPr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  <w:i/>
                <w:i/>
                <w:iCs/>
              </w:rPr>
            </w:pPr>
            <w:r>
              <w:rPr>
                <w:rFonts w:ascii="Calibri" w:hAnsi="Calibri"/>
                <w:b/>
                <w:i/>
                <w:iCs/>
              </w:rPr>
            </w:r>
          </w:p>
        </w:tc>
      </w:tr>
      <w:tr>
        <w:trPr>
          <w:trHeight w:val="424" w:hRule="atLeast"/>
        </w:trPr>
        <w:tc>
          <w:tcPr>
            <w:tcW w:w="31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F.17</w:t>
            </w:r>
          </w:p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rFonts w:ascii="Calibri" w:hAnsi="Calibri" w:eastAsia="Arial"/>
                <w:color w:val="000000"/>
              </w:rPr>
            </w:pPr>
            <w:r>
              <w:rPr>
                <w:rFonts w:eastAsia="Arial" w:ascii="Calibri" w:hAnsi="Calibri"/>
                <w:b/>
                <w:bCs/>
                <w:color w:val="000000"/>
                <w:sz w:val="22"/>
                <w:szCs w:val="22"/>
              </w:rPr>
              <w:t>caractéristiques de la charge linéaire découpante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/>
                <w:shd w:fill="FFFFFF" w:val="clear"/>
              </w:rPr>
            </w:pPr>
            <w:r>
              <w:rPr>
                <w:rFonts w:ascii="Calibri" w:hAnsi="Calibri"/>
                <w:shd w:fill="FFFFFF" w:val="clear"/>
              </w:rPr>
              <w:t xml:space="preserve">E.17.1 : </w:t>
            </w:r>
            <w:r>
              <w:rPr>
                <w:rStyle w:val="Emphasis"/>
                <w:rFonts w:eastAsia="Times New Roman" w:cs="Calibri" w:ascii="Calibri" w:hAnsi="Calibri" w:cstheme="minorHAnsi"/>
                <w:i w:val="false"/>
                <w:color w:val="000000"/>
                <w:shd w:fill="FFFFFF" w:val="clear"/>
              </w:rPr>
              <w:t>Charge formée linéaire de 1 m de long et flexible conçue pour le découpage par explosif d’éléments principalement métalliques, de 6 mm à 40 mm de découpe d'épaisseur de métal</w:t>
            </w:r>
            <w:r>
              <w:rPr>
                <w:rFonts w:ascii="Calibri" w:hAnsi="Calibri"/>
                <w:shd w:fill="FFFFFF" w:val="clear"/>
              </w:rPr>
              <w:t xml:space="preserve">. </w:t>
            </w:r>
            <w:r>
              <w:rPr>
                <w:rFonts w:ascii="Calibri" w:hAnsi="Calibri"/>
                <w:b/>
                <w:shd w:fill="FFFFFF" w:val="clear"/>
              </w:rPr>
              <w:t>(I)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/>
            </w:pPr>
            <w:r>
              <w:rPr/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/>
                <w:shd w:fill="FFFFFF" w:val="clear"/>
              </w:rPr>
            </w:pPr>
            <w:r>
              <w:rPr>
                <w:rFonts w:ascii="Calibri" w:hAnsi="Calibri"/>
                <w:shd w:fill="FFFFFF" w:val="clear"/>
              </w:rPr>
              <w:t xml:space="preserve">E.17.2 : </w:t>
            </w:r>
            <w:r>
              <w:rPr>
                <w:rStyle w:val="Emphasis"/>
                <w:rFonts w:eastAsia="Times New Roman" w:cs="Times New Roman" w:ascii="Calibri" w:hAnsi="Calibri"/>
                <w:i w:val="false"/>
                <w:color w:val="000000"/>
                <w:kern w:val="2"/>
                <w:shd w:fill="FFFFFF" w:val="clear"/>
              </w:rPr>
              <w:t>Charge placée dans un corps universel de mousse polyéthylène noire, équipée sur sa face inférieure d’une couche auto-adhésive protégée</w:t>
            </w:r>
            <w:r>
              <w:rPr>
                <w:rFonts w:ascii="Calibri" w:hAnsi="Calibri"/>
                <w:shd w:fill="FFFFFF" w:val="clear"/>
              </w:rPr>
              <w:t xml:space="preserve">. </w:t>
            </w:r>
            <w:r>
              <w:rPr>
                <w:rFonts w:ascii="Calibri" w:hAnsi="Calibri"/>
                <w:b/>
                <w:shd w:fill="FFFFFF" w:val="clear"/>
              </w:rPr>
              <w:t>(I)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/>
            </w:pPr>
            <w:r>
              <w:rPr/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/>
                <w:shd w:fill="FFFFFF" w:val="clear"/>
              </w:rPr>
            </w:pPr>
            <w:r>
              <w:rPr>
                <w:rFonts w:ascii="Calibri" w:hAnsi="Calibri"/>
                <w:shd w:fill="FFFFFF" w:val="clear"/>
              </w:rPr>
              <w:t xml:space="preserve">E.17.3 : </w:t>
            </w:r>
            <w:r>
              <w:rPr>
                <w:rStyle w:val="Emphasis"/>
                <w:rFonts w:eastAsia="Times New Roman" w:cs="Times New Roman" w:ascii="Calibri" w:hAnsi="Calibri"/>
                <w:i w:val="false"/>
                <w:color w:val="000000"/>
                <w:kern w:val="2"/>
                <w:shd w:fill="FFFFFF" w:val="clear"/>
              </w:rPr>
              <w:t>Charge ayant le profil caractéristique d’une forme de « V » inversé se composant d’une protection supérieure de couleur brun-rouge, de la charge d’explosif habituellement de couleur blanche ou verte</w:t>
            </w:r>
            <w:r>
              <w:rPr>
                <w:rFonts w:ascii="Calibri" w:hAnsi="Calibri"/>
                <w:shd w:fill="FFFFFF" w:val="clear"/>
              </w:rPr>
              <w:t xml:space="preserve">.  </w:t>
            </w:r>
            <w:r>
              <w:rPr>
                <w:rFonts w:ascii="Calibri" w:hAnsi="Calibri"/>
                <w:b/>
                <w:shd w:fill="FFFFFF" w:val="clear"/>
              </w:rPr>
              <w:t>(I)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/>
                <w:shd w:fill="FFFFFF" w:val="clear"/>
              </w:rPr>
            </w:pPr>
            <w:r>
              <w:rPr>
                <w:rFonts w:ascii="Calibri" w:hAnsi="Calibri"/>
                <w:shd w:fill="FFFFFF" w:val="clear"/>
              </w:rPr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/>
            </w:pPr>
            <w:r>
              <w:rPr/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Times New Roman" w:ascii="Calibri" w:hAnsi="Calibri"/>
                <w:i w:val="false"/>
                <w:color w:val="000000"/>
                <w:shd w:fill="FFFFFF" w:val="clear"/>
              </w:rPr>
              <w:t xml:space="preserve">E.17.4 : Différentes versions du produit seront proposées permettant différentes profondeurs de coupe  </w:t>
            </w:r>
            <w:r>
              <w:rPr>
                <w:rStyle w:val="Emphasis"/>
                <w:rFonts w:eastAsia="Times New Roman" w:cs="Times New Roman" w:ascii="Calibri" w:hAnsi="Calibri"/>
                <w:b/>
                <w:i w:val="false"/>
                <w:color w:val="000000"/>
                <w:shd w:fill="FFFFFF" w:val="clear"/>
              </w:rPr>
              <w:t>(I)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/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/>
            </w:pPr>
            <w:r>
              <w:rPr/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Times New Roman"/>
                <w:i w:val="false"/>
                <w:color w:val="000000"/>
              </w:rPr>
              <w:t xml:space="preserve">E.17.5 : </w:t>
            </w:r>
            <w:r>
              <w:rPr>
                <w:rStyle w:val="Emphasis"/>
                <w:rFonts w:eastAsia="Times New Roman" w:cs="Times New Roman" w:ascii="Calibri" w:hAnsi="Calibri"/>
                <w:i w:val="false"/>
                <w:color w:val="000000"/>
                <w:kern w:val="2"/>
                <w:sz w:val="24"/>
                <w:szCs w:val="24"/>
                <w:shd w:fill="FFFFFF" w:val="clear"/>
                <w:lang w:val="fr-FR" w:eastAsia="zh-CN" w:bidi="hi-IN"/>
              </w:rPr>
              <w:t xml:space="preserve">La charge peut-être indifféremment utilisée en environnement sec ou humide, propre ou sale, avec possibilité d'immersion  </w:t>
            </w:r>
            <w:r>
              <w:rPr>
                <w:rStyle w:val="Emphasis"/>
                <w:rFonts w:eastAsia="Times New Roman" w:cs="Times New Roman" w:ascii="Calibri" w:hAnsi="Calibri"/>
                <w:b/>
                <w:i w:val="false"/>
                <w:color w:val="000000"/>
                <w:kern w:val="2"/>
                <w:sz w:val="24"/>
                <w:szCs w:val="24"/>
                <w:shd w:fill="FFFFFF" w:val="clear"/>
                <w:lang w:val="fr-FR" w:eastAsia="zh-CN" w:bidi="hi-IN"/>
              </w:rPr>
              <w:t>(I)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/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/>
            </w:pPr>
            <w:r>
              <w:rPr/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Times New Roman"/>
                <w:i w:val="false"/>
                <w:color w:val="000000"/>
              </w:rPr>
              <w:t xml:space="preserve">E.17.6 : La facilité de découpe avec une lame droite sera valorisée </w:t>
            </w:r>
            <w:r>
              <w:rPr>
                <w:rStyle w:val="Emphasis"/>
                <w:rFonts w:eastAsia="Times New Roman" w:cs="Times New Roman" w:ascii="Calibri" w:hAnsi="Calibri"/>
                <w:b/>
                <w:i w:val="false"/>
                <w:color w:val="000000"/>
                <w:shd w:fill="FFFFFF" w:val="clear"/>
              </w:rPr>
              <w:t>(S)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/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/>
            </w:pPr>
            <w:r>
              <w:rPr/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Times New Roman"/>
                <w:i w:val="false"/>
                <w:color w:val="000000"/>
              </w:rPr>
              <w:t xml:space="preserve">E.17.7 : La facilité de mise en oeuvre du détonateur sera valorisée </w:t>
            </w:r>
            <w:r>
              <w:rPr>
                <w:rStyle w:val="Emphasis"/>
                <w:rFonts w:eastAsia="Times New Roman" w:cs="Times New Roman" w:ascii="Calibri" w:hAnsi="Calibri"/>
                <w:b/>
                <w:i w:val="false"/>
                <w:color w:val="000000"/>
                <w:shd w:fill="FFFFFF" w:val="clear"/>
              </w:rPr>
              <w:t>(S)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/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F.18</w:t>
            </w:r>
          </w:p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Conditionnement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E.18.1 : </w:t>
            </w: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Conditionnement sous emballage individuel dans un carton homologué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. </w:t>
            </w:r>
            <w:r>
              <w:rPr>
                <w:rFonts w:ascii="Calibri" w:hAnsi="Calibri"/>
                <w:b/>
                <w:shd w:fill="FFFFFF" w:val="clear"/>
              </w:rPr>
              <w:t>(I)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F.19</w:t>
            </w:r>
          </w:p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Documentation obligatoire à fournir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0" w:leader="none"/>
                <w:tab w:val="left" w:pos="560" w:leader="none"/>
              </w:tabs>
              <w:jc w:val="both"/>
              <w:rPr/>
            </w:pPr>
            <w:r>
              <w:rPr>
                <w:rFonts w:ascii="Calibri" w:hAnsi="Calibri"/>
                <w:shd w:fill="FFFFFF" w:val="clear"/>
              </w:rPr>
              <w:t xml:space="preserve">E.19.1 : </w:t>
            </w:r>
            <w:r>
              <w:rPr>
                <w:rFonts w:ascii="Calibri" w:hAnsi="Calibri"/>
                <w:b/>
                <w:color w:val="000000"/>
                <w:shd w:fill="FFFFFF" w:val="clear"/>
              </w:rPr>
              <w:t>(I)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ascii="Calibri" w:hAnsi="Calibri"/>
                <w:shd w:fill="FFFFFF" w:val="clear"/>
              </w:rPr>
              <w:t xml:space="preserve"> </w:t>
            </w: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Les candidats fourniront avec leur offre une fiche technique FDSP du matériel proposé, comprenant notamment :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une fiche descriptive de la charge découpante détaillant notamment sa composition en explosif et sa conception ;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le type de conditionnement de la charge, décrivant la longueur et l’encombrement précis d’un kit ;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les propriétés de la charge ;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les certificats du produit (OTAN, autres) et ses agréments au transport ;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la durée de vie du produit.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0" w:leader="none"/>
                <w:tab w:val="left" w:pos="560" w:leader="none"/>
              </w:tabs>
              <w:jc w:val="both"/>
              <w:rPr>
                <w:rFonts w:ascii="Calibri" w:hAnsi="Calibri"/>
                <w:b/>
                <w:color w:val="000000"/>
                <w:shd w:fill="FFFFFF" w:val="clear"/>
              </w:rPr>
            </w:pPr>
            <w:r>
              <w:rPr>
                <w:rFonts w:ascii="Calibri" w:hAnsi="Calibri"/>
                <w:b/>
                <w:color w:val="000000"/>
                <w:shd w:fill="FFFFFF" w:val="clear"/>
              </w:rPr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Standard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850" w:right="850" w:gutter="0" w:header="170" w:top="508" w:footer="170" w:bottom="65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Symbol">
    <w:charset w:val="01"/>
    <w:family w:val="auto"/>
    <w:pitch w:val="default"/>
  </w:font>
  <w:font w:name="Wingdings">
    <w:charset w:val="01"/>
    <w:family w:val="auto"/>
    <w:pitch w:val="default"/>
  </w:font>
  <w:font w:name="Courier New">
    <w:charset w:val="01"/>
    <w:family w:val="auto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Marianne">
    <w:charset w:val="01"/>
    <w:family w:val="auto"/>
    <w:pitch w:val="default"/>
  </w:font>
  <w:font w:name="Calibri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700" w:type="dxa"/>
      <w:jc w:val="left"/>
      <w:tblInd w:w="9500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700"/>
    </w:tblGrid>
    <w:tr>
      <w:trPr/>
      <w:tc>
        <w:tcPr>
          <w:tcW w:w="700" w:type="dxa"/>
          <w:tcBorders>
            <w:top w:val="single" w:sz="2" w:space="0" w:color="FFFFFF"/>
            <w:left w:val="single" w:sz="18" w:space="0" w:color="FFFFFF"/>
            <w:bottom w:val="single" w:sz="2" w:space="0" w:color="FFFFFF"/>
            <w:right w:val="single" w:sz="2" w:space="0" w:color="FFFFFF"/>
          </w:tcBorders>
          <w:shd w:color="auto" w:fill="006699" w:val="clear"/>
        </w:tcPr>
        <w:p>
          <w:pPr>
            <w:pStyle w:val="Footer"/>
            <w:widowControl w:val="false"/>
            <w:jc w:val="center"/>
            <w:rPr/>
          </w:pP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fldChar w:fldCharType="begin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instrText xml:space="preserve"> PAGE </w:instrTex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separate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t>3</w: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end"/>
          </w: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t>/</w:t>
          </w: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fldChar w:fldCharType="begin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instrText xml:space="preserve"> NUMPAGES </w:instrTex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separate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t>3</w: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end"/>
          </w:r>
        </w:p>
      </w:tc>
    </w:tr>
  </w:tbl>
  <w:p>
    <w:pPr>
      <w:pStyle w:val="Standard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700" w:type="dxa"/>
      <w:jc w:val="left"/>
      <w:tblInd w:w="9500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700"/>
    </w:tblGrid>
    <w:tr>
      <w:trPr/>
      <w:tc>
        <w:tcPr>
          <w:tcW w:w="700" w:type="dxa"/>
          <w:tcBorders>
            <w:top w:val="single" w:sz="2" w:space="0" w:color="FFFFFF"/>
            <w:left w:val="single" w:sz="18" w:space="0" w:color="FFFFFF"/>
            <w:bottom w:val="single" w:sz="2" w:space="0" w:color="FFFFFF"/>
            <w:right w:val="single" w:sz="2" w:space="0" w:color="FFFFFF"/>
          </w:tcBorders>
          <w:shd w:color="auto" w:fill="006699" w:val="clear"/>
        </w:tcPr>
        <w:p>
          <w:pPr>
            <w:pStyle w:val="Footer"/>
            <w:widowControl w:val="false"/>
            <w:jc w:val="center"/>
            <w:rPr/>
          </w:pP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fldChar w:fldCharType="begin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instrText xml:space="preserve"> PAGE </w:instrTex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separate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t>3</w: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end"/>
          </w: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t>/</w:t>
          </w: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fldChar w:fldCharType="begin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instrText xml:space="preserve"> NUMPAGES </w:instrTex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separate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t>3</w: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end"/>
          </w:r>
        </w:p>
      </w:tc>
    </w:tr>
  </w:tbl>
  <w:p>
    <w:pPr>
      <w:pStyle w:val="Standard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5870" w:type="dxa"/>
      <w:jc w:val="left"/>
      <w:tblInd w:w="-445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3118"/>
      <w:gridCol w:w="12751"/>
    </w:tblGrid>
    <w:tr>
      <w:trPr>
        <w:trHeight w:val="390" w:hRule="atLeast"/>
      </w:trPr>
      <w:tc>
        <w:tcPr>
          <w:tcW w:w="3118" w:type="dxa"/>
          <w:tcBorders>
            <w:top w:val="single" w:sz="2" w:space="0" w:color="FFFFFF"/>
            <w:left w:val="single" w:sz="2" w:space="0" w:color="FFFFFF"/>
            <w:bottom w:val="single" w:sz="2" w:space="0" w:color="FFFFFF"/>
          </w:tcBorders>
          <w:shd w:color="auto" w:fill="006699" w:val="clear"/>
        </w:tcPr>
        <w:p>
          <w:pPr>
            <w:pStyle w:val="Contenudetableau"/>
            <w:widowControl w:val="false"/>
            <w:spacing w:before="0" w:after="160"/>
            <w:jc w:val="center"/>
            <w:rPr>
              <w:color w:val="FFFFFF"/>
              <w:sz w:val="20"/>
              <w:szCs w:val="20"/>
            </w:rPr>
          </w:pPr>
          <w:r>
            <w:rPr>
              <w:color w:val="FFFFFF"/>
              <w:sz w:val="20"/>
              <w:szCs w:val="20"/>
            </w:rPr>
            <w:t>SDIP/BME/SMT</w:t>
          </w:r>
        </w:p>
      </w:tc>
      <w:tc>
        <w:tcPr>
          <w:tcW w:w="12751" w:type="dxa"/>
          <w:tcBorders>
            <w:top w:val="single" w:sz="2" w:space="0" w:color="FFFFFF"/>
            <w:left w:val="single" w:sz="8" w:space="0" w:color="FFFFFF"/>
            <w:bottom w:val="single" w:sz="2" w:space="0" w:color="FFFFFF"/>
            <w:right w:val="single" w:sz="18" w:space="0" w:color="FFFFFF"/>
          </w:tcBorders>
          <w:shd w:color="auto" w:fill="006699" w:val="clear"/>
        </w:tcPr>
        <w:p>
          <w:pPr>
            <w:pStyle w:val="Contenudetableau"/>
            <w:widowControl w:val="false"/>
            <w:spacing w:before="0" w:after="160"/>
            <w:jc w:val="center"/>
            <w:rPr>
              <w:color w:val="FFFFFF"/>
              <w:sz w:val="20"/>
              <w:szCs w:val="20"/>
            </w:rPr>
          </w:pPr>
          <w:r>
            <w:rPr>
              <w:color w:val="FFFFFF"/>
              <w:sz w:val="20"/>
              <w:szCs w:val="20"/>
            </w:rPr>
            <w:t xml:space="preserve">Le  </w:t>
          </w:r>
          <w:r>
            <w:rPr>
              <w:color w:val="FFFFFF"/>
              <w:sz w:val="20"/>
              <w:szCs w:val="20"/>
            </w:rPr>
            <w:t>17</w:t>
          </w:r>
          <w:r>
            <w:rPr>
              <w:color w:val="FFFFFF"/>
              <w:sz w:val="20"/>
              <w:szCs w:val="20"/>
            </w:rPr>
            <w:t>/12/2025</w:t>
          </w:r>
        </w:p>
      </w:tc>
    </w:tr>
  </w:tbl>
  <w:p>
    <w:pPr>
      <w:pStyle w:val="Standard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5870" w:type="dxa"/>
      <w:jc w:val="left"/>
      <w:tblInd w:w="-445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3118"/>
      <w:gridCol w:w="12751"/>
    </w:tblGrid>
    <w:tr>
      <w:trPr>
        <w:trHeight w:val="390" w:hRule="atLeast"/>
      </w:trPr>
      <w:tc>
        <w:tcPr>
          <w:tcW w:w="3118" w:type="dxa"/>
          <w:tcBorders>
            <w:top w:val="single" w:sz="2" w:space="0" w:color="FFFFFF"/>
            <w:left w:val="single" w:sz="2" w:space="0" w:color="FFFFFF"/>
            <w:bottom w:val="single" w:sz="2" w:space="0" w:color="FFFFFF"/>
          </w:tcBorders>
          <w:shd w:color="auto" w:fill="006699" w:val="clear"/>
        </w:tcPr>
        <w:p>
          <w:pPr>
            <w:pStyle w:val="Contenudetableau"/>
            <w:widowControl w:val="false"/>
            <w:spacing w:before="0" w:after="160"/>
            <w:jc w:val="center"/>
            <w:rPr>
              <w:color w:val="FFFFFF"/>
              <w:sz w:val="20"/>
              <w:szCs w:val="20"/>
            </w:rPr>
          </w:pPr>
          <w:r>
            <w:rPr>
              <w:color w:val="FFFFFF"/>
              <w:sz w:val="20"/>
              <w:szCs w:val="20"/>
            </w:rPr>
            <w:t>SDIP/BME/SMT</w:t>
          </w:r>
        </w:p>
      </w:tc>
      <w:tc>
        <w:tcPr>
          <w:tcW w:w="12751" w:type="dxa"/>
          <w:tcBorders>
            <w:top w:val="single" w:sz="2" w:space="0" w:color="FFFFFF"/>
            <w:left w:val="single" w:sz="8" w:space="0" w:color="FFFFFF"/>
            <w:bottom w:val="single" w:sz="2" w:space="0" w:color="FFFFFF"/>
            <w:right w:val="single" w:sz="18" w:space="0" w:color="FFFFFF"/>
          </w:tcBorders>
          <w:shd w:color="auto" w:fill="006699" w:val="clear"/>
        </w:tcPr>
        <w:p>
          <w:pPr>
            <w:pStyle w:val="Contenudetableau"/>
            <w:widowControl w:val="false"/>
            <w:spacing w:before="0" w:after="160"/>
            <w:jc w:val="center"/>
            <w:rPr>
              <w:color w:val="FFFFFF"/>
              <w:sz w:val="20"/>
              <w:szCs w:val="20"/>
            </w:rPr>
          </w:pPr>
          <w:r>
            <w:rPr>
              <w:color w:val="FFFFFF"/>
              <w:sz w:val="20"/>
              <w:szCs w:val="20"/>
            </w:rPr>
            <w:t xml:space="preserve">Le  </w:t>
          </w:r>
          <w:r>
            <w:rPr>
              <w:color w:val="FFFFFF"/>
              <w:sz w:val="20"/>
              <w:szCs w:val="20"/>
            </w:rPr>
            <w:t>17</w:t>
          </w:r>
          <w:r>
            <w:rPr>
              <w:color w:val="FFFFFF"/>
              <w:sz w:val="20"/>
              <w:szCs w:val="20"/>
            </w:rPr>
            <w:t>/12/2025</w:t>
          </w:r>
        </w:p>
      </w:tc>
    </w:tr>
  </w:tbl>
  <w:p>
    <w:pPr>
      <w:pStyle w:val="Standard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4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Titre1"/>
    <w:next w:val="Textbody"/>
    <w:qFormat/>
    <w:pPr>
      <w:outlineLvl w:val="0"/>
    </w:pPr>
    <w:rPr/>
  </w:style>
  <w:style w:type="paragraph" w:styleId="Heading2">
    <w:name w:val="Heading 2"/>
    <w:basedOn w:val="Titre1"/>
    <w:next w:val="Textbody"/>
    <w:qFormat/>
    <w:pPr>
      <w:spacing w:before="200" w:after="120"/>
      <w:outlineLvl w:val="1"/>
    </w:pPr>
    <w:rPr/>
  </w:style>
  <w:style w:type="paragraph" w:styleId="Heading3">
    <w:name w:val="Heading 3"/>
    <w:basedOn w:val="Titre1"/>
    <w:next w:val="Textbody"/>
    <w:qFormat/>
    <w:pPr>
      <w:outlineLvl w:val="2"/>
    </w:pPr>
    <w:rPr/>
  </w:style>
  <w:style w:type="paragraph" w:styleId="Heading4">
    <w:name w:val="Heading 4"/>
    <w:basedOn w:val="Standard"/>
    <w:next w:val="Standard"/>
    <w:qFormat/>
    <w:pPr>
      <w:keepNext w:val="true"/>
      <w:outlineLvl w:val="3"/>
    </w:pPr>
    <w:rPr>
      <w:b/>
      <w:szCs w:val="20"/>
      <w:u w:val="single"/>
    </w:rPr>
  </w:style>
  <w:style w:type="paragraph" w:styleId="Heading6">
    <w:name w:val="Heading 6"/>
    <w:basedOn w:val="Standard"/>
    <w:next w:val="Textbody"/>
    <w:qFormat/>
    <w:pPr>
      <w:ind w:left="181"/>
      <w:outlineLvl w:val="5"/>
    </w:pPr>
    <w:rPr>
      <w:b/>
      <w:bCs/>
      <w:sz w:val="15"/>
      <w:szCs w:val="15"/>
    </w:rPr>
  </w:style>
  <w:style w:type="paragraph" w:styleId="Heading7">
    <w:name w:val="Heading 7"/>
    <w:basedOn w:val="Titre1"/>
    <w:next w:val="Textbody"/>
    <w:qFormat/>
    <w:pPr>
      <w:outlineLvl w:val="6"/>
    </w:pPr>
    <w:rPr/>
  </w:style>
  <w:style w:type="paragraph" w:styleId="Heading8">
    <w:name w:val="Heading 8"/>
    <w:basedOn w:val="Titre1"/>
    <w:next w:val="Textbody"/>
    <w:qFormat/>
    <w:pPr>
      <w:outlineLvl w:val="7"/>
    </w:pPr>
    <w:rPr/>
  </w:style>
  <w:style w:type="paragraph" w:styleId="Heading9">
    <w:name w:val="Heading 9"/>
    <w:basedOn w:val="Titre1"/>
    <w:next w:val="Textbody"/>
    <w:qFormat/>
    <w:pPr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 w:customStyle="1">
    <w:name w:val="Strong"/>
    <w:qFormat/>
    <w:rPr>
      <w:b/>
      <w:bCs/>
    </w:rPr>
  </w:style>
  <w:style w:type="character" w:styleId="Caractresdenumrotation" w:customStyle="1">
    <w:name w:val="Caractères de numérotation"/>
    <w:qFormat/>
    <w:rPr/>
  </w:style>
  <w:style w:type="character" w:styleId="Caractresdenotedebasdepage" w:customStyle="1">
    <w:name w:val="Caractères de note de bas de page"/>
    <w:qFormat/>
    <w:rPr/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 w:customStyle="1">
    <w:name w:val="Footnote Characters1111"/>
    <w:qFormat/>
    <w:rPr>
      <w:vertAlign w:val="superscript"/>
    </w:rPr>
  </w:style>
  <w:style w:type="character" w:styleId="WW8Num8z0" w:customStyle="1">
    <w:name w:val="WW8Num8z0"/>
    <w:qFormat/>
    <w:rPr/>
  </w:style>
  <w:style w:type="character" w:styleId="Titre4Car" w:customStyle="1">
    <w:name w:val="Titre 4 Car"/>
    <w:basedOn w:val="DefaultParagraphFont"/>
    <w:qFormat/>
    <w:rPr>
      <w:b/>
      <w:sz w:val="24"/>
      <w:u w:val="single"/>
      <w:lang w:val="fr-FR" w:bidi="ar-SA"/>
    </w:rPr>
  </w:style>
  <w:style w:type="character" w:styleId="Titre3Car" w:customStyle="1">
    <w:name w:val="Titre 3 Car"/>
    <w:basedOn w:val="DefaultParagraphFont"/>
    <w:qFormat/>
    <w:rPr>
      <w:b/>
      <w:bCs/>
      <w:sz w:val="27"/>
      <w:szCs w:val="27"/>
      <w:lang w:val="fr-FR" w:bidi="ar-SA"/>
    </w:rPr>
  </w:style>
  <w:style w:type="character" w:styleId="WW8Num2z3" w:customStyle="1">
    <w:name w:val="WW8Num2z3"/>
    <w:qFormat/>
    <w:rPr>
      <w:rFonts w:ascii="Symbol" w:hAnsi="Symbol" w:eastAsia="Symbol" w:cs="Symbol"/>
    </w:rPr>
  </w:style>
  <w:style w:type="character" w:styleId="WW8Num2z2" w:customStyle="1">
    <w:name w:val="WW8Num2z2"/>
    <w:qFormat/>
    <w:rPr>
      <w:rFonts w:ascii="Wingdings" w:hAnsi="Wingdings" w:eastAsia="Wingdings" w:cs="Wingdings"/>
    </w:rPr>
  </w:style>
  <w:style w:type="character" w:styleId="WW8Num2z1" w:customStyle="1">
    <w:name w:val="WW8Num2z1"/>
    <w:qFormat/>
    <w:rPr>
      <w:rFonts w:ascii="Courier New" w:hAnsi="Courier New" w:eastAsia="Courier New" w:cs="Courier New"/>
    </w:rPr>
  </w:style>
  <w:style w:type="character" w:styleId="WW8Num2z0" w:customStyle="1">
    <w:name w:val="WW8Num2z0"/>
    <w:qFormat/>
    <w:rPr>
      <w:rFonts w:ascii="Times New Roman" w:hAnsi="Times New Roman" w:eastAsia="Times New Roman" w:cs="Times New Roman"/>
    </w:rPr>
  </w:style>
  <w:style w:type="character" w:styleId="Sautdindex" w:customStyle="1">
    <w:name w:val="Saut d'index"/>
    <w:qFormat/>
    <w:rPr/>
  </w:style>
  <w:style w:type="character" w:styleId="Lienhypertexte1" w:customStyle="1">
    <w:name w:val="Lien hypertexte1"/>
    <w:qFormat/>
    <w:rPr>
      <w:color w:val="000080"/>
      <w:u w:val="single"/>
    </w:rPr>
  </w:style>
  <w:style w:type="character" w:styleId="WW8Num4z3" w:customStyle="1">
    <w:name w:val="WW8Num4z3"/>
    <w:qFormat/>
    <w:rPr>
      <w:rFonts w:ascii="Symbol" w:hAnsi="Symbol" w:eastAsia="Symbol" w:cs="Symbol"/>
    </w:rPr>
  </w:style>
  <w:style w:type="character" w:styleId="WW8Num4z1" w:customStyle="1">
    <w:name w:val="WW8Num4z1"/>
    <w:qFormat/>
    <w:rPr>
      <w:rFonts w:ascii="Courier New" w:hAnsi="Courier New" w:eastAsia="Courier New" w:cs="Courier New"/>
    </w:rPr>
  </w:style>
  <w:style w:type="character" w:styleId="WW8Num4z0" w:customStyle="1">
    <w:name w:val="WW8Num4z0"/>
    <w:qFormat/>
    <w:rPr>
      <w:rFonts w:ascii="Wingdings" w:hAnsi="Wingdings" w:eastAsia="Wingdings" w:cs="Wingdings"/>
      <w:sz w:val="22"/>
      <w:szCs w:val="22"/>
    </w:rPr>
  </w:style>
  <w:style w:type="character" w:styleId="WW8Num3z4" w:customStyle="1">
    <w:name w:val="WW8Num3z4"/>
    <w:qFormat/>
    <w:rPr>
      <w:rFonts w:ascii="Courier New" w:hAnsi="Courier New" w:eastAsia="Courier New" w:cs="Courier New"/>
    </w:rPr>
  </w:style>
  <w:style w:type="character" w:styleId="WW8Num3z2" w:customStyle="1">
    <w:name w:val="WW8Num3z2"/>
    <w:qFormat/>
    <w:rPr>
      <w:rFonts w:ascii="Wingdings" w:hAnsi="Wingdings" w:eastAsia="Wingdings" w:cs="Wingdings"/>
    </w:rPr>
  </w:style>
  <w:style w:type="character" w:styleId="WW8Num3z1" w:customStyle="1">
    <w:name w:val="WW8Num3z1"/>
    <w:qFormat/>
    <w:rPr>
      <w:rFonts w:ascii="Times New Roman" w:hAnsi="Times New Roman" w:eastAsia="Times New Roman" w:cs="Times New Roman"/>
      <w:b/>
      <w:sz w:val="22"/>
      <w:szCs w:val="22"/>
    </w:rPr>
  </w:style>
  <w:style w:type="character" w:styleId="WW8Num3z0" w:customStyle="1">
    <w:name w:val="WW8Num3z0"/>
    <w:qFormat/>
    <w:rPr>
      <w:rFonts w:ascii="Symbol" w:hAnsi="Symbol" w:eastAsia="Symbol" w:cs="Symbol"/>
      <w:sz w:val="22"/>
      <w:szCs w:val="22"/>
    </w:rPr>
  </w:style>
  <w:style w:type="character" w:styleId="WW8Num1z3" w:customStyle="1">
    <w:name w:val="WW8Num1z3"/>
    <w:qFormat/>
    <w:rPr>
      <w:rFonts w:ascii="Symbol" w:hAnsi="Symbol" w:eastAsia="Symbol" w:cs="Symbol"/>
    </w:rPr>
  </w:style>
  <w:style w:type="character" w:styleId="WW8Num1z2" w:customStyle="1">
    <w:name w:val="WW8Num1z2"/>
    <w:qFormat/>
    <w:rPr>
      <w:rFonts w:ascii="Wingdings" w:hAnsi="Wingdings" w:eastAsia="Wingdings" w:cs="Wingdings"/>
    </w:rPr>
  </w:style>
  <w:style w:type="character" w:styleId="WW8Num1z1" w:customStyle="1">
    <w:name w:val="WW8Num1z1"/>
    <w:qFormat/>
    <w:rPr>
      <w:rFonts w:ascii="Courier New" w:hAnsi="Courier New" w:eastAsia="Courier New" w:cs="Courier New"/>
    </w:rPr>
  </w:style>
  <w:style w:type="character" w:styleId="WW8Num1z0" w:customStyle="1">
    <w:name w:val="WW8Num1z0"/>
    <w:qFormat/>
    <w:rPr>
      <w:rFonts w:ascii="Arial" w:hAnsi="Arial" w:eastAsia="Times New Roman" w:cs="Arial"/>
    </w:rPr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Character20style" w:customStyle="1">
    <w:name w:val="Character_20_style"/>
    <w:qFormat/>
    <w:rPr/>
  </w:style>
  <w:style w:type="character" w:styleId="Caractresdenotedefin" w:customStyle="1">
    <w:name w:val="Caractères de note de fin"/>
    <w:qFormat/>
    <w:rPr/>
  </w:style>
  <w:style w:type="character" w:styleId="Lienhypertextesuivivisit1" w:customStyle="1">
    <w:name w:val="Lien hypertexte suivi visité1"/>
    <w:qFormat/>
    <w:rPr>
      <w:color w:val="800000"/>
      <w:u w:val="single"/>
    </w:rPr>
  </w:style>
  <w:style w:type="character" w:styleId="Absatz-Standardschriftart" w:customStyle="1">
    <w:name w:val="Absatz-Standardschriftart"/>
    <w:qFormat/>
    <w:rPr/>
  </w:style>
  <w:style w:type="character" w:styleId="Emphasis">
    <w:name w:val="Emphasis"/>
    <w:qFormat/>
    <w:rPr>
      <w:i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Index" w:customStyle="1">
    <w:name w:val="Index"/>
    <w:basedOn w:val="Standard"/>
    <w:qFormat/>
    <w:pPr>
      <w:suppressLineNumbers/>
    </w:pPr>
    <w:rPr>
      <w:rFonts w:cs="Mangal"/>
    </w:rPr>
  </w:style>
  <w:style w:type="paragraph" w:styleId="Titre1" w:customStyle="1">
    <w:name w:val="Titre1"/>
    <w:basedOn w:val="Standard"/>
    <w:next w:val="Textbody"/>
    <w:qFormat/>
    <w:pPr>
      <w:jc w:val="center"/>
    </w:pPr>
    <w:rPr>
      <w:b/>
      <w:bCs/>
      <w:sz w:val="56"/>
      <w:szCs w:val="56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fr-F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ontenudetableau" w:customStyle="1">
    <w:name w:val="Contenu de tableau"/>
    <w:basedOn w:val="Standard"/>
    <w:qFormat/>
    <w:pPr>
      <w:suppressLineNumbers/>
      <w:spacing w:lineRule="auto" w:line="247" w:before="0" w:after="160"/>
    </w:pPr>
    <w:rPr>
      <w:rFonts w:ascii="Calibri" w:hAnsi="Calibri" w:eastAsia="Calibri" w:cs="SimSun"/>
      <w:color w:val="00000A"/>
      <w:kern w:val="0"/>
      <w:sz w:val="22"/>
      <w:szCs w:val="22"/>
      <w:lang w:eastAsia="en-US" w:bidi="ar-SA"/>
    </w:rPr>
  </w:style>
  <w:style w:type="paragraph" w:styleId="En-tteetpieddepage" w:customStyle="1">
    <w:name w:val="En-tête et pied de page"/>
    <w:basedOn w:val="Standard"/>
    <w:qFormat/>
    <w:pPr>
      <w:suppressLineNumbers/>
      <w:tabs>
        <w:tab w:val="clear" w:pos="420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Standard"/>
    <w:pPr>
      <w:suppressLineNumbers/>
      <w:tabs>
        <w:tab w:val="clear" w:pos="420"/>
        <w:tab w:val="center" w:pos="4819" w:leader="none"/>
        <w:tab w:val="right" w:pos="9638" w:leader="none"/>
      </w:tabs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paragraph" w:styleId="Header">
    <w:name w:val="Header"/>
    <w:basedOn w:val="Standard"/>
    <w:pPr>
      <w:suppressLineNumbers/>
      <w:tabs>
        <w:tab w:val="clear" w:pos="420"/>
        <w:tab w:val="center" w:pos="5103" w:leader="none"/>
        <w:tab w:val="right" w:pos="10206" w:leader="none"/>
      </w:tabs>
    </w:pPr>
    <w:rPr/>
  </w:style>
  <w:style w:type="paragraph" w:styleId="CCTP-TITRE1" w:customStyle="1">
    <w:name w:val="CCTP - TITRE 1"/>
    <w:basedOn w:val="Heading1"/>
    <w:next w:val="Textbody"/>
    <w:qFormat/>
    <w:pPr>
      <w:outlineLvl w:val="9"/>
    </w:pPr>
    <w:rPr>
      <w:rFonts w:ascii="Arial" w:hAnsi="Arial" w:eastAsia="Arial"/>
      <w:sz w:val="30"/>
    </w:rPr>
  </w:style>
  <w:style w:type="paragraph" w:styleId="Subtitle">
    <w:name w:val="Subtitle"/>
    <w:basedOn w:val="Titre1"/>
    <w:next w:val="Textbody"/>
    <w:qFormat/>
    <w:pPr/>
    <w:rPr>
      <w:i/>
      <w:iCs/>
    </w:rPr>
  </w:style>
  <w:style w:type="paragraph" w:styleId="Footnote" w:customStyle="1">
    <w:name w:val="Footnote"/>
    <w:basedOn w:val="Standard"/>
    <w:qFormat/>
    <w:pPr>
      <w:suppressLineNumbers/>
      <w:ind w:hanging="339" w:left="339"/>
    </w:pPr>
    <w:rPr>
      <w:sz w:val="20"/>
      <w:szCs w:val="20"/>
    </w:rPr>
  </w:style>
  <w:style w:type="paragraph" w:styleId="BodyText2">
    <w:name w:val="Body Text 2"/>
    <w:basedOn w:val="Standard"/>
    <w:qFormat/>
    <w:pPr>
      <w:jc w:val="both"/>
    </w:pPr>
    <w:rPr/>
  </w:style>
  <w:style w:type="paragraph" w:styleId="Contents4" w:customStyle="1">
    <w:name w:val="Contents 4"/>
    <w:basedOn w:val="Standard"/>
    <w:next w:val="Standard"/>
    <w:qFormat/>
    <w:pPr>
      <w:ind w:left="720"/>
    </w:pPr>
    <w:rPr/>
  </w:style>
  <w:style w:type="paragraph" w:styleId="Titre10" w:customStyle="1">
    <w:name w:val="Titre 10"/>
    <w:basedOn w:val="Titre1"/>
    <w:next w:val="Textbody"/>
    <w:qFormat/>
    <w:pPr/>
    <w:rPr/>
  </w:style>
  <w:style w:type="paragraph" w:styleId="NormalWeb">
    <w:name w:val="Normal (Web)"/>
    <w:basedOn w:val="Standard"/>
    <w:uiPriority w:val="99"/>
    <w:qFormat/>
    <w:pPr>
      <w:spacing w:before="280" w:after="119"/>
    </w:pPr>
    <w:rPr/>
  </w:style>
  <w:style w:type="paragraph" w:styleId="BodyText3">
    <w:name w:val="Body Text 3"/>
    <w:basedOn w:val="Standard"/>
    <w:qFormat/>
    <w:pPr>
      <w:jc w:val="both"/>
    </w:pPr>
    <w:rPr>
      <w:b/>
      <w:bCs/>
    </w:rPr>
  </w:style>
  <w:style w:type="paragraph" w:styleId="Lignehorizontale" w:customStyle="1">
    <w:name w:val="Ligne horizontale"/>
    <w:basedOn w:val="Standard"/>
    <w:next w:val="Textbody"/>
    <w:qFormat/>
    <w:pPr>
      <w:suppressLineNumbers/>
      <w:spacing w:before="0" w:after="283"/>
    </w:pPr>
    <w:rPr>
      <w:sz w:val="12"/>
      <w:szCs w:val="12"/>
    </w:rPr>
  </w:style>
  <w:style w:type="paragraph" w:styleId="Contents3" w:customStyle="1">
    <w:name w:val="Contents 3"/>
    <w:basedOn w:val="Index"/>
    <w:qFormat/>
    <w:pPr>
      <w:tabs>
        <w:tab w:val="clear" w:pos="420"/>
        <w:tab w:val="right" w:pos="10111" w:leader="dot"/>
      </w:tabs>
      <w:ind w:left="566"/>
    </w:pPr>
    <w:rPr/>
  </w:style>
  <w:style w:type="paragraph" w:styleId="Contents2" w:customStyle="1">
    <w:name w:val="Contents 2"/>
    <w:basedOn w:val="Index"/>
    <w:qFormat/>
    <w:pPr>
      <w:tabs>
        <w:tab w:val="clear" w:pos="420"/>
        <w:tab w:val="right" w:pos="10111" w:leader="dot"/>
      </w:tabs>
      <w:ind w:left="283"/>
    </w:pPr>
    <w:rPr/>
  </w:style>
  <w:style w:type="paragraph" w:styleId="Contents1" w:customStyle="1">
    <w:name w:val="Contents 1"/>
    <w:basedOn w:val="Index"/>
    <w:qFormat/>
    <w:pPr>
      <w:tabs>
        <w:tab w:val="clear" w:pos="420"/>
        <w:tab w:val="right" w:pos="10111" w:leader="dot"/>
      </w:tabs>
    </w:pPr>
    <w:rPr/>
  </w:style>
  <w:style w:type="paragraph" w:styleId="Citations" w:customStyle="1">
    <w:name w:val="Citations"/>
    <w:basedOn w:val="Standard"/>
    <w:qFormat/>
    <w:pPr>
      <w:spacing w:before="0" w:after="283"/>
      <w:ind w:left="567" w:right="567"/>
    </w:pPr>
    <w:rPr/>
  </w:style>
  <w:style w:type="paragraph" w:styleId="BodyTextIndented" w:customStyle="1">
    <w:name w:val="Body Text, Indented"/>
    <w:basedOn w:val="Standard"/>
    <w:qFormat/>
    <w:pPr>
      <w:ind w:firstLine="1418"/>
      <w:jc w:val="both"/>
    </w:pPr>
    <w:rPr>
      <w:szCs w:val="20"/>
    </w:rPr>
  </w:style>
  <w:style w:type="paragraph" w:styleId="ListParagraph">
    <w:name w:val="List Paragraph"/>
    <w:basedOn w:val="Standard"/>
    <w:qFormat/>
    <w:pPr>
      <w:ind w:left="720"/>
    </w:pPr>
    <w:rPr/>
  </w:style>
  <w:style w:type="paragraph" w:styleId="Contenudeliste" w:customStyle="1">
    <w:name w:val="Contenu de liste"/>
    <w:basedOn w:val="Standard"/>
    <w:qFormat/>
    <w:pPr>
      <w:ind w:left="567"/>
    </w:pPr>
    <w:rPr/>
  </w:style>
  <w:style w:type="paragraph" w:styleId="Listenabsatz" w:customStyle="1">
    <w:name w:val="Listenabsatz"/>
    <w:basedOn w:val="Standard"/>
    <w:qFormat/>
    <w:pPr/>
    <w:rPr/>
  </w:style>
  <w:style w:type="paragraph" w:styleId="TableParagraph" w:customStyle="1">
    <w:name w:val="Table Paragraph"/>
    <w:basedOn w:val="Standard"/>
    <w:qFormat/>
    <w:pPr/>
    <w:rPr/>
  </w:style>
  <w:style w:type="paragraph" w:styleId="Textkrper" w:customStyle="1">
    <w:name w:val="Textkörper"/>
    <w:basedOn w:val="Standard"/>
    <w:qFormat/>
    <w:pPr>
      <w:ind w:left="68"/>
    </w:pPr>
    <w:rPr>
      <w:rFonts w:ascii="Calibri" w:hAnsi="Calibri" w:eastAsia="Calibri" w:cs="Calibri"/>
    </w:rPr>
  </w:style>
  <w:style w:type="numbering" w:styleId="Pasdeliste" w:default="1">
    <w:name w:val="Pas de liste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2" w:customStyle="1">
    <w:name w:val="WW8Num2"/>
    <w:qFormat/>
  </w:style>
  <w:style w:type="numbering" w:styleId="WW8Num8" w:customStyle="1">
    <w:name w:val="WW8Num8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3</Pages>
  <Words>388</Words>
  <Characters>2098</Characters>
  <CharactersWithSpaces>2442</CharactersWithSpaces>
  <Paragraphs>51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2024-12-17T11:21:21Z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