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5810" w:type="dxa"/>
        <w:jc w:val="left"/>
        <w:tblInd w:w="-4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239"/>
        <w:gridCol w:w="12570"/>
      </w:tblGrid>
      <w:tr>
        <w:trPr>
          <w:trHeight w:val="1935" w:hRule="atLeast"/>
        </w:trPr>
        <w:tc>
          <w:tcPr>
            <w:tcW w:w="323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color="auto" w:fill="DDDDDD" w:val="clear"/>
          </w:tcPr>
          <w:p>
            <w:pPr>
              <w:pStyle w:val="Contenudetableau"/>
              <w:widowControl w:val="false"/>
              <w:jc w:val="center"/>
              <w:rPr>
                <w:i/>
                <w:i/>
                <w:iCs/>
                <w:color w:val="006699"/>
                <w:sz w:val="12"/>
                <w:szCs w:val="12"/>
              </w:rPr>
            </w:pPr>
            <w:r>
              <w:rPr>
                <w:i/>
                <w:iCs/>
                <w:color w:val="006699"/>
                <w:sz w:val="12"/>
                <w:szCs w:val="12"/>
              </w:rPr>
            </w:r>
          </w:p>
          <w:p>
            <w:pPr>
              <w:pStyle w:val="Contenudetableau"/>
              <w:widowControl w:val="false"/>
              <w:jc w:val="center"/>
              <w:rPr>
                <w:i/>
                <w:i/>
                <w:iCs/>
                <w:color w:val="006699"/>
                <w:sz w:val="12"/>
                <w:szCs w:val="12"/>
              </w:rPr>
            </w:pPr>
            <w:r>
              <w:rPr>
                <w:i/>
                <w:iCs/>
                <w:color w:val="006699"/>
                <w:sz w:val="12"/>
                <w:szCs w:val="12"/>
              </w:rPr>
            </w:r>
          </w:p>
          <w:p>
            <w:pPr>
              <w:pStyle w:val="Contenudetableau"/>
              <w:widowControl w:val="false"/>
              <w:spacing w:before="0" w:after="160"/>
              <w:jc w:val="center"/>
              <w:rPr/>
            </w:pPr>
            <w:r>
              <w:rPr/>
              <w:drawing>
                <wp:anchor behindDoc="0" distT="0" distB="0" distL="114300" distR="114300" simplePos="0" locked="0" layoutInCell="1" allowOverlap="1" relativeHeight="2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-189230</wp:posOffset>
                  </wp:positionV>
                  <wp:extent cx="1717040" cy="1043940"/>
                  <wp:effectExtent l="0" t="0" r="0" b="0"/>
                  <wp:wrapSquare wrapText="bothSides"/>
                  <wp:docPr id="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70" w:type="dxa"/>
            <w:tcBorders>
              <w:top w:val="single" w:sz="2" w:space="0" w:color="FFFFFF"/>
              <w:left w:val="single" w:sz="8" w:space="0" w:color="FFFFFF"/>
              <w:bottom w:val="single" w:sz="2" w:space="0" w:color="FFFFFF"/>
              <w:right w:val="single" w:sz="2" w:space="0" w:color="FFFFFF"/>
            </w:tcBorders>
            <w:shd w:color="auto" w:fill="DDDDDD" w:val="clear"/>
            <w:vAlign w:val="center"/>
          </w:tcPr>
          <w:p>
            <w:pPr>
              <w:pStyle w:val="Contenudetableau"/>
              <w:widowControl w:val="false"/>
              <w:jc w:val="center"/>
              <w:rPr>
                <w:color w:val="006699"/>
              </w:rPr>
            </w:pPr>
            <w:r>
              <w:rPr>
                <w:color w:val="006699"/>
              </w:rPr>
            </w:r>
          </w:p>
          <w:p>
            <w:pPr>
              <w:pStyle w:val="Contenudetableau"/>
              <w:widowControl w:val="false"/>
              <w:jc w:val="center"/>
              <w:rPr>
                <w:color w:val="006699"/>
                <w:sz w:val="40"/>
                <w:szCs w:val="40"/>
              </w:rPr>
            </w:pPr>
            <w:r>
              <w:rPr>
                <w:color w:val="006699"/>
                <w:sz w:val="40"/>
                <w:szCs w:val="40"/>
              </w:rPr>
              <w:t>CADRE DE RÉPONSE TECHNIQUE</w:t>
            </w:r>
          </w:p>
          <w:p>
            <w:pPr>
              <w:pStyle w:val="Contenudetableau"/>
              <w:widowControl w:val="false"/>
              <w:jc w:val="center"/>
              <w:rPr>
                <w:color w:val="006699"/>
                <w:sz w:val="40"/>
                <w:szCs w:val="40"/>
              </w:rPr>
            </w:pPr>
            <w:r>
              <w:rPr>
                <w:color w:val="006699"/>
                <w:sz w:val="40"/>
                <w:szCs w:val="40"/>
              </w:rPr>
              <w:t xml:space="preserve">ACQUISITION DE </w:t>
            </w:r>
            <w:r>
              <w:rPr>
                <w:rStyle w:val="Emphasis"/>
                <w:rFonts w:eastAsia="Calibri" w:cs="SimSun"/>
                <w:i w:val="false"/>
                <w:iCs w:val="false"/>
                <w:color w:val="006699"/>
                <w:kern w:val="0"/>
                <w:sz w:val="40"/>
                <w:szCs w:val="40"/>
                <w:lang w:eastAsia="en-US" w:bidi="ar-SA"/>
              </w:rPr>
              <w:t>FOURNITURE D’EXPLOSIFS ET DE LEURS ARTIFICES DE MISE EN OEUVRE AU PROFIT DE LA DGSCGC</w:t>
            </w:r>
          </w:p>
          <w:p>
            <w:pPr>
              <w:pStyle w:val="Contenudetableau"/>
              <w:widowControl w:val="false"/>
              <w:spacing w:before="0" w:after="160"/>
              <w:jc w:val="center"/>
              <w:rPr>
                <w:b/>
                <w:bCs/>
                <w:color w:val="006699"/>
                <w:sz w:val="28"/>
                <w:szCs w:val="28"/>
              </w:rPr>
            </w:pPr>
            <w:r>
              <w:rPr>
                <w:b/>
                <w:bCs/>
                <w:color w:val="006699"/>
                <w:sz w:val="28"/>
                <w:szCs w:val="28"/>
              </w:rPr>
              <w:t>LOT 2 : dispositif d’allumage pyrotechnique</w:t>
            </w:r>
          </w:p>
        </w:tc>
      </w:tr>
    </w:tbl>
    <w:p>
      <w:pPr>
        <w:pStyle w:val="Standard"/>
        <w:jc w:val="center"/>
        <w:rPr>
          <w:rFonts w:ascii="Calibri" w:hAnsi="Calibri"/>
          <w:b/>
          <w:bCs/>
          <w:color w:val="000000"/>
          <w:sz w:val="16"/>
          <w:szCs w:val="16"/>
        </w:rPr>
      </w:pPr>
      <w:r>
        <w:rPr>
          <w:rFonts w:ascii="Calibri" w:hAnsi="Calibri"/>
          <w:b/>
          <w:bCs/>
          <w:color w:val="000000"/>
          <w:sz w:val="16"/>
          <w:szCs w:val="16"/>
        </w:rPr>
      </w:r>
    </w:p>
    <w:p>
      <w:pPr>
        <w:pStyle w:val="Textbody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Nom de la société :</w:t>
      </w:r>
    </w:p>
    <w:p>
      <w:pPr>
        <w:pStyle w:val="Textbody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Offre :</w:t>
      </w:r>
    </w:p>
    <w:p>
      <w:pPr>
        <w:pStyle w:val="Textbody"/>
        <w:ind w:hanging="737" w:left="737"/>
        <w:jc w:val="both"/>
        <w:rPr/>
      </w:pPr>
      <w:r>
        <w:rPr>
          <w:rFonts w:ascii="Calibri" w:hAnsi="Calibri"/>
          <w:u w:val="single"/>
          <w:shd w:fill="FFFFFF" w:val="clear"/>
        </w:rPr>
        <w:t>Il existe 2 types d’exigences</w:t>
      </w:r>
      <w:r>
        <w:rPr>
          <w:rFonts w:ascii="Calibri" w:hAnsi="Calibri"/>
          <w:shd w:fill="FFFFFF" w:val="clear"/>
        </w:rPr>
        <w:t> :</w:t>
      </w:r>
    </w:p>
    <w:p>
      <w:pPr>
        <w:pStyle w:val="Textbody"/>
        <w:spacing w:lineRule="auto" w:line="240" w:before="0" w:after="0"/>
        <w:ind w:right="567"/>
        <w:jc w:val="both"/>
        <w:rPr/>
      </w:pPr>
      <w:r>
        <w:rPr>
          <w:rFonts w:ascii="Calibri" w:hAnsi="Calibri"/>
          <w:shd w:fill="FFFFFF" w:val="clear"/>
        </w:rPr>
        <w:t>Les exigences impératives, notées</w:t>
      </w:r>
      <w:r>
        <w:rPr>
          <w:rFonts w:ascii="Calibri" w:hAnsi="Calibri"/>
          <w:b/>
          <w:bCs/>
          <w:shd w:fill="FFFFFF" w:val="clear"/>
        </w:rPr>
        <w:t xml:space="preserve"> I</w:t>
      </w:r>
      <w:r>
        <w:rPr>
          <w:rFonts w:ascii="Calibri" w:hAnsi="Calibri"/>
          <w:shd w:fill="FFFFFF" w:val="clear"/>
        </w:rPr>
        <w:t>, sont des exigences obligatoires, leur non-respect est éliminatoire.</w:t>
      </w:r>
    </w:p>
    <w:p>
      <w:pPr>
        <w:pStyle w:val="Standard"/>
        <w:jc w:val="both"/>
        <w:rPr>
          <w:rFonts w:ascii="Calibri" w:hAnsi="Calibri"/>
          <w:iCs/>
          <w:color w:val="000000"/>
          <w:shd w:fill="FFFFFF" w:val="clear"/>
        </w:rPr>
      </w:pPr>
      <w:r>
        <w:rPr>
          <w:rFonts w:ascii="Calibri" w:hAnsi="Calibri"/>
          <w:iCs/>
          <w:color w:val="000000"/>
          <w:shd w:fill="FFFFFF" w:val="clear"/>
        </w:rPr>
        <w:t>La conformité de l’offre aux exigences impératives est vérifiée au travers du dossier technique et des échantillons.</w:t>
      </w:r>
    </w:p>
    <w:p>
      <w:pPr>
        <w:pStyle w:val="Textbody"/>
        <w:spacing w:before="0" w:after="0"/>
        <w:ind w:right="567"/>
        <w:jc w:val="both"/>
        <w:rPr/>
      </w:pPr>
      <w:r>
        <w:rPr>
          <w:rFonts w:ascii="Calibri" w:hAnsi="Calibri"/>
          <w:color w:val="000000"/>
          <w:shd w:fill="FFFFFF" w:val="clear"/>
        </w:rPr>
        <w:t xml:space="preserve">Les exigences souhaitables sont notées </w:t>
      </w:r>
      <w:r>
        <w:rPr>
          <w:rFonts w:ascii="Calibri" w:hAnsi="Calibri"/>
          <w:b/>
          <w:bCs/>
          <w:color w:val="000000"/>
          <w:shd w:fill="FFFFFF" w:val="clear"/>
        </w:rPr>
        <w:t>S</w:t>
      </w:r>
      <w:r>
        <w:rPr>
          <w:rFonts w:ascii="Calibri" w:hAnsi="Calibri"/>
          <w:color w:val="000000"/>
          <w:shd w:fill="FFFFFF" w:val="clear"/>
        </w:rPr>
        <w:t>.</w:t>
      </w:r>
    </w:p>
    <w:p>
      <w:pPr>
        <w:pStyle w:val="Textbody"/>
        <w:spacing w:before="0" w:after="0"/>
        <w:ind w:right="567"/>
        <w:jc w:val="both"/>
        <w:rPr/>
      </w:pPr>
      <w:r>
        <w:rPr/>
      </w:r>
    </w:p>
    <w:tbl>
      <w:tblPr>
        <w:tblW w:w="18434" w:type="dxa"/>
        <w:jc w:val="left"/>
        <w:tblInd w:w="-47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3117"/>
        <w:gridCol w:w="6345"/>
        <w:gridCol w:w="1312"/>
        <w:gridCol w:w="5036"/>
        <w:gridCol w:w="1311"/>
        <w:gridCol w:w="1312"/>
      </w:tblGrid>
      <w:tr>
        <w:trPr>
          <w:tblHeader w:val="true"/>
          <w:trHeight w:val="805" w:hRule="atLeast"/>
        </w:trPr>
        <w:tc>
          <w:tcPr>
            <w:tcW w:w="15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Contenudetableau"/>
              <w:widowControl w:val="false"/>
              <w:jc w:val="center"/>
              <w:rPr>
                <w:color w:val="006699"/>
                <w:sz w:val="6"/>
                <w:szCs w:val="6"/>
              </w:rPr>
            </w:pPr>
            <w:r>
              <w:rPr>
                <w:color w:val="006699"/>
                <w:sz w:val="6"/>
                <w:szCs w:val="6"/>
              </w:rPr>
            </w:r>
          </w:p>
          <w:p>
            <w:pPr>
              <w:pStyle w:val="Contenudetableau"/>
              <w:widowControl w:val="false"/>
              <w:jc w:val="center"/>
              <w:rPr>
                <w:b/>
                <w:bCs/>
                <w:color w:val="006699"/>
                <w:sz w:val="28"/>
                <w:szCs w:val="28"/>
              </w:rPr>
            </w:pPr>
            <w:r>
              <w:rPr>
                <w:b/>
                <w:bCs/>
                <w:color w:val="006699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6699"/>
                <w:sz w:val="28"/>
                <w:szCs w:val="28"/>
              </w:rPr>
              <w:t>LOT 2 : dispositif d’allumage pyrotechnique</w:t>
            </w:r>
          </w:p>
          <w:p>
            <w:pPr>
              <w:pStyle w:val="Contenudetableau"/>
              <w:widowControl w:val="false"/>
              <w:spacing w:before="0" w:after="160"/>
              <w:jc w:val="center"/>
              <w:rPr>
                <w:color w:val="006699"/>
                <w:sz w:val="6"/>
                <w:szCs w:val="6"/>
              </w:rPr>
            </w:pPr>
            <w:r>
              <w:rPr>
                <w:color w:val="006699"/>
                <w:sz w:val="6"/>
                <w:szCs w:val="6"/>
              </w:rPr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Contenudetableau"/>
              <w:widowControl w:val="false"/>
              <w:spacing w:before="0" w:after="160"/>
              <w:jc w:val="center"/>
              <w:rPr>
                <w:color w:val="006699"/>
                <w:sz w:val="6"/>
                <w:szCs w:val="6"/>
              </w:rPr>
            </w:pPr>
            <w:r>
              <w:rPr>
                <w:color w:val="006699"/>
                <w:sz w:val="6"/>
                <w:szCs w:val="6"/>
              </w:rPr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spacing w:before="0" w:after="160"/>
              <w:jc w:val="center"/>
              <w:rPr>
                <w:color w:val="006699"/>
                <w:sz w:val="6"/>
                <w:szCs w:val="6"/>
              </w:rPr>
            </w:pPr>
            <w:r>
              <w:rPr>
                <w:color w:val="006699"/>
                <w:sz w:val="6"/>
                <w:szCs w:val="6"/>
              </w:rPr>
            </w:r>
          </w:p>
        </w:tc>
      </w:tr>
      <w:tr>
        <w:trPr>
          <w:tblHeader w:val="true"/>
          <w:trHeight w:val="873" w:hRule="atLeast"/>
        </w:trPr>
        <w:tc>
          <w:tcPr>
            <w:tcW w:w="3117" w:type="dxa"/>
            <w:tcBorders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Subtitle"/>
              <w:widowControl w:val="false"/>
              <w:snapToGrid w:val="false"/>
              <w:rPr>
                <w:rFonts w:ascii="Calibri" w:hAnsi="Calibri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Calibri" w:hAnsi="Calibri"/>
                <w:i w:val="false"/>
                <w:iCs w:val="false"/>
                <w:sz w:val="24"/>
                <w:szCs w:val="24"/>
              </w:rPr>
              <w:t>Fonction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Exigence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Demandé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E6E6E6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Réponse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rFonts w:ascii="Calibri" w:hAnsi="Calibri"/>
                <w:b/>
                <w:i w:val="false"/>
                <w:iCs w:val="false"/>
              </w:rPr>
              <w:t>avec renvoi au mémoire technique</w:t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b/>
                <w:i/>
                <w:i/>
                <w:iCs/>
              </w:rPr>
            </w:pPr>
            <w:r>
              <w:rPr>
                <w:rFonts w:ascii="Calibri" w:hAnsi="Calibri"/>
                <w:b/>
                <w:i/>
                <w:iCs/>
              </w:rPr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b/>
                <w:i/>
                <w:i/>
                <w:iCs/>
              </w:rPr>
            </w:pPr>
            <w:r>
              <w:rPr>
                <w:rFonts w:ascii="Calibri" w:hAnsi="Calibri"/>
                <w:b/>
                <w:i/>
                <w:iCs/>
              </w:rPr>
            </w:r>
          </w:p>
        </w:tc>
      </w:tr>
      <w:tr>
        <w:trPr>
          <w:trHeight w:val="424" w:hRule="atLeast"/>
        </w:trPr>
        <w:tc>
          <w:tcPr>
            <w:tcW w:w="311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F.14</w:t>
            </w:r>
          </w:p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rFonts w:ascii="Calibri" w:hAnsi="Calibri" w:eastAsia="Arial"/>
                <w:color w:val="000000"/>
              </w:rPr>
            </w:pPr>
            <w:r>
              <w:rPr>
                <w:rFonts w:eastAsia="Arial" w:ascii="Calibri" w:hAnsi="Calibri"/>
                <w:b/>
                <w:bCs/>
                <w:color w:val="000000"/>
                <w:sz w:val="22"/>
                <w:szCs w:val="22"/>
              </w:rPr>
              <w:t>caractéristiques du dispositif d’allumage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/>
                <w:shd w:fill="FFFFFF" w:val="clear"/>
              </w:rPr>
            </w:pPr>
            <w:r>
              <w:rPr>
                <w:rFonts w:ascii="Calibri" w:hAnsi="Calibri"/>
                <w:shd w:fill="FFFFFF" w:val="clear"/>
              </w:rPr>
              <w:t xml:space="preserve">E.14.1 : </w:t>
            </w:r>
            <w:r>
              <w:rPr>
                <w:rStyle w:val="Emphasis"/>
                <w:rFonts w:eastAsia="Times New Roman" w:cs="Calibri" w:ascii="Calibri" w:hAnsi="Calibri" w:cstheme="minorHAnsi"/>
                <w:i w:val="false"/>
                <w:color w:val="000000"/>
                <w:shd w:fill="FFFFFF" w:val="clear"/>
              </w:rPr>
              <w:t>Feu à main ou feu de Bengale initié par inflammateur électrique de classe 1.4 S de type instantané</w:t>
            </w:r>
            <w:r>
              <w:rPr>
                <w:rFonts w:ascii="Calibri" w:hAnsi="Calibri"/>
                <w:shd w:fill="FFFFFF" w:val="clear"/>
              </w:rPr>
              <w:t xml:space="preserve">. </w:t>
            </w:r>
            <w:r>
              <w:rPr>
                <w:rFonts w:ascii="Calibri" w:hAnsi="Calibri"/>
                <w:b/>
                <w:shd w:fill="FFFFFF" w:val="clear"/>
              </w:rPr>
              <w:t>(I)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>
                <w:rFonts w:ascii="Calibri" w:hAnsi="Calibri"/>
                <w:sz w:val="22"/>
                <w:szCs w:val="22"/>
                <w:shd w:fill="FFFFFF" w:val="clear"/>
              </w:rPr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/>
            </w:pPr>
            <w:r>
              <w:rPr/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/>
                <w:shd w:fill="FFFFFF" w:val="clear"/>
              </w:rPr>
            </w:pPr>
            <w:r>
              <w:rPr>
                <w:rFonts w:ascii="Calibri" w:hAnsi="Calibri"/>
                <w:shd w:fill="FFFFFF" w:val="clear"/>
              </w:rPr>
              <w:t xml:space="preserve">E.14.2 : </w:t>
            </w:r>
            <w:r>
              <w:rPr>
                <w:rStyle w:val="Emphasis"/>
                <w:rFonts w:eastAsia="Times New Roman" w:cs="Times New Roman" w:ascii="Calibri" w:hAnsi="Calibri"/>
                <w:i w:val="false"/>
                <w:color w:val="000000"/>
                <w:kern w:val="2"/>
                <w:shd w:fill="FFFFFF" w:val="clear"/>
              </w:rPr>
              <w:t>Durée de combustion de 30 secondes a minima</w:t>
            </w:r>
            <w:r>
              <w:rPr>
                <w:rFonts w:ascii="Calibri" w:hAnsi="Calibri"/>
                <w:shd w:fill="FFFFFF" w:val="clear"/>
              </w:rPr>
              <w:t xml:space="preserve">. </w:t>
            </w:r>
            <w:r>
              <w:rPr>
                <w:rFonts w:ascii="Calibri" w:hAnsi="Calibri"/>
                <w:b/>
                <w:shd w:fill="FFFFFF" w:val="clear"/>
              </w:rPr>
              <w:t>(I)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>
                <w:rFonts w:ascii="Calibri" w:hAnsi="Calibri"/>
                <w:sz w:val="22"/>
                <w:szCs w:val="22"/>
                <w:shd w:fill="FFFFFF" w:val="clear"/>
              </w:rPr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/>
            </w:pPr>
            <w:r>
              <w:rPr/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/>
                <w:shd w:fill="FFFFFF" w:val="clear"/>
              </w:rPr>
            </w:pPr>
            <w:r>
              <w:rPr>
                <w:rFonts w:ascii="Calibri" w:hAnsi="Calibri"/>
                <w:shd w:fill="FFFFFF" w:val="clear"/>
              </w:rPr>
              <w:t xml:space="preserve">E.14.3 : </w:t>
            </w:r>
            <w:r>
              <w:rPr>
                <w:rStyle w:val="Emphasis"/>
                <w:rFonts w:eastAsia="Times New Roman" w:cs="Times New Roman" w:ascii="Calibri" w:hAnsi="Calibri"/>
                <w:i w:val="false"/>
                <w:color w:val="000000"/>
                <w:kern w:val="2"/>
                <w:shd w:fill="FFFFFF" w:val="clear"/>
              </w:rPr>
              <w:t>Une durée de combustion supérieure à 30 secondes sera valorisée</w:t>
            </w:r>
            <w:r>
              <w:rPr>
                <w:rFonts w:ascii="Calibri" w:hAnsi="Calibri"/>
                <w:shd w:fill="FFFFFF" w:val="clear"/>
              </w:rPr>
              <w:t xml:space="preserve">. </w:t>
            </w:r>
            <w:r>
              <w:rPr>
                <w:rFonts w:ascii="Calibri" w:hAnsi="Calibri"/>
                <w:b/>
                <w:shd w:fill="FFFFFF" w:val="clear"/>
              </w:rPr>
              <w:t>(S)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/>
                <w:shd w:fill="FFFFFF" w:val="clear"/>
              </w:rPr>
            </w:pPr>
            <w:r>
              <w:rPr>
                <w:rFonts w:ascii="Calibri" w:hAnsi="Calibri"/>
                <w:shd w:fill="FFFFFF" w:val="clear"/>
              </w:rPr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>
                <w:rFonts w:ascii="Calibri" w:hAnsi="Calibri"/>
                <w:sz w:val="22"/>
                <w:szCs w:val="22"/>
                <w:shd w:fill="FFFFFF" w:val="clear"/>
              </w:rPr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F.15</w:t>
            </w:r>
          </w:p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Conditionnement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E.15.1 : </w:t>
            </w: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Dispositif fourni en kit complet dans un emballage hermétique classé 1.4G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. </w:t>
            </w:r>
            <w:r>
              <w:rPr>
                <w:rFonts w:ascii="Calibri" w:hAnsi="Calibri"/>
                <w:b/>
                <w:shd w:fill="FFFFFF" w:val="clear"/>
              </w:rPr>
              <w:t>(I)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>
                <w:rFonts w:ascii="Calibri" w:hAnsi="Calibri"/>
                <w:sz w:val="22"/>
                <w:szCs w:val="22"/>
                <w:shd w:fill="FFFFFF" w:val="clear"/>
              </w:rPr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false"/>
              <w:rPr/>
            </w:pPr>
            <w:r>
              <w:rPr/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E.15.2 : </w:t>
            </w: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En conditionnement de 5 dispositifs d’allumage pyrotechnique sous vide avec une masse maximale de 5kgs de matière active énergétique par carton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. </w:t>
            </w:r>
            <w:r>
              <w:rPr>
                <w:rFonts w:ascii="Calibri" w:hAnsi="Calibri"/>
                <w:b/>
                <w:shd w:fill="FFFFFF" w:val="clear"/>
              </w:rPr>
              <w:t>(I)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>
                <w:rFonts w:ascii="Calibri" w:hAnsi="Calibri"/>
                <w:sz w:val="22"/>
                <w:szCs w:val="22"/>
                <w:shd w:fill="FFFFFF" w:val="clear"/>
              </w:rPr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96" w:hRule="atLeast"/>
        </w:trPr>
        <w:tc>
          <w:tcPr>
            <w:tcW w:w="3117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F.16</w:t>
            </w:r>
          </w:p>
          <w:p>
            <w:pPr>
              <w:pStyle w:val="Normal"/>
              <w:widowControl w:val="false"/>
              <w:suppressLineNumbers/>
              <w:snapToGrid w:val="false"/>
              <w:ind w:lef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Documentation obligatoire à fournir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420"/>
                <w:tab w:val="left" w:pos="0" w:leader="none"/>
                <w:tab w:val="left" w:pos="560" w:leader="none"/>
              </w:tabs>
              <w:jc w:val="both"/>
              <w:rPr/>
            </w:pPr>
            <w:r>
              <w:rPr>
                <w:rFonts w:ascii="Calibri" w:hAnsi="Calibri"/>
                <w:shd w:fill="FFFFFF" w:val="clear"/>
              </w:rPr>
              <w:t xml:space="preserve">E.16.1 : </w:t>
            </w:r>
            <w:r>
              <w:rPr>
                <w:rFonts w:ascii="Calibri" w:hAnsi="Calibri"/>
                <w:b/>
                <w:color w:val="000000"/>
                <w:shd w:fill="FFFFFF" w:val="clear"/>
              </w:rPr>
              <w:t>(I)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ascii="Calibri" w:hAnsi="Calibri"/>
                <w:shd w:fill="FFFFFF" w:val="clear"/>
              </w:rPr>
              <w:t xml:space="preserve"> </w:t>
            </w: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Les candidats fourniront avec leur offre une fiche technique FDSP du matériel proposé, comprenant notamment :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- une fiche descriptive du dispositif d’allumage détaillant notamment sa composition et sa conception ;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- le type de conditionnement du dispositif, décrivant la longueur du tube proposé, l’encombrement précis d’un kit et les longueurs de fils ;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- les propriétés du dispositif d’allumage ;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- les certificats du produit (OTAN, autres) et ses agréments au transport ;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560" w:leader="none"/>
              </w:tabs>
              <w:ind w:right="113"/>
              <w:jc w:val="both"/>
              <w:rPr/>
            </w:pPr>
            <w:r>
              <w:rPr>
                <w:rStyle w:val="Emphasis"/>
                <w:rFonts w:eastAsia="Times New Roman" w:cs="SimSun" w:ascii="Calibri" w:hAnsi="Calibri"/>
                <w:i w:val="false"/>
                <w:color w:val="000000"/>
              </w:rPr>
              <w:t>- la durée de vie du produit.</w:t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0" w:leader="none"/>
                <w:tab w:val="left" w:pos="560" w:leader="none"/>
              </w:tabs>
              <w:jc w:val="both"/>
              <w:rPr>
                <w:rFonts w:ascii="Calibri" w:hAnsi="Calibri"/>
                <w:b/>
                <w:color w:val="000000"/>
                <w:shd w:fill="FFFFFF" w:val="clear"/>
              </w:rPr>
            </w:pPr>
            <w:r>
              <w:rPr>
                <w:rFonts w:ascii="Calibri" w:hAnsi="Calibri"/>
                <w:b/>
                <w:color w:val="000000"/>
                <w:shd w:fill="FFFFFF" w:val="clear"/>
              </w:rPr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0" w:leader="none"/>
                <w:tab w:val="left" w:pos="560" w:leader="none"/>
              </w:tabs>
              <w:jc w:val="both"/>
              <w:rPr>
                <w:rFonts w:ascii="Calibri" w:hAnsi="Calibri"/>
                <w:b/>
                <w:color w:val="000000"/>
                <w:shd w:fill="FFFFFF" w:val="clear"/>
              </w:rPr>
            </w:pPr>
            <w:r>
              <w:rPr>
                <w:rFonts w:ascii="Calibri" w:hAnsi="Calibri"/>
                <w:b/>
                <w:color w:val="000000"/>
                <w:shd w:fill="FFFFFF" w:val="clear"/>
              </w:rPr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0" w:leader="none"/>
                <w:tab w:val="left" w:pos="560" w:leader="none"/>
              </w:tabs>
              <w:jc w:val="both"/>
              <w:rPr>
                <w:rFonts w:ascii="Calibri" w:hAnsi="Calibri"/>
                <w:b/>
                <w:color w:val="000000"/>
                <w:shd w:fill="FFFFFF" w:val="clear"/>
              </w:rPr>
            </w:pPr>
            <w:r>
              <w:rPr>
                <w:rFonts w:ascii="Calibri" w:hAnsi="Calibri"/>
                <w:b/>
                <w:color w:val="000000"/>
                <w:shd w:fill="FFFFFF" w:val="clear"/>
              </w:rPr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0" w:leader="none"/>
                <w:tab w:val="left" w:pos="560" w:leader="none"/>
              </w:tabs>
              <w:jc w:val="both"/>
              <w:rPr>
                <w:rFonts w:ascii="Calibri" w:hAnsi="Calibri"/>
                <w:b/>
                <w:color w:val="000000"/>
                <w:shd w:fill="FFFFFF" w:val="clear"/>
              </w:rPr>
            </w:pPr>
            <w:r>
              <w:rPr>
                <w:rFonts w:ascii="Calibri" w:hAnsi="Calibri"/>
                <w:b/>
                <w:color w:val="000000"/>
                <w:shd w:fill="FFFFFF" w:val="clear"/>
              </w:rPr>
            </w:r>
          </w:p>
          <w:p>
            <w:pPr>
              <w:pStyle w:val="Standard"/>
              <w:widowControl w:val="false"/>
              <w:tabs>
                <w:tab w:val="clear" w:pos="420"/>
                <w:tab w:val="left" w:pos="0" w:leader="none"/>
                <w:tab w:val="left" w:pos="560" w:leader="none"/>
              </w:tabs>
              <w:jc w:val="both"/>
              <w:rPr>
                <w:rFonts w:ascii="Calibri" w:hAnsi="Calibri"/>
                <w:b/>
                <w:color w:val="000000"/>
                <w:shd w:fill="FFFFFF" w:val="clear"/>
              </w:rPr>
            </w:pPr>
            <w:r>
              <w:rPr>
                <w:rFonts w:ascii="Calibri" w:hAnsi="Calibri"/>
                <w:b/>
                <w:color w:val="000000"/>
                <w:shd w:fill="FFFFFF" w:val="clear"/>
              </w:rPr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/>
                <w:sz w:val="22"/>
                <w:szCs w:val="22"/>
                <w:shd w:fill="FFFFFF" w:val="clear"/>
              </w:rPr>
            </w:pPr>
            <w:r>
              <w:rPr>
                <w:rFonts w:ascii="Calibri" w:hAnsi="Calibri"/>
                <w:sz w:val="22"/>
                <w:szCs w:val="22"/>
                <w:shd w:fill="FFFFFF" w:val="clear"/>
              </w:rPr>
              <w:t>À confirmer et justifier</w:t>
            </w:r>
          </w:p>
        </w:tc>
        <w:tc>
          <w:tcPr>
            <w:tcW w:w="503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1" w:type="dxa"/>
            <w:tcBorders>
              <w:lef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andard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Standard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850" w:right="850" w:gutter="0" w:header="170" w:top="508" w:footer="170" w:bottom="65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Symbol">
    <w:charset w:val="01"/>
    <w:family w:val="auto"/>
    <w:pitch w:val="default"/>
  </w:font>
  <w:font w:name="Wingdings">
    <w:charset w:val="01"/>
    <w:family w:val="auto"/>
    <w:pitch w:val="default"/>
  </w:font>
  <w:font w:name="Courier New">
    <w:charset w:val="01"/>
    <w:family w:val="auto"/>
    <w:pitch w:val="default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Marianne">
    <w:charset w:val="01"/>
    <w:family w:val="auto"/>
    <w:pitch w:val="default"/>
  </w:font>
  <w:font w:name="Calibri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700" w:type="dxa"/>
      <w:jc w:val="left"/>
      <w:tblInd w:w="9500" w:type="dxa"/>
      <w:tblLayout w:type="fixed"/>
      <w:tblCellMar>
        <w:top w:w="55" w:type="dxa"/>
        <w:left w:w="5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700"/>
    </w:tblGrid>
    <w:tr>
      <w:trPr/>
      <w:tc>
        <w:tcPr>
          <w:tcW w:w="700" w:type="dxa"/>
          <w:tcBorders>
            <w:top w:val="single" w:sz="2" w:space="0" w:color="FFFFFF"/>
            <w:left w:val="single" w:sz="18" w:space="0" w:color="FFFFFF"/>
            <w:bottom w:val="single" w:sz="2" w:space="0" w:color="FFFFFF"/>
            <w:right w:val="single" w:sz="2" w:space="0" w:color="FFFFFF"/>
          </w:tcBorders>
          <w:shd w:color="auto" w:fill="006699" w:val="clear"/>
        </w:tcPr>
        <w:p>
          <w:pPr>
            <w:pStyle w:val="Footer"/>
            <w:widowControl w:val="false"/>
            <w:jc w:val="center"/>
            <w:rPr/>
          </w:pP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fldChar w:fldCharType="begin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instrText xml:space="preserve"> PAGE </w:instrTex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separate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t>2</w: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end"/>
          </w: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t>/</w:t>
          </w: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fldChar w:fldCharType="begin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instrText xml:space="preserve"> NUMPAGES </w:instrTex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separate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t>2</w: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end"/>
          </w:r>
        </w:p>
      </w:tc>
    </w:tr>
  </w:tbl>
  <w:p>
    <w:pPr>
      <w:pStyle w:val="Standard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700" w:type="dxa"/>
      <w:jc w:val="left"/>
      <w:tblInd w:w="9500" w:type="dxa"/>
      <w:tblLayout w:type="fixed"/>
      <w:tblCellMar>
        <w:top w:w="55" w:type="dxa"/>
        <w:left w:w="5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700"/>
    </w:tblGrid>
    <w:tr>
      <w:trPr/>
      <w:tc>
        <w:tcPr>
          <w:tcW w:w="700" w:type="dxa"/>
          <w:tcBorders>
            <w:top w:val="single" w:sz="2" w:space="0" w:color="FFFFFF"/>
            <w:left w:val="single" w:sz="18" w:space="0" w:color="FFFFFF"/>
            <w:bottom w:val="single" w:sz="2" w:space="0" w:color="FFFFFF"/>
            <w:right w:val="single" w:sz="2" w:space="0" w:color="FFFFFF"/>
          </w:tcBorders>
          <w:shd w:color="auto" w:fill="006699" w:val="clear"/>
        </w:tcPr>
        <w:p>
          <w:pPr>
            <w:pStyle w:val="Footer"/>
            <w:widowControl w:val="false"/>
            <w:jc w:val="center"/>
            <w:rPr/>
          </w:pP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fldChar w:fldCharType="begin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instrText xml:space="preserve"> PAGE </w:instrTex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separate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t>2</w: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end"/>
          </w: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t>/</w:t>
          </w:r>
          <w:r>
            <w:rPr>
              <w:rFonts w:ascii="Calibri" w:hAnsi="Calibri"/>
              <w:b/>
              <w:bCs/>
              <w:color w:val="FFFFFF"/>
              <w:sz w:val="20"/>
              <w:szCs w:val="20"/>
              <w:shd w:fill="0066CC" w:val="clear"/>
            </w:rPr>
            <w:fldChar w:fldCharType="begin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instrText xml:space="preserve"> NUMPAGES </w:instrTex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separate"/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t>2</w:t>
          </w:r>
          <w:r>
            <w:rPr>
              <w:sz w:val="20"/>
              <w:b/>
              <w:shd w:fill="0066CC" w:val="clear"/>
              <w:szCs w:val="20"/>
              <w:bCs/>
              <w:rFonts w:ascii="Calibri" w:hAnsi="Calibri"/>
              <w:color w:val="FFFFFF"/>
            </w:rPr>
            <w:fldChar w:fldCharType="end"/>
          </w:r>
        </w:p>
      </w:tc>
    </w:tr>
  </w:tbl>
  <w:p>
    <w:pPr>
      <w:pStyle w:val="Standard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5870" w:type="dxa"/>
      <w:jc w:val="left"/>
      <w:tblInd w:w="-445" w:type="dxa"/>
      <w:tblLayout w:type="fixed"/>
      <w:tblCellMar>
        <w:top w:w="55" w:type="dxa"/>
        <w:left w:w="5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3118"/>
      <w:gridCol w:w="12751"/>
    </w:tblGrid>
    <w:tr>
      <w:trPr>
        <w:trHeight w:val="390" w:hRule="atLeast"/>
      </w:trPr>
      <w:tc>
        <w:tcPr>
          <w:tcW w:w="3118" w:type="dxa"/>
          <w:tcBorders>
            <w:top w:val="single" w:sz="2" w:space="0" w:color="FFFFFF"/>
            <w:left w:val="single" w:sz="2" w:space="0" w:color="FFFFFF"/>
            <w:bottom w:val="single" w:sz="2" w:space="0" w:color="FFFFFF"/>
          </w:tcBorders>
          <w:shd w:color="auto" w:fill="006699" w:val="clear"/>
        </w:tcPr>
        <w:p>
          <w:pPr>
            <w:pStyle w:val="Contenudetableau"/>
            <w:widowControl w:val="false"/>
            <w:spacing w:before="0" w:after="160"/>
            <w:jc w:val="center"/>
            <w:rPr>
              <w:color w:val="FFFFFF"/>
              <w:sz w:val="20"/>
              <w:szCs w:val="20"/>
            </w:rPr>
          </w:pPr>
          <w:r>
            <w:rPr>
              <w:color w:val="FFFFFF"/>
              <w:sz w:val="20"/>
              <w:szCs w:val="20"/>
            </w:rPr>
            <w:t>SDIP/BME/SMT</w:t>
          </w:r>
        </w:p>
      </w:tc>
      <w:tc>
        <w:tcPr>
          <w:tcW w:w="12751" w:type="dxa"/>
          <w:tcBorders>
            <w:top w:val="single" w:sz="2" w:space="0" w:color="FFFFFF"/>
            <w:left w:val="single" w:sz="8" w:space="0" w:color="FFFFFF"/>
            <w:bottom w:val="single" w:sz="2" w:space="0" w:color="FFFFFF"/>
            <w:right w:val="single" w:sz="18" w:space="0" w:color="FFFFFF"/>
          </w:tcBorders>
          <w:shd w:color="auto" w:fill="006699" w:val="clear"/>
        </w:tcPr>
        <w:p>
          <w:pPr>
            <w:pStyle w:val="Contenudetableau"/>
            <w:widowControl w:val="false"/>
            <w:spacing w:before="0" w:after="160"/>
            <w:jc w:val="center"/>
            <w:rPr>
              <w:color w:val="FFFFFF"/>
              <w:sz w:val="20"/>
              <w:szCs w:val="20"/>
            </w:rPr>
          </w:pPr>
          <w:r>
            <w:rPr>
              <w:color w:val="FFFFFF"/>
              <w:sz w:val="20"/>
              <w:szCs w:val="20"/>
            </w:rPr>
            <w:t xml:space="preserve">Le  </w:t>
          </w:r>
          <w:r>
            <w:rPr>
              <w:color w:val="FFFFFF"/>
              <w:sz w:val="20"/>
              <w:szCs w:val="20"/>
            </w:rPr>
            <w:t>17</w:t>
          </w:r>
          <w:r>
            <w:rPr>
              <w:color w:val="FFFFFF"/>
              <w:sz w:val="20"/>
              <w:szCs w:val="20"/>
            </w:rPr>
            <w:t>/12/2025</w:t>
          </w:r>
        </w:p>
      </w:tc>
    </w:tr>
  </w:tbl>
  <w:p>
    <w:pPr>
      <w:pStyle w:val="Standard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5870" w:type="dxa"/>
      <w:jc w:val="left"/>
      <w:tblInd w:w="-445" w:type="dxa"/>
      <w:tblLayout w:type="fixed"/>
      <w:tblCellMar>
        <w:top w:w="55" w:type="dxa"/>
        <w:left w:w="55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3118"/>
      <w:gridCol w:w="12751"/>
    </w:tblGrid>
    <w:tr>
      <w:trPr>
        <w:trHeight w:val="390" w:hRule="atLeast"/>
      </w:trPr>
      <w:tc>
        <w:tcPr>
          <w:tcW w:w="3118" w:type="dxa"/>
          <w:tcBorders>
            <w:top w:val="single" w:sz="2" w:space="0" w:color="FFFFFF"/>
            <w:left w:val="single" w:sz="2" w:space="0" w:color="FFFFFF"/>
            <w:bottom w:val="single" w:sz="2" w:space="0" w:color="FFFFFF"/>
          </w:tcBorders>
          <w:shd w:color="auto" w:fill="006699" w:val="clear"/>
        </w:tcPr>
        <w:p>
          <w:pPr>
            <w:pStyle w:val="Contenudetableau"/>
            <w:widowControl w:val="false"/>
            <w:spacing w:before="0" w:after="160"/>
            <w:jc w:val="center"/>
            <w:rPr>
              <w:color w:val="FFFFFF"/>
              <w:sz w:val="20"/>
              <w:szCs w:val="20"/>
            </w:rPr>
          </w:pPr>
          <w:r>
            <w:rPr>
              <w:color w:val="FFFFFF"/>
              <w:sz w:val="20"/>
              <w:szCs w:val="20"/>
            </w:rPr>
            <w:t>SDIP/BME/SMT</w:t>
          </w:r>
        </w:p>
      </w:tc>
      <w:tc>
        <w:tcPr>
          <w:tcW w:w="12751" w:type="dxa"/>
          <w:tcBorders>
            <w:top w:val="single" w:sz="2" w:space="0" w:color="FFFFFF"/>
            <w:left w:val="single" w:sz="8" w:space="0" w:color="FFFFFF"/>
            <w:bottom w:val="single" w:sz="2" w:space="0" w:color="FFFFFF"/>
            <w:right w:val="single" w:sz="18" w:space="0" w:color="FFFFFF"/>
          </w:tcBorders>
          <w:shd w:color="auto" w:fill="006699" w:val="clear"/>
        </w:tcPr>
        <w:p>
          <w:pPr>
            <w:pStyle w:val="Contenudetableau"/>
            <w:widowControl w:val="false"/>
            <w:spacing w:before="0" w:after="160"/>
            <w:jc w:val="center"/>
            <w:rPr>
              <w:color w:val="FFFFFF"/>
              <w:sz w:val="20"/>
              <w:szCs w:val="20"/>
            </w:rPr>
          </w:pPr>
          <w:r>
            <w:rPr>
              <w:color w:val="FFFFFF"/>
              <w:sz w:val="20"/>
              <w:szCs w:val="20"/>
            </w:rPr>
            <w:t xml:space="preserve">Le  </w:t>
          </w:r>
          <w:r>
            <w:rPr>
              <w:color w:val="FFFFFF"/>
              <w:sz w:val="20"/>
              <w:szCs w:val="20"/>
            </w:rPr>
            <w:t>17</w:t>
          </w:r>
          <w:r>
            <w:rPr>
              <w:color w:val="FFFFFF"/>
              <w:sz w:val="20"/>
              <w:szCs w:val="20"/>
            </w:rPr>
            <w:t>/12/2025</w:t>
          </w:r>
        </w:p>
      </w:tc>
    </w:tr>
  </w:tbl>
  <w:p>
    <w:pPr>
      <w:pStyle w:val="Standard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4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Titre1"/>
    <w:next w:val="Textbody"/>
    <w:qFormat/>
    <w:pPr>
      <w:outlineLvl w:val="0"/>
    </w:pPr>
    <w:rPr/>
  </w:style>
  <w:style w:type="paragraph" w:styleId="Heading2">
    <w:name w:val="Heading 2"/>
    <w:basedOn w:val="Titre1"/>
    <w:next w:val="Textbody"/>
    <w:qFormat/>
    <w:pPr>
      <w:spacing w:before="200" w:after="120"/>
      <w:outlineLvl w:val="1"/>
    </w:pPr>
    <w:rPr/>
  </w:style>
  <w:style w:type="paragraph" w:styleId="Heading3">
    <w:name w:val="Heading 3"/>
    <w:basedOn w:val="Titre1"/>
    <w:next w:val="Textbody"/>
    <w:qFormat/>
    <w:pPr>
      <w:outlineLvl w:val="2"/>
    </w:pPr>
    <w:rPr/>
  </w:style>
  <w:style w:type="paragraph" w:styleId="Heading4">
    <w:name w:val="Heading 4"/>
    <w:basedOn w:val="Standard"/>
    <w:next w:val="Standard"/>
    <w:qFormat/>
    <w:pPr>
      <w:keepNext w:val="true"/>
      <w:outlineLvl w:val="3"/>
    </w:pPr>
    <w:rPr>
      <w:b/>
      <w:szCs w:val="20"/>
      <w:u w:val="single"/>
    </w:rPr>
  </w:style>
  <w:style w:type="paragraph" w:styleId="Heading6">
    <w:name w:val="Heading 6"/>
    <w:basedOn w:val="Standard"/>
    <w:next w:val="Textbody"/>
    <w:qFormat/>
    <w:pPr>
      <w:ind w:left="181"/>
      <w:outlineLvl w:val="5"/>
    </w:pPr>
    <w:rPr>
      <w:b/>
      <w:bCs/>
      <w:sz w:val="15"/>
      <w:szCs w:val="15"/>
    </w:rPr>
  </w:style>
  <w:style w:type="paragraph" w:styleId="Heading7">
    <w:name w:val="Heading 7"/>
    <w:basedOn w:val="Titre1"/>
    <w:next w:val="Textbody"/>
    <w:qFormat/>
    <w:pPr>
      <w:outlineLvl w:val="6"/>
    </w:pPr>
    <w:rPr/>
  </w:style>
  <w:style w:type="paragraph" w:styleId="Heading8">
    <w:name w:val="Heading 8"/>
    <w:basedOn w:val="Titre1"/>
    <w:next w:val="Textbody"/>
    <w:qFormat/>
    <w:pPr>
      <w:outlineLvl w:val="7"/>
    </w:pPr>
    <w:rPr/>
  </w:style>
  <w:style w:type="paragraph" w:styleId="Heading9">
    <w:name w:val="Heading 9"/>
    <w:basedOn w:val="Titre1"/>
    <w:next w:val="Textbody"/>
    <w:qFormat/>
    <w:pPr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 w:customStyle="1">
    <w:name w:val="Strong"/>
    <w:qFormat/>
    <w:rPr>
      <w:b/>
      <w:bCs/>
    </w:rPr>
  </w:style>
  <w:style w:type="character" w:styleId="Caractresdenumrotation" w:customStyle="1">
    <w:name w:val="Caractères de numérotation"/>
    <w:qFormat/>
    <w:rPr/>
  </w:style>
  <w:style w:type="character" w:styleId="Caractresdenotedebasdepage" w:customStyle="1">
    <w:name w:val="Caractères de note de bas de page"/>
    <w:qFormat/>
    <w:rPr/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 w:customStyle="1">
    <w:name w:val="Footnote Characters111"/>
    <w:qFormat/>
    <w:rPr>
      <w:vertAlign w:val="superscript"/>
    </w:rPr>
  </w:style>
  <w:style w:type="character" w:styleId="WW8Num8z0" w:customStyle="1">
    <w:name w:val="WW8Num8z0"/>
    <w:qFormat/>
    <w:rPr/>
  </w:style>
  <w:style w:type="character" w:styleId="Titre4Car" w:customStyle="1">
    <w:name w:val="Titre 4 Car"/>
    <w:basedOn w:val="DefaultParagraphFont"/>
    <w:qFormat/>
    <w:rPr>
      <w:b/>
      <w:sz w:val="24"/>
      <w:u w:val="single"/>
      <w:lang w:val="fr-FR" w:bidi="ar-SA"/>
    </w:rPr>
  </w:style>
  <w:style w:type="character" w:styleId="Titre3Car" w:customStyle="1">
    <w:name w:val="Titre 3 Car"/>
    <w:basedOn w:val="DefaultParagraphFont"/>
    <w:qFormat/>
    <w:rPr>
      <w:b/>
      <w:bCs/>
      <w:sz w:val="27"/>
      <w:szCs w:val="27"/>
      <w:lang w:val="fr-FR" w:bidi="ar-SA"/>
    </w:rPr>
  </w:style>
  <w:style w:type="character" w:styleId="WW8Num2z3" w:customStyle="1">
    <w:name w:val="WW8Num2z3"/>
    <w:qFormat/>
    <w:rPr>
      <w:rFonts w:ascii="Symbol" w:hAnsi="Symbol" w:eastAsia="Symbol" w:cs="Symbol"/>
    </w:rPr>
  </w:style>
  <w:style w:type="character" w:styleId="WW8Num2z2" w:customStyle="1">
    <w:name w:val="WW8Num2z2"/>
    <w:qFormat/>
    <w:rPr>
      <w:rFonts w:ascii="Wingdings" w:hAnsi="Wingdings" w:eastAsia="Wingdings" w:cs="Wingdings"/>
    </w:rPr>
  </w:style>
  <w:style w:type="character" w:styleId="WW8Num2z1" w:customStyle="1">
    <w:name w:val="WW8Num2z1"/>
    <w:qFormat/>
    <w:rPr>
      <w:rFonts w:ascii="Courier New" w:hAnsi="Courier New" w:eastAsia="Courier New" w:cs="Courier New"/>
    </w:rPr>
  </w:style>
  <w:style w:type="character" w:styleId="WW8Num2z0" w:customStyle="1">
    <w:name w:val="WW8Num2z0"/>
    <w:qFormat/>
    <w:rPr>
      <w:rFonts w:ascii="Times New Roman" w:hAnsi="Times New Roman" w:eastAsia="Times New Roman" w:cs="Times New Roman"/>
    </w:rPr>
  </w:style>
  <w:style w:type="character" w:styleId="Sautdindex" w:customStyle="1">
    <w:name w:val="Saut d'index"/>
    <w:qFormat/>
    <w:rPr/>
  </w:style>
  <w:style w:type="character" w:styleId="Lienhypertexte1" w:customStyle="1">
    <w:name w:val="Lien hypertexte1"/>
    <w:qFormat/>
    <w:rPr>
      <w:color w:val="000080"/>
      <w:u w:val="single"/>
    </w:rPr>
  </w:style>
  <w:style w:type="character" w:styleId="WW8Num4z3" w:customStyle="1">
    <w:name w:val="WW8Num4z3"/>
    <w:qFormat/>
    <w:rPr>
      <w:rFonts w:ascii="Symbol" w:hAnsi="Symbol" w:eastAsia="Symbol" w:cs="Symbol"/>
    </w:rPr>
  </w:style>
  <w:style w:type="character" w:styleId="WW8Num4z1" w:customStyle="1">
    <w:name w:val="WW8Num4z1"/>
    <w:qFormat/>
    <w:rPr>
      <w:rFonts w:ascii="Courier New" w:hAnsi="Courier New" w:eastAsia="Courier New" w:cs="Courier New"/>
    </w:rPr>
  </w:style>
  <w:style w:type="character" w:styleId="WW8Num4z0" w:customStyle="1">
    <w:name w:val="WW8Num4z0"/>
    <w:qFormat/>
    <w:rPr>
      <w:rFonts w:ascii="Wingdings" w:hAnsi="Wingdings" w:eastAsia="Wingdings" w:cs="Wingdings"/>
      <w:sz w:val="22"/>
      <w:szCs w:val="22"/>
    </w:rPr>
  </w:style>
  <w:style w:type="character" w:styleId="WW8Num3z4" w:customStyle="1">
    <w:name w:val="WW8Num3z4"/>
    <w:qFormat/>
    <w:rPr>
      <w:rFonts w:ascii="Courier New" w:hAnsi="Courier New" w:eastAsia="Courier New" w:cs="Courier New"/>
    </w:rPr>
  </w:style>
  <w:style w:type="character" w:styleId="WW8Num3z2" w:customStyle="1">
    <w:name w:val="WW8Num3z2"/>
    <w:qFormat/>
    <w:rPr>
      <w:rFonts w:ascii="Wingdings" w:hAnsi="Wingdings" w:eastAsia="Wingdings" w:cs="Wingdings"/>
    </w:rPr>
  </w:style>
  <w:style w:type="character" w:styleId="WW8Num3z1" w:customStyle="1">
    <w:name w:val="WW8Num3z1"/>
    <w:qFormat/>
    <w:rPr>
      <w:rFonts w:ascii="Times New Roman" w:hAnsi="Times New Roman" w:eastAsia="Times New Roman" w:cs="Times New Roman"/>
      <w:b/>
      <w:sz w:val="22"/>
      <w:szCs w:val="22"/>
    </w:rPr>
  </w:style>
  <w:style w:type="character" w:styleId="WW8Num3z0" w:customStyle="1">
    <w:name w:val="WW8Num3z0"/>
    <w:qFormat/>
    <w:rPr>
      <w:rFonts w:ascii="Symbol" w:hAnsi="Symbol" w:eastAsia="Symbol" w:cs="Symbol"/>
      <w:sz w:val="22"/>
      <w:szCs w:val="22"/>
    </w:rPr>
  </w:style>
  <w:style w:type="character" w:styleId="WW8Num1z3" w:customStyle="1">
    <w:name w:val="WW8Num1z3"/>
    <w:qFormat/>
    <w:rPr>
      <w:rFonts w:ascii="Symbol" w:hAnsi="Symbol" w:eastAsia="Symbol" w:cs="Symbol"/>
    </w:rPr>
  </w:style>
  <w:style w:type="character" w:styleId="WW8Num1z2" w:customStyle="1">
    <w:name w:val="WW8Num1z2"/>
    <w:qFormat/>
    <w:rPr>
      <w:rFonts w:ascii="Wingdings" w:hAnsi="Wingdings" w:eastAsia="Wingdings" w:cs="Wingdings"/>
    </w:rPr>
  </w:style>
  <w:style w:type="character" w:styleId="WW8Num1z1" w:customStyle="1">
    <w:name w:val="WW8Num1z1"/>
    <w:qFormat/>
    <w:rPr>
      <w:rFonts w:ascii="Courier New" w:hAnsi="Courier New" w:eastAsia="Courier New" w:cs="Courier New"/>
    </w:rPr>
  </w:style>
  <w:style w:type="character" w:styleId="WW8Num1z0" w:customStyle="1">
    <w:name w:val="WW8Num1z0"/>
    <w:qFormat/>
    <w:rPr>
      <w:rFonts w:ascii="Arial" w:hAnsi="Arial" w:eastAsia="Times New Roman" w:cs="Arial"/>
    </w:rPr>
  </w:style>
  <w:style w:type="character" w:styleId="Puces" w:customStyle="1">
    <w:name w:val="Puces"/>
    <w:qFormat/>
    <w:rPr>
      <w:rFonts w:ascii="OpenSymbol" w:hAnsi="OpenSymbol" w:eastAsia="OpenSymbol" w:cs="OpenSymbol"/>
    </w:rPr>
  </w:style>
  <w:style w:type="character" w:styleId="Character20style" w:customStyle="1">
    <w:name w:val="Character_20_style"/>
    <w:qFormat/>
    <w:rPr/>
  </w:style>
  <w:style w:type="character" w:styleId="Caractresdenotedefin" w:customStyle="1">
    <w:name w:val="Caractères de note de fin"/>
    <w:qFormat/>
    <w:rPr/>
  </w:style>
  <w:style w:type="character" w:styleId="Lienhypertextesuivivisit1" w:customStyle="1">
    <w:name w:val="Lien hypertexte suivi visité1"/>
    <w:qFormat/>
    <w:rPr>
      <w:color w:val="800000"/>
      <w:u w:val="single"/>
    </w:rPr>
  </w:style>
  <w:style w:type="character" w:styleId="Absatz-Standardschriftart" w:customStyle="1">
    <w:name w:val="Absatz-Standardschriftart"/>
    <w:qFormat/>
    <w:rPr/>
  </w:style>
  <w:style w:type="character" w:styleId="Emphasis">
    <w:name w:val="Emphasis"/>
    <w:qFormat/>
    <w:rPr>
      <w:i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Index" w:customStyle="1">
    <w:name w:val="Index"/>
    <w:basedOn w:val="Standard"/>
    <w:qFormat/>
    <w:pPr>
      <w:suppressLineNumbers/>
    </w:pPr>
    <w:rPr>
      <w:rFonts w:cs="Mangal"/>
    </w:rPr>
  </w:style>
  <w:style w:type="paragraph" w:styleId="Titre1" w:customStyle="1">
    <w:name w:val="Titre1"/>
    <w:basedOn w:val="Standard"/>
    <w:next w:val="Textbody"/>
    <w:qFormat/>
    <w:pPr>
      <w:jc w:val="center"/>
    </w:pPr>
    <w:rPr>
      <w:b/>
      <w:bCs/>
      <w:sz w:val="56"/>
      <w:szCs w:val="56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fr-FR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ontenudetableau" w:customStyle="1">
    <w:name w:val="Contenu de tableau"/>
    <w:basedOn w:val="Standard"/>
    <w:qFormat/>
    <w:pPr>
      <w:suppressLineNumbers/>
      <w:spacing w:lineRule="auto" w:line="247" w:before="0" w:after="160"/>
    </w:pPr>
    <w:rPr>
      <w:rFonts w:ascii="Calibri" w:hAnsi="Calibri" w:eastAsia="Calibri" w:cs="SimSun"/>
      <w:color w:val="00000A"/>
      <w:kern w:val="0"/>
      <w:sz w:val="22"/>
      <w:szCs w:val="22"/>
      <w:lang w:eastAsia="en-US" w:bidi="ar-SA"/>
    </w:rPr>
  </w:style>
  <w:style w:type="paragraph" w:styleId="En-tteetpieddepage" w:customStyle="1">
    <w:name w:val="En-tête et pied de page"/>
    <w:basedOn w:val="Standard"/>
    <w:qFormat/>
    <w:pPr>
      <w:suppressLineNumbers/>
      <w:tabs>
        <w:tab w:val="clear" w:pos="420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Standard"/>
    <w:pPr>
      <w:suppressLineNumbers/>
      <w:tabs>
        <w:tab w:val="clear" w:pos="420"/>
        <w:tab w:val="center" w:pos="4819" w:leader="none"/>
        <w:tab w:val="right" w:pos="9638" w:leader="none"/>
      </w:tabs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paragraph" w:styleId="Header">
    <w:name w:val="Header"/>
    <w:basedOn w:val="Standard"/>
    <w:pPr>
      <w:suppressLineNumbers/>
      <w:tabs>
        <w:tab w:val="clear" w:pos="420"/>
        <w:tab w:val="center" w:pos="5103" w:leader="none"/>
        <w:tab w:val="right" w:pos="10206" w:leader="none"/>
      </w:tabs>
    </w:pPr>
    <w:rPr/>
  </w:style>
  <w:style w:type="paragraph" w:styleId="CCTP-TITRE1" w:customStyle="1">
    <w:name w:val="CCTP - TITRE 1"/>
    <w:basedOn w:val="Heading1"/>
    <w:next w:val="Textbody"/>
    <w:qFormat/>
    <w:pPr>
      <w:outlineLvl w:val="9"/>
    </w:pPr>
    <w:rPr>
      <w:rFonts w:ascii="Arial" w:hAnsi="Arial" w:eastAsia="Arial"/>
      <w:sz w:val="30"/>
    </w:rPr>
  </w:style>
  <w:style w:type="paragraph" w:styleId="Subtitle">
    <w:name w:val="Subtitle"/>
    <w:basedOn w:val="Titre1"/>
    <w:next w:val="Textbody"/>
    <w:qFormat/>
    <w:pPr/>
    <w:rPr>
      <w:i/>
      <w:iCs/>
    </w:rPr>
  </w:style>
  <w:style w:type="paragraph" w:styleId="Footnote" w:customStyle="1">
    <w:name w:val="Footnote"/>
    <w:basedOn w:val="Standard"/>
    <w:qFormat/>
    <w:pPr>
      <w:suppressLineNumbers/>
      <w:ind w:hanging="339" w:left="339"/>
    </w:pPr>
    <w:rPr>
      <w:sz w:val="20"/>
      <w:szCs w:val="20"/>
    </w:rPr>
  </w:style>
  <w:style w:type="paragraph" w:styleId="BodyText2">
    <w:name w:val="Body Text 2"/>
    <w:basedOn w:val="Standard"/>
    <w:qFormat/>
    <w:pPr>
      <w:jc w:val="both"/>
    </w:pPr>
    <w:rPr/>
  </w:style>
  <w:style w:type="paragraph" w:styleId="Contents4" w:customStyle="1">
    <w:name w:val="Contents 4"/>
    <w:basedOn w:val="Standard"/>
    <w:next w:val="Standard"/>
    <w:qFormat/>
    <w:pPr>
      <w:ind w:left="720"/>
    </w:pPr>
    <w:rPr/>
  </w:style>
  <w:style w:type="paragraph" w:styleId="Titre10" w:customStyle="1">
    <w:name w:val="Titre 10"/>
    <w:basedOn w:val="Titre1"/>
    <w:next w:val="Textbody"/>
    <w:qFormat/>
    <w:pPr/>
    <w:rPr/>
  </w:style>
  <w:style w:type="paragraph" w:styleId="NormalWeb">
    <w:name w:val="Normal (Web)"/>
    <w:basedOn w:val="Standard"/>
    <w:uiPriority w:val="99"/>
    <w:qFormat/>
    <w:pPr>
      <w:spacing w:before="280" w:after="119"/>
    </w:pPr>
    <w:rPr/>
  </w:style>
  <w:style w:type="paragraph" w:styleId="BodyText3">
    <w:name w:val="Body Text 3"/>
    <w:basedOn w:val="Standard"/>
    <w:qFormat/>
    <w:pPr>
      <w:jc w:val="both"/>
    </w:pPr>
    <w:rPr>
      <w:b/>
      <w:bCs/>
    </w:rPr>
  </w:style>
  <w:style w:type="paragraph" w:styleId="Lignehorizontale" w:customStyle="1">
    <w:name w:val="Ligne horizontale"/>
    <w:basedOn w:val="Standard"/>
    <w:next w:val="Textbody"/>
    <w:qFormat/>
    <w:pPr>
      <w:suppressLineNumbers/>
      <w:spacing w:before="0" w:after="283"/>
    </w:pPr>
    <w:rPr>
      <w:sz w:val="12"/>
      <w:szCs w:val="12"/>
    </w:rPr>
  </w:style>
  <w:style w:type="paragraph" w:styleId="Contents3" w:customStyle="1">
    <w:name w:val="Contents 3"/>
    <w:basedOn w:val="Index"/>
    <w:qFormat/>
    <w:pPr>
      <w:tabs>
        <w:tab w:val="clear" w:pos="420"/>
        <w:tab w:val="right" w:pos="10111" w:leader="dot"/>
      </w:tabs>
      <w:ind w:left="566"/>
    </w:pPr>
    <w:rPr/>
  </w:style>
  <w:style w:type="paragraph" w:styleId="Contents2" w:customStyle="1">
    <w:name w:val="Contents 2"/>
    <w:basedOn w:val="Index"/>
    <w:qFormat/>
    <w:pPr>
      <w:tabs>
        <w:tab w:val="clear" w:pos="420"/>
        <w:tab w:val="right" w:pos="10111" w:leader="dot"/>
      </w:tabs>
      <w:ind w:left="283"/>
    </w:pPr>
    <w:rPr/>
  </w:style>
  <w:style w:type="paragraph" w:styleId="Contents1" w:customStyle="1">
    <w:name w:val="Contents 1"/>
    <w:basedOn w:val="Index"/>
    <w:qFormat/>
    <w:pPr>
      <w:tabs>
        <w:tab w:val="clear" w:pos="420"/>
        <w:tab w:val="right" w:pos="10111" w:leader="dot"/>
      </w:tabs>
    </w:pPr>
    <w:rPr/>
  </w:style>
  <w:style w:type="paragraph" w:styleId="Citations" w:customStyle="1">
    <w:name w:val="Citations"/>
    <w:basedOn w:val="Standard"/>
    <w:qFormat/>
    <w:pPr>
      <w:spacing w:before="0" w:after="283"/>
      <w:ind w:left="567" w:right="567"/>
    </w:pPr>
    <w:rPr/>
  </w:style>
  <w:style w:type="paragraph" w:styleId="BodyTextIndented" w:customStyle="1">
    <w:name w:val="Body Text, Indented"/>
    <w:basedOn w:val="Standard"/>
    <w:qFormat/>
    <w:pPr>
      <w:ind w:firstLine="1418"/>
      <w:jc w:val="both"/>
    </w:pPr>
    <w:rPr>
      <w:szCs w:val="20"/>
    </w:rPr>
  </w:style>
  <w:style w:type="paragraph" w:styleId="ListParagraph">
    <w:name w:val="List Paragraph"/>
    <w:basedOn w:val="Standard"/>
    <w:qFormat/>
    <w:pPr>
      <w:ind w:left="720"/>
    </w:pPr>
    <w:rPr/>
  </w:style>
  <w:style w:type="paragraph" w:styleId="Contenudeliste" w:customStyle="1">
    <w:name w:val="Contenu de liste"/>
    <w:basedOn w:val="Standard"/>
    <w:qFormat/>
    <w:pPr>
      <w:ind w:left="567"/>
    </w:pPr>
    <w:rPr/>
  </w:style>
  <w:style w:type="paragraph" w:styleId="Listenabsatz" w:customStyle="1">
    <w:name w:val="Listenabsatz"/>
    <w:basedOn w:val="Standard"/>
    <w:qFormat/>
    <w:pPr/>
    <w:rPr/>
  </w:style>
  <w:style w:type="paragraph" w:styleId="TableParagraph" w:customStyle="1">
    <w:name w:val="Table Paragraph"/>
    <w:basedOn w:val="Standard"/>
    <w:qFormat/>
    <w:pPr/>
    <w:rPr/>
  </w:style>
  <w:style w:type="paragraph" w:styleId="Textkrper" w:customStyle="1">
    <w:name w:val="Textkörper"/>
    <w:basedOn w:val="Standard"/>
    <w:qFormat/>
    <w:pPr>
      <w:ind w:left="68"/>
    </w:pPr>
    <w:rPr>
      <w:rFonts w:ascii="Calibri" w:hAnsi="Calibri" w:eastAsia="Calibri" w:cs="Calibri"/>
    </w:rPr>
  </w:style>
  <w:style w:type="numbering" w:styleId="Pasdeliste" w:default="1">
    <w:name w:val="Pas de liste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2" w:customStyle="1">
    <w:name w:val="WW8Num2"/>
    <w:qFormat/>
  </w:style>
  <w:style w:type="numbering" w:styleId="WW8Num8" w:customStyle="1">
    <w:name w:val="WW8Num8"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2</Pages>
  <Words>302</Words>
  <Characters>1639</Characters>
  <CharactersWithSpaces>1900</CharactersWithSpaces>
  <Paragraphs>45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2024-12-17T11:20:56Z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