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151617"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51617">
        <w:rPr>
          <w:rFonts w:ascii="Arial" w:hAnsi="Arial" w:cs="Arial"/>
        </w:rPr>
      </w:r>
      <w:r w:rsidR="00151617">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51617">
        <w:rPr>
          <w:rFonts w:ascii="Arial" w:hAnsi="Arial" w:cs="Arial"/>
        </w:rPr>
      </w:r>
      <w:r w:rsidR="00151617">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5161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151617">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151617">
            <w:rPr>
              <w:rFonts w:ascii="Arial" w:hAnsi="Arial" w:cs="Arial"/>
              <w:b/>
              <w:i/>
              <w:iCs/>
            </w:rPr>
            <w:t>REST24-004</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151617">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151617">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1617"/>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36AA9CF9"/>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5FDB6-7FC4-4340-B645-F657F317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2025-01-02T12:51:00Z</dcterms:modified>
</cp:coreProperties>
</file>