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7D1A0C">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D1A0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A0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7D1A0C">
          <w:pPr>
            <w:jc w:val="center"/>
            <w:rPr>
              <w:rFonts w:ascii="Arial" w:hAnsi="Arial" w:cs="Arial"/>
              <w:b/>
              <w:bCs/>
            </w:rPr>
          </w:pPr>
          <w:r>
            <w:rPr>
              <w:rFonts w:ascii="Arial" w:hAnsi="Arial" w:cs="Arial"/>
              <w:b/>
              <w:i/>
              <w:iCs/>
            </w:rPr>
            <w:t xml:space="preserve">Référence consultation :  </w:t>
          </w:r>
          <w:r w:rsidR="007D1A0C">
            <w:rPr>
              <w:rFonts w:ascii="Arial" w:hAnsi="Arial" w:cs="Arial"/>
              <w:b/>
              <w:i/>
              <w:iCs/>
            </w:rPr>
            <w:t>REST24-004</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7D1A0C">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7D1A0C">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1A0C"/>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2053B9"/>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FB0A9-3FDD-46B7-BED2-D0902F41F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2025-01-02T12:51:00Z</dcterms:modified>
</cp:coreProperties>
</file>