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9F28C" w14:textId="77777777" w:rsidR="00AB60A7" w:rsidRDefault="00AB60A7" w:rsidP="00FC31EC">
      <w:pPr>
        <w:rPr>
          <w:noProof/>
        </w:rPr>
      </w:pPr>
    </w:p>
    <w:p w14:paraId="33BAB63C" w14:textId="77777777" w:rsidR="00AB60A7" w:rsidRDefault="00AB60A7" w:rsidP="00FC31EC">
      <w:pPr>
        <w:pStyle w:val="Titre"/>
      </w:pPr>
      <w:r>
        <w:rPr>
          <w:lang w:eastAsia="fr-FR"/>
        </w:rPr>
        <w:drawing>
          <wp:inline distT="0" distB="0" distL="0" distR="0" wp14:anchorId="052ECFBC" wp14:editId="6FE3FFE3">
            <wp:extent cx="1917700" cy="1917700"/>
            <wp:effectExtent l="0" t="0" r="635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DD951" w14:textId="77777777" w:rsidR="00AB60A7" w:rsidRDefault="00AB60A7" w:rsidP="00FC31EC">
      <w:pPr>
        <w:pStyle w:val="Titre"/>
      </w:pPr>
    </w:p>
    <w:p w14:paraId="6BB6B0C5" w14:textId="77777777" w:rsidR="00AB60A7" w:rsidRPr="001824FF" w:rsidRDefault="00AB60A7" w:rsidP="00FC31EC"/>
    <w:p w14:paraId="7A55FBDE" w14:textId="77777777" w:rsidR="00CF5949" w:rsidRDefault="00CF5949" w:rsidP="00CF5949">
      <w:pPr>
        <w:pStyle w:val="Titre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C798B" wp14:editId="26BFBA1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36165" cy="252730"/>
                <wp:effectExtent l="3175" t="0" r="381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1B47C" w14:textId="77777777" w:rsidR="00CF5949" w:rsidRDefault="00CF5949" w:rsidP="00CF594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4FAC798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0;width:183.95pt;height:19.9pt;z-index:251660288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Vd4AEAAKEDAAAOAAAAZHJzL2Uyb0RvYy54bWysU9uO0zAQfUfiHyy/0zTpZSFqulp2VYS0&#10;LEgLH+A4TmKReMzYbVK+nrHTdgu8IV4se2Zy5pwzk83t2HfsoNBpMAVPZ3POlJFQadMU/NvX3Zu3&#10;nDkvTCU6MKrgR+X47fb1q81gc5VBC12lkBGIcflgC956b/MkcbJVvXAzsMpQsgbshacnNkmFYiD0&#10;vkuy+XydDICVRZDKOYo+TEm+jfh1raT/XNdOedYVnLj5eGI8y3Am243IGxS21fJEQ/wDi15oQ00v&#10;UA/CC7ZH/RdUryWCg9rPJPQJ1LWWKmogNen8DzXPrbAqaiFznL3Y5P4frHw6PNsvyPz4HkYaYBTh&#10;7CPI744ZuG+FadQdIgytEhU1ToNlyWBdfvo0WO1yF0DK4RNUNGSx9xCBxhr74ArpZIROAzheTFej&#10;Z5KC2WKxTtcrziTlslV2s4hTSUR+/tqi8x8U9CxcCo401IguDo/OBzYiP5eEZgZ2uuviYDvzW4AK&#10;QySyD4Qn6n4sR6oOKkqojqQDYdoT2mu6tIA/ORtoRwrufuwFKs66j4a8eJcul2Gp4mO5usnogdeZ&#10;8jojjCSognvOpuu9nxZxb1E3LXU6u39H/u10lPbC6sSb9iAqPu1sWLTrd6x6+bO2vwAAAP//AwBQ&#10;SwMEFAAGAAgAAAAhAOwuEj7aAAAABAEAAA8AAABkcnMvZG93bnJldi54bWxMj81OwzAQhO9IfQdr&#10;K3GjDtDfEKdCQCWOtAWJoxtv4gh7HcVuG96epRe4rGY1q5lvi/XgnThhH9tACm4nGQikKpiWGgXv&#10;+83NEkRMmox2gVDBN0ZYl6OrQucmnGmLp11qBIdQzLUCm1KXSxkri17HSeiQ2KtD73XitW+k6fWZ&#10;w72Td1k2l163xA1Wd/hksfraHb2CD/p0r/XUWFzM3qbb7uW5nqW9Utfj4fEBRMIh/R3DLz6jQ8lM&#10;h3AkE4VTwI+ky2Tvfr5YgTiwWC1BloX8D1/+AAAA//8DAFBLAQItABQABgAIAAAAIQC2gziS/gAA&#10;AOEBAAATAAAAAAAAAAAAAAAAAAAAAABbQ29udGVudF9UeXBlc10ueG1sUEsBAi0AFAAGAAgAAAAh&#10;ADj9If/WAAAAlAEAAAsAAAAAAAAAAAAAAAAALwEAAF9yZWxzLy5yZWxzUEsBAi0AFAAGAAgAAAAh&#10;ADIZ1V3gAQAAoQMAAA4AAAAAAAAAAAAAAAAALgIAAGRycy9lMm9Eb2MueG1sUEsBAi0AFAAGAAgA&#10;AAAhAOwuEj7aAAAABAEAAA8AAAAAAAAAAAAAAAAAOgQAAGRycy9kb3ducmV2LnhtbFBLBQYAAAAA&#10;BAAEAPMAAABBBQAAAAA=&#10;" filled="f" stroked="f">
                <v:textbox style="mso-fit-shape-to-text:t">
                  <w:txbxContent>
                    <w:p w14:paraId="7761B47C" w14:textId="77777777" w:rsidR="00CF5949" w:rsidRDefault="00CF5949" w:rsidP="00CF5949"/>
                  </w:txbxContent>
                </v:textbox>
              </v:shape>
            </w:pict>
          </mc:Fallback>
        </mc:AlternateContent>
      </w:r>
      <w:r>
        <w:t>ENVOI DES MAGAZINES DE L’INC AUX ABONNES ET CLIENTS</w:t>
      </w:r>
    </w:p>
    <w:p w14:paraId="0964F337" w14:textId="77777777" w:rsidR="005778C2" w:rsidRPr="001824FF" w:rsidRDefault="005778C2" w:rsidP="00FC31EC"/>
    <w:p w14:paraId="00D34C2B" w14:textId="77777777" w:rsidR="001C1868" w:rsidRDefault="001C1868" w:rsidP="00FC31EC">
      <w:pPr>
        <w:jc w:val="center"/>
      </w:pPr>
      <w:r w:rsidRPr="001824FF">
        <w:t>___________________________________</w:t>
      </w:r>
    </w:p>
    <w:p w14:paraId="451DB02A" w14:textId="77777777" w:rsidR="001824FF" w:rsidRDefault="001824FF" w:rsidP="00FC31EC"/>
    <w:p w14:paraId="1EFC0AFC" w14:textId="77777777" w:rsidR="001824FF" w:rsidRPr="001824FF" w:rsidRDefault="001824FF" w:rsidP="00FC31EC"/>
    <w:p w14:paraId="463E2EAD" w14:textId="4F55706C" w:rsidR="00AB60A7" w:rsidRPr="00FC31EC" w:rsidRDefault="00AC77B0" w:rsidP="00FC31EC">
      <w:pPr>
        <w:jc w:val="center"/>
        <w:rPr>
          <w:b/>
          <w:bCs/>
          <w:noProof/>
          <w:sz w:val="44"/>
          <w:szCs w:val="48"/>
        </w:rPr>
      </w:pPr>
      <w:r>
        <w:rPr>
          <w:b/>
          <w:bCs/>
          <w:noProof/>
          <w:sz w:val="44"/>
          <w:szCs w:val="48"/>
        </w:rPr>
        <w:t>ANNEXES AUX ACTES D’ENGAGEMENT</w:t>
      </w:r>
    </w:p>
    <w:p w14:paraId="5A91877A" w14:textId="77777777" w:rsidR="00AB60A7" w:rsidRDefault="00AB60A7" w:rsidP="00FC31EC"/>
    <w:p w14:paraId="1C072AFD" w14:textId="77777777" w:rsidR="00AB60A7" w:rsidRDefault="00AB60A7" w:rsidP="00FC31EC"/>
    <w:p w14:paraId="5A08F351" w14:textId="77777777" w:rsidR="00AB60A7" w:rsidRDefault="00AB60A7" w:rsidP="00FC31EC"/>
    <w:p w14:paraId="246B483D" w14:textId="77777777" w:rsidR="00AB60A7" w:rsidRDefault="00566785" w:rsidP="00FC31EC">
      <w:pPr>
        <w:pStyle w:val="Titre"/>
      </w:pPr>
      <w:r>
        <w:rPr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DCA832" wp14:editId="642D3C0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348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05EA14" w14:textId="77777777" w:rsidR="00A81F9E" w:rsidRDefault="00A81F9E" w:rsidP="00FC31EC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8DCA832" id="Zone de texte 2" o:spid="_x0000_s1027" type="#_x0000_t202" style="position:absolute;left:0;text-align:left;margin-left:0;margin-top:0;width:181.45pt;height:27.45pt;z-index:25165824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HG8QEAANADAAAOAAAAZHJzL2Uyb0RvYy54bWysU9tu2zAMfR+wfxD0vjhO3a4z4hRdiwwD&#10;unZAtw+QZTkWJosapcTOvn6UnKRZ9zbshRAvPuQ5pJc3Y2/YTqHXYCuez+acKSuh0XZT8e/f1u+u&#10;OfNB2EYYsKrie+X5zertm+XgSrWADkyjkBGI9eXgKt6F4Mos87JTvfAzcMpSsgXsRSAXN1mDYiD0&#10;3mSL+fwqGwAbhyCV9xS9n5J8lfDbVsnw1LZeBWYqTrOFZDHZOtpstRTlBoXrtDyMIf5hil5oS01P&#10;UPciCLZF/RdUryWChzbMJPQZtK2WKnEgNvn8FZvnTjiVuJA43p1k8v8PVj7unt1XZGH8CCMtMJHw&#10;7gHkD88s3HXCbtQtIgydEg01zqNk2eB8efg0Su1LH0Hq4Qs0tGSxDZCAxhb7qArxZIROC9ifRFdj&#10;YJKCi4t5UeSXnEnKXRTXV/SOLUR5/NqhD58U9Cw+Ko601IQudg8+TKXHktjMwlobkxZr7B8BwoyR&#10;NH0ceBo9jPXIdHOgFsnU0OyJDsJ0LnTe4YlMa2CouDTacdYB/nodi3W0GcpwNtBJVdz/3ApUnJnP&#10;lqT7kBdFvMHkFJfvF+TgeaY+zwgrCarigbPpeRemu9061JuOOh2XdUtyr3VS4mX6A006m6Tl4cTj&#10;XZ77qerlR1z9BgAA//8DAFBLAwQUAAYACAAAACEAtqT+rtsAAAAEAQAADwAAAGRycy9kb3ducmV2&#10;LnhtbEyPS0/DMBCE70j8B2uRuFGHkhQa4lSIh8SxD5A4uvEmjrDXUbxtw7/HcIHLSqMZzXxbrSbv&#10;xBHH2AdScD3LQCA1wfTUKXjbvVzdgYisyWgXCBV8YYRVfX5W6dKEE23wuOVOpBKKpVZgmYdSythY&#10;9DrOwoCUvDaMXnOSYyfNqE+p3Ds5z7KF9LqntGD1gI8Wm8/twSt4pw/32ubG4m2xzjfD81Nb8E6p&#10;y4vp4R4E48R/YfjBT+hQJ6Z9OJCJwilIj/DvTd7NYr4EsVdQ5EuQdSX/w9ffAAAA//8DAFBLAQIt&#10;ABQABgAIAAAAIQC2gziS/gAAAOEBAAATAAAAAAAAAAAAAAAAAAAAAABbQ29udGVudF9UeXBlc10u&#10;eG1sUEsBAi0AFAAGAAgAAAAhADj9If/WAAAAlAEAAAsAAAAAAAAAAAAAAAAALwEAAF9yZWxzLy5y&#10;ZWxzUEsBAi0AFAAGAAgAAAAhAHB+wcbxAQAA0AMAAA4AAAAAAAAAAAAAAAAALgIAAGRycy9lMm9E&#10;b2MueG1sUEsBAi0AFAAGAAgAAAAhALak/q7bAAAABAEAAA8AAAAAAAAAAAAAAAAASwQAAGRycy9k&#10;b3ducmV2LnhtbFBLBQYAAAAABAAEAPMAAABTBQAAAAA=&#10;" filled="f" stroked="f">
                <v:textbox style="mso-fit-shape-to-text:t">
                  <w:txbxContent>
                    <w:p w14:paraId="7505EA14" w14:textId="77777777" w:rsidR="00A81F9E" w:rsidRDefault="00A81F9E" w:rsidP="00FC31EC"/>
                  </w:txbxContent>
                </v:textbox>
              </v:shape>
            </w:pict>
          </mc:Fallback>
        </mc:AlternateContent>
      </w:r>
    </w:p>
    <w:p w14:paraId="42BF0F85" w14:textId="77777777" w:rsidR="0084389F" w:rsidRDefault="0084389F" w:rsidP="00FC31EC">
      <w:r>
        <w:br w:type="page"/>
      </w:r>
    </w:p>
    <w:p w14:paraId="498F28ED" w14:textId="456DBB76" w:rsidR="00605A46" w:rsidRDefault="00605A46" w:rsidP="00FC31EC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7B2A462A" w14:textId="519B1142" w:rsidR="00AC77B0" w:rsidRPr="00521001" w:rsidRDefault="00AC77B0" w:rsidP="00B4369C">
      <w:pPr>
        <w:pStyle w:val="Titre"/>
        <w:rPr>
          <w:sz w:val="32"/>
          <w:szCs w:val="36"/>
        </w:rPr>
      </w:pPr>
      <w:r w:rsidRPr="00521001">
        <w:rPr>
          <w:sz w:val="32"/>
          <w:szCs w:val="36"/>
        </w:rPr>
        <w:t xml:space="preserve">Annexe 0 à l’Acte d’Engagement : </w:t>
      </w:r>
      <w:r w:rsidR="00CF5949" w:rsidRPr="00521001">
        <w:rPr>
          <w:sz w:val="32"/>
          <w:szCs w:val="36"/>
        </w:rPr>
        <w:t>BORDEREAU D’ANALYSE DE LA CONFORMITE DES REPONSES, PROPRE A CHAQUE LOT</w:t>
      </w:r>
    </w:p>
    <w:p w14:paraId="1FD2C573" w14:textId="77777777" w:rsidR="00AC77B0" w:rsidRPr="00521001" w:rsidRDefault="00AC77B0" w:rsidP="00AC77B0">
      <w:pPr>
        <w:rPr>
          <w:sz w:val="22"/>
          <w:szCs w:val="24"/>
        </w:rPr>
      </w:pPr>
    </w:p>
    <w:p w14:paraId="48D48D05" w14:textId="77777777" w:rsidR="00B4369C" w:rsidRPr="00521001" w:rsidRDefault="00B4369C" w:rsidP="00FE2315">
      <w:r w:rsidRPr="00521001">
        <w:t>Cette annexe sert à la fois pour déterminer le respect des exigences et pour permettre aux candidats d’indiquer celles qui, soit du fait des offres en variante, soit à l’issue des négociations, ne sont plus d’actualité.</w:t>
      </w:r>
    </w:p>
    <w:p w14:paraId="1D32C28C" w14:textId="77777777" w:rsidR="00B4369C" w:rsidRPr="00521001" w:rsidRDefault="00B4369C" w:rsidP="00FE2315">
      <w:pPr>
        <w:rPr>
          <w:b/>
          <w:bCs/>
          <w:color w:val="FF0000"/>
        </w:rPr>
      </w:pPr>
      <w:r w:rsidRPr="00521001">
        <w:rPr>
          <w:b/>
          <w:bCs/>
          <w:color w:val="FF0000"/>
        </w:rPr>
        <w:t>Cette annexe sert donc à valoriser le Critère « Différence de valeur à la charge de l’INC »</w:t>
      </w:r>
    </w:p>
    <w:p w14:paraId="3F5E4482" w14:textId="77777777" w:rsidR="00B4369C" w:rsidRPr="00521001" w:rsidRDefault="00B4369C" w:rsidP="00FE2315">
      <w:r w:rsidRPr="00521001">
        <w:t xml:space="preserve">Ce critère compte pour </w:t>
      </w:r>
      <w:r w:rsidRPr="00521001">
        <w:rPr>
          <w:b/>
        </w:rPr>
        <w:t>5%</w:t>
      </w:r>
      <w:r w:rsidRPr="00521001">
        <w:t xml:space="preserve"> de la note finale attribuée à l’offre et est analysé exclusivement au regard du contenu de l’Annexe 0 à l’AE : bordereau de réponse au critère « </w:t>
      </w:r>
      <w:r w:rsidRPr="00521001">
        <w:rPr>
          <w:i/>
        </w:rPr>
        <w:t xml:space="preserve">analyse de la conformité </w:t>
      </w:r>
      <w:r w:rsidRPr="00521001">
        <w:t xml:space="preserve">». Ce critère sert notamment à prendre en compte les écarts de valeur technique issues des modifications apportées par les candidats dans les variantes ou au cours de la négociation, après accord des deux négociateurs. </w:t>
      </w:r>
    </w:p>
    <w:p w14:paraId="1E770C4A" w14:textId="77777777" w:rsidR="00B4369C" w:rsidRPr="00521001" w:rsidRDefault="00B4369C" w:rsidP="00FE2315">
      <w:r w:rsidRPr="00521001">
        <w:t xml:space="preserve">. </w:t>
      </w:r>
    </w:p>
    <w:p w14:paraId="581F3D49" w14:textId="77777777" w:rsidR="00B4369C" w:rsidRPr="00521001" w:rsidRDefault="00B4369C" w:rsidP="00FE2315">
      <w:r w:rsidRPr="00521001">
        <w:t>Les mentions invitant à se reporter à d’autres documents ne sont pas prises en compte.</w:t>
      </w:r>
    </w:p>
    <w:p w14:paraId="0594DD19" w14:textId="77777777" w:rsidR="00AC77B0" w:rsidRPr="00521001" w:rsidRDefault="00AC77B0" w:rsidP="00FE2315"/>
    <w:p w14:paraId="3AF2AB60" w14:textId="77777777" w:rsidR="00AC77B0" w:rsidRPr="00521001" w:rsidRDefault="00AC77B0" w:rsidP="00FE2315"/>
    <w:p w14:paraId="0AA54A8F" w14:textId="77777777" w:rsidR="00AC77B0" w:rsidRPr="00521001" w:rsidRDefault="00AC77B0" w:rsidP="00FE2315">
      <w:r w:rsidRPr="00521001">
        <w:t>NE PAS REPONDRE A TOUTES LES QUESTIONS LA TRANSFORME EN VARIANTE ET PEUT LA RENDRE NON CONFORME.</w:t>
      </w:r>
    </w:p>
    <w:p w14:paraId="022A0AC6" w14:textId="77777777" w:rsidR="00AC77B0" w:rsidRPr="00521001" w:rsidRDefault="00AC77B0" w:rsidP="00FE2315">
      <w:pPr>
        <w:rPr>
          <w:sz w:val="22"/>
          <w:szCs w:val="24"/>
        </w:rPr>
      </w:pPr>
    </w:p>
    <w:p w14:paraId="21EBF199" w14:textId="77777777" w:rsidR="00AC77B0" w:rsidRPr="00521001" w:rsidRDefault="00AC77B0" w:rsidP="00FE2315">
      <w:r w:rsidRPr="00521001">
        <w:t>Cette annexe correspond :</w:t>
      </w:r>
    </w:p>
    <w:p w14:paraId="230C4F26" w14:textId="7EB94568" w:rsidR="00CF5949" w:rsidRPr="00521001" w:rsidRDefault="00000000" w:rsidP="00FE2315">
      <w:sdt>
        <w:sdtPr>
          <w:id w:val="816613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Segoe UI Symbol" w:hAnsi="Segoe UI Symbol" w:cs="Segoe UI Symbol"/>
            </w:rPr>
            <w:t>☐</w:t>
          </w:r>
        </w:sdtContent>
      </w:sdt>
      <w:r w:rsidR="00CF5949" w:rsidRPr="00521001">
        <w:t xml:space="preserve"> Lot 1 : envoi en nombre des magazines presse</w:t>
      </w:r>
    </w:p>
    <w:p w14:paraId="2A453295" w14:textId="09514E21" w:rsidR="00CF5949" w:rsidRPr="00521001" w:rsidRDefault="00000000" w:rsidP="00FE2315">
      <w:sdt>
        <w:sdtPr>
          <w:id w:val="784622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MS Gothic" w:eastAsia="MS Gothic" w:hAnsi="MS Gothic" w:hint="eastAsia"/>
            </w:rPr>
            <w:t>☐</w:t>
          </w:r>
        </w:sdtContent>
      </w:sdt>
      <w:r w:rsidR="00CF5949" w:rsidRPr="00521001">
        <w:t xml:space="preserve"> Lot 2 : envoi égrené des magazines presse</w:t>
      </w:r>
    </w:p>
    <w:p w14:paraId="3BB2466F" w14:textId="72442BFE" w:rsidR="00CF5949" w:rsidRPr="00521001" w:rsidRDefault="00000000" w:rsidP="00FE2315">
      <w:sdt>
        <w:sdtPr>
          <w:id w:val="-1192762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Segoe UI Symbol" w:hAnsi="Segoe UI Symbol" w:cs="Segoe UI Symbol"/>
            </w:rPr>
            <w:t>☐</w:t>
          </w:r>
        </w:sdtContent>
      </w:sdt>
      <w:r w:rsidR="00CF5949" w:rsidRPr="00521001">
        <w:t xml:space="preserve"> Lot 3 : envoi des autres publications hors presse.</w:t>
      </w:r>
    </w:p>
    <w:p w14:paraId="5C1FE14B" w14:textId="77777777" w:rsidR="00AC77B0" w:rsidRPr="00521001" w:rsidRDefault="00AC77B0" w:rsidP="00FE2315">
      <w:pPr>
        <w:rPr>
          <w:sz w:val="22"/>
          <w:szCs w:val="24"/>
        </w:rPr>
      </w:pPr>
    </w:p>
    <w:p w14:paraId="2FC595F3" w14:textId="7FE42700" w:rsidR="00AC77B0" w:rsidRPr="00521001" w:rsidRDefault="00AC77B0" w:rsidP="00FE2315">
      <w:r w:rsidRPr="00521001">
        <w:t xml:space="preserve">Et pour </w:t>
      </w:r>
    </w:p>
    <w:p w14:paraId="4DDB5CBF" w14:textId="25C523F8" w:rsidR="00AC77B0" w:rsidRPr="00521001" w:rsidRDefault="00000000" w:rsidP="00FE2315">
      <w:sdt>
        <w:sdtPr>
          <w:id w:val="-2028166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77B0" w:rsidRPr="00521001">
            <w:rPr>
              <w:rFonts w:ascii="MS Gothic" w:eastAsia="MS Gothic" w:hAnsi="MS Gothic" w:hint="eastAsia"/>
            </w:rPr>
            <w:t>☐</w:t>
          </w:r>
        </w:sdtContent>
      </w:sdt>
      <w:r w:rsidR="00AC77B0" w:rsidRPr="00521001">
        <w:t>L’offre de base</w:t>
      </w:r>
    </w:p>
    <w:p w14:paraId="4E12EFCF" w14:textId="49EB4570" w:rsidR="00AC77B0" w:rsidRPr="00521001" w:rsidRDefault="00000000" w:rsidP="00FE2315">
      <w:sdt>
        <w:sdtPr>
          <w:id w:val="-447317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77B0" w:rsidRPr="00521001">
            <w:rPr>
              <w:rFonts w:ascii="MS Gothic" w:eastAsia="MS Gothic" w:hAnsi="MS Gothic" w:hint="eastAsia"/>
            </w:rPr>
            <w:t>☐</w:t>
          </w:r>
        </w:sdtContent>
      </w:sdt>
      <w:r w:rsidR="00AC77B0" w:rsidRPr="00521001">
        <w:t xml:space="preserve">La variante (1 variante par lot max) </w:t>
      </w:r>
    </w:p>
    <w:p w14:paraId="4786B1D0" w14:textId="77777777" w:rsidR="00AC77B0" w:rsidRPr="00521001" w:rsidRDefault="00AC77B0" w:rsidP="00FE2315"/>
    <w:p w14:paraId="15605BB2" w14:textId="77777777" w:rsidR="00AC77B0" w:rsidRPr="00521001" w:rsidRDefault="00AC77B0" w:rsidP="00FE2315"/>
    <w:p w14:paraId="2CAA7B0E" w14:textId="7E119E99" w:rsidR="00AC77B0" w:rsidRPr="00521001" w:rsidRDefault="00AC77B0" w:rsidP="00FE2315">
      <w:proofErr w:type="spellStart"/>
      <w:r w:rsidRPr="00521001">
        <w:t>Respectez vous</w:t>
      </w:r>
      <w:proofErr w:type="spellEnd"/>
      <w:r w:rsidRPr="00521001">
        <w:t xml:space="preserve"> l’ensemble des exigences concernant ce qui est contenu dans le chapitre exigences du </w:t>
      </w:r>
      <w:proofErr w:type="gramStart"/>
      <w:r w:rsidRPr="00521001">
        <w:t>CCTP?</w:t>
      </w:r>
      <w:proofErr w:type="gramEnd"/>
      <w:r w:rsidRPr="00521001">
        <w:t xml:space="preserve"> </w:t>
      </w:r>
      <w:proofErr w:type="spellStart"/>
      <w:r w:rsidRPr="00521001">
        <w:t>respectez vous</w:t>
      </w:r>
      <w:proofErr w:type="spellEnd"/>
      <w:r w:rsidRPr="00521001">
        <w:t xml:space="preserve"> les critères et les niveaux associés ?</w:t>
      </w:r>
    </w:p>
    <w:p w14:paraId="233F9530" w14:textId="77777777" w:rsidR="00AC77B0" w:rsidRPr="00521001" w:rsidRDefault="00AC77B0" w:rsidP="00FE2315">
      <w:r w:rsidRPr="00521001">
        <w:rPr>
          <w:rFonts w:ascii="Segoe UI Symbol" w:hAnsi="Segoe UI Symbol" w:cs="Segoe UI Symbol"/>
        </w:rPr>
        <w:t>☐</w:t>
      </w:r>
      <w:r w:rsidRPr="00521001">
        <w:t>oui</w:t>
      </w:r>
    </w:p>
    <w:p w14:paraId="594B28C1" w14:textId="77777777" w:rsidR="00AC77B0" w:rsidRPr="00521001" w:rsidRDefault="00AC77B0" w:rsidP="00FE2315">
      <w:r w:rsidRPr="00521001">
        <w:rPr>
          <w:rFonts w:ascii="Segoe UI Symbol" w:hAnsi="Segoe UI Symbol" w:cs="Segoe UI Symbol"/>
        </w:rPr>
        <w:t>☐</w:t>
      </w:r>
      <w:r w:rsidRPr="00521001">
        <w:t xml:space="preserve"> Non (rappel : il n’est pas possible de répondre « non » à une exigence qui n’est pas modifiable au niveau de la réponse, ou qui est non négociable.  Attention : toute réponse « non » peut rendre votre offre non conforme, ou la transformer en variante.</w:t>
      </w:r>
    </w:p>
    <w:p w14:paraId="3367578B" w14:textId="77777777" w:rsidR="00AC77B0" w:rsidRPr="00521001" w:rsidRDefault="00AC77B0" w:rsidP="00FE2315">
      <w:pPr>
        <w:rPr>
          <w:sz w:val="22"/>
          <w:szCs w:val="24"/>
        </w:rPr>
      </w:pPr>
    </w:p>
    <w:p w14:paraId="1E964AC3" w14:textId="77777777" w:rsidR="00AC77B0" w:rsidRPr="00521001" w:rsidRDefault="00AC77B0" w:rsidP="00FE2315">
      <w:r w:rsidRPr="00521001">
        <w:t>Décrivez si non :</w:t>
      </w:r>
    </w:p>
    <w:p w14:paraId="06BED776" w14:textId="77777777" w:rsidR="00AC77B0" w:rsidRPr="00521001" w:rsidRDefault="00AC77B0" w:rsidP="00FE2315">
      <w:pPr>
        <w:rPr>
          <w:sz w:val="22"/>
          <w:szCs w:val="24"/>
        </w:rPr>
      </w:pPr>
    </w:p>
    <w:p w14:paraId="625C7B51" w14:textId="77777777" w:rsidR="00AC77B0" w:rsidRPr="00521001" w:rsidRDefault="00AC77B0" w:rsidP="00FE2315">
      <w:pPr>
        <w:rPr>
          <w:sz w:val="22"/>
          <w:szCs w:val="24"/>
        </w:rPr>
      </w:pPr>
    </w:p>
    <w:p w14:paraId="10F3CE23" w14:textId="77777777" w:rsidR="00AC77B0" w:rsidRPr="00521001" w:rsidRDefault="00AC77B0" w:rsidP="00FE2315">
      <w:pPr>
        <w:rPr>
          <w:sz w:val="22"/>
          <w:szCs w:val="24"/>
        </w:rPr>
      </w:pPr>
    </w:p>
    <w:p w14:paraId="7437C3EB" w14:textId="77777777" w:rsidR="00AC77B0" w:rsidRPr="00521001" w:rsidRDefault="00AC77B0" w:rsidP="00FE2315">
      <w:pPr>
        <w:rPr>
          <w:sz w:val="22"/>
          <w:szCs w:val="24"/>
        </w:rPr>
      </w:pPr>
    </w:p>
    <w:p w14:paraId="1A63F8D9" w14:textId="77777777" w:rsidR="00AC77B0" w:rsidRPr="00521001" w:rsidRDefault="00AC77B0" w:rsidP="00FE2315">
      <w:pPr>
        <w:rPr>
          <w:sz w:val="22"/>
          <w:szCs w:val="24"/>
        </w:rPr>
      </w:pPr>
    </w:p>
    <w:p w14:paraId="084E54A8" w14:textId="77777777" w:rsidR="00AC77B0" w:rsidRPr="00521001" w:rsidRDefault="00AC77B0" w:rsidP="00FE2315">
      <w:pPr>
        <w:rPr>
          <w:sz w:val="22"/>
          <w:szCs w:val="24"/>
        </w:rPr>
      </w:pPr>
    </w:p>
    <w:p w14:paraId="401270DF" w14:textId="77777777" w:rsidR="00AC77B0" w:rsidRPr="00521001" w:rsidRDefault="00AC77B0" w:rsidP="00FE2315">
      <w:pPr>
        <w:rPr>
          <w:sz w:val="22"/>
          <w:szCs w:val="24"/>
        </w:rPr>
      </w:pPr>
    </w:p>
    <w:p w14:paraId="1E80EB90" w14:textId="77777777" w:rsidR="00AC77B0" w:rsidRPr="00521001" w:rsidRDefault="00AC77B0" w:rsidP="00FE2315">
      <w:pPr>
        <w:rPr>
          <w:sz w:val="22"/>
          <w:szCs w:val="24"/>
        </w:rPr>
      </w:pPr>
    </w:p>
    <w:p w14:paraId="0464739A" w14:textId="1DBD69FF" w:rsidR="00AC77B0" w:rsidRPr="00521001" w:rsidRDefault="00AC77B0" w:rsidP="00FE2315">
      <w:pPr>
        <w:rPr>
          <w:sz w:val="22"/>
          <w:szCs w:val="24"/>
        </w:rPr>
      </w:pPr>
    </w:p>
    <w:p w14:paraId="12B4B704" w14:textId="24A89BF9" w:rsidR="00AC77B0" w:rsidRPr="00521001" w:rsidRDefault="00AC77B0" w:rsidP="00FE2315">
      <w:r w:rsidRPr="00521001">
        <w:t>Respectez-vous l’ensemble des exigences (à l’exception des exigences marquées non négociables ou exigences techniques minimales) concernant ce qui est contenu dans le CCAP</w:t>
      </w:r>
    </w:p>
    <w:p w14:paraId="39DDC7EE" w14:textId="77777777" w:rsidR="00AC77B0" w:rsidRPr="00521001" w:rsidRDefault="00AC77B0" w:rsidP="00FE2315">
      <w:r w:rsidRPr="00521001">
        <w:rPr>
          <w:rFonts w:ascii="Segoe UI Symbol" w:hAnsi="Segoe UI Symbol" w:cs="Segoe UI Symbol"/>
        </w:rPr>
        <w:t>☐</w:t>
      </w:r>
      <w:r w:rsidRPr="00521001">
        <w:t>oui</w:t>
      </w:r>
    </w:p>
    <w:p w14:paraId="0C4BC723" w14:textId="77777777" w:rsidR="00AC77B0" w:rsidRPr="00521001" w:rsidRDefault="00AC77B0" w:rsidP="00FE2315">
      <w:r w:rsidRPr="00521001">
        <w:rPr>
          <w:rFonts w:ascii="Segoe UI Symbol" w:hAnsi="Segoe UI Symbol" w:cs="Segoe UI Symbol"/>
        </w:rPr>
        <w:t>☐</w:t>
      </w:r>
      <w:r w:rsidRPr="00521001">
        <w:t>Non</w:t>
      </w:r>
    </w:p>
    <w:p w14:paraId="52233CBD" w14:textId="77777777" w:rsidR="00AC77B0" w:rsidRPr="00521001" w:rsidRDefault="00AC77B0" w:rsidP="00FE2315">
      <w:pPr>
        <w:rPr>
          <w:sz w:val="22"/>
          <w:szCs w:val="24"/>
        </w:rPr>
      </w:pPr>
    </w:p>
    <w:p w14:paraId="2CDE1340" w14:textId="77777777" w:rsidR="00AC77B0" w:rsidRPr="00521001" w:rsidRDefault="00AC77B0" w:rsidP="00FE2315">
      <w:r w:rsidRPr="00521001">
        <w:t>Attention : toute réponse « non » peut rendre votre offre non conforme, ou la transformer en variante.</w:t>
      </w:r>
    </w:p>
    <w:p w14:paraId="5E954A00" w14:textId="77777777" w:rsidR="00AC77B0" w:rsidRPr="00521001" w:rsidRDefault="00AC77B0" w:rsidP="00FE2315">
      <w:pPr>
        <w:rPr>
          <w:sz w:val="22"/>
          <w:szCs w:val="24"/>
        </w:rPr>
      </w:pPr>
    </w:p>
    <w:p w14:paraId="2044D458" w14:textId="77777777" w:rsidR="00AC77B0" w:rsidRPr="00521001" w:rsidRDefault="00AC77B0" w:rsidP="00FE2315">
      <w:r w:rsidRPr="00521001">
        <w:t>Décrivez si non :</w:t>
      </w:r>
    </w:p>
    <w:p w14:paraId="0B92EE7E" w14:textId="77777777" w:rsidR="00AC77B0" w:rsidRPr="00521001" w:rsidRDefault="00AC77B0" w:rsidP="00FE2315">
      <w:pPr>
        <w:rPr>
          <w:sz w:val="22"/>
          <w:szCs w:val="24"/>
        </w:rPr>
      </w:pPr>
    </w:p>
    <w:p w14:paraId="1ED405EE" w14:textId="77777777" w:rsidR="00AC77B0" w:rsidRPr="00521001" w:rsidRDefault="00AC77B0" w:rsidP="00FE2315">
      <w:pPr>
        <w:rPr>
          <w:sz w:val="22"/>
          <w:szCs w:val="24"/>
        </w:rPr>
      </w:pPr>
    </w:p>
    <w:p w14:paraId="46F4511B" w14:textId="77777777" w:rsidR="00AC77B0" w:rsidRPr="00521001" w:rsidRDefault="00AC77B0" w:rsidP="00FE2315">
      <w:pPr>
        <w:rPr>
          <w:sz w:val="22"/>
          <w:szCs w:val="24"/>
        </w:rPr>
      </w:pPr>
    </w:p>
    <w:p w14:paraId="25D843E3" w14:textId="77777777" w:rsidR="00AC77B0" w:rsidRPr="00521001" w:rsidRDefault="00AC77B0" w:rsidP="00FE2315">
      <w:pPr>
        <w:rPr>
          <w:sz w:val="22"/>
          <w:szCs w:val="24"/>
        </w:rPr>
      </w:pPr>
    </w:p>
    <w:p w14:paraId="74B13573" w14:textId="77777777" w:rsidR="00AC77B0" w:rsidRPr="00521001" w:rsidRDefault="00AC77B0" w:rsidP="00FE2315">
      <w:pPr>
        <w:rPr>
          <w:sz w:val="22"/>
          <w:szCs w:val="24"/>
        </w:rPr>
      </w:pPr>
    </w:p>
    <w:p w14:paraId="4D5C82C0" w14:textId="77777777" w:rsidR="00AC77B0" w:rsidRPr="00521001" w:rsidRDefault="00AC77B0" w:rsidP="00FE2315">
      <w:pPr>
        <w:rPr>
          <w:sz w:val="22"/>
          <w:szCs w:val="24"/>
        </w:rPr>
      </w:pPr>
    </w:p>
    <w:p w14:paraId="7110D0E5" w14:textId="77777777" w:rsidR="00AC77B0" w:rsidRPr="00521001" w:rsidRDefault="00AC77B0" w:rsidP="00FE2315">
      <w:pPr>
        <w:rPr>
          <w:sz w:val="22"/>
          <w:szCs w:val="24"/>
        </w:rPr>
      </w:pPr>
    </w:p>
    <w:p w14:paraId="2D2AD688" w14:textId="77777777" w:rsidR="00AC77B0" w:rsidRPr="00521001" w:rsidRDefault="00AC77B0" w:rsidP="00FE2315">
      <w:pPr>
        <w:rPr>
          <w:sz w:val="22"/>
          <w:szCs w:val="24"/>
        </w:rPr>
      </w:pPr>
    </w:p>
    <w:p w14:paraId="5F74E444" w14:textId="77777777" w:rsidR="00AC77B0" w:rsidRPr="00521001" w:rsidRDefault="00AC77B0" w:rsidP="00FE2315">
      <w:pPr>
        <w:rPr>
          <w:sz w:val="22"/>
          <w:szCs w:val="24"/>
        </w:rPr>
      </w:pPr>
    </w:p>
    <w:p w14:paraId="2265DBC6" w14:textId="77777777" w:rsidR="00AC77B0" w:rsidRPr="00521001" w:rsidRDefault="00AC77B0" w:rsidP="00FE2315">
      <w:pPr>
        <w:rPr>
          <w:sz w:val="22"/>
          <w:szCs w:val="24"/>
        </w:rPr>
      </w:pPr>
      <w:r w:rsidRPr="00521001">
        <w:rPr>
          <w:sz w:val="22"/>
          <w:szCs w:val="24"/>
        </w:rPr>
        <w:t> </w:t>
      </w:r>
    </w:p>
    <w:p w14:paraId="38ACF0F4" w14:textId="3613C92A" w:rsidR="00AC77B0" w:rsidRPr="00521001" w:rsidRDefault="00AC77B0" w:rsidP="00FE2315">
      <w:pPr>
        <w:rPr>
          <w:sz w:val="22"/>
          <w:szCs w:val="24"/>
        </w:rPr>
      </w:pPr>
      <w:r w:rsidRPr="00521001">
        <w:rPr>
          <w:sz w:val="22"/>
          <w:szCs w:val="24"/>
        </w:rPr>
        <w:br w:type="page"/>
      </w:r>
    </w:p>
    <w:p w14:paraId="301927ED" w14:textId="77777777" w:rsidR="00AC77B0" w:rsidRPr="00521001" w:rsidRDefault="00AC77B0" w:rsidP="00AC77B0">
      <w:pPr>
        <w:rPr>
          <w:sz w:val="22"/>
          <w:szCs w:val="24"/>
        </w:rPr>
      </w:pPr>
    </w:p>
    <w:p w14:paraId="0E9094D1" w14:textId="7F0DAB62" w:rsidR="00AC77B0" w:rsidRPr="00521001" w:rsidRDefault="00AC77B0" w:rsidP="00B4369C">
      <w:pPr>
        <w:pStyle w:val="Titre"/>
        <w:rPr>
          <w:sz w:val="48"/>
          <w:szCs w:val="52"/>
        </w:rPr>
      </w:pPr>
      <w:r w:rsidRPr="00521001">
        <w:rPr>
          <w:sz w:val="48"/>
          <w:szCs w:val="52"/>
        </w:rPr>
        <w:t xml:space="preserve">Annexe 1 à l’Acte d’Engagement : </w:t>
      </w:r>
      <w:r w:rsidR="00CF5949" w:rsidRPr="00521001">
        <w:rPr>
          <w:sz w:val="48"/>
          <w:szCs w:val="52"/>
        </w:rPr>
        <w:t xml:space="preserve">BORDEREAU DES PRIX UNITAIRES </w:t>
      </w:r>
    </w:p>
    <w:p w14:paraId="526A9B52" w14:textId="77777777" w:rsidR="004F59C2" w:rsidRPr="00521001" w:rsidRDefault="004F59C2" w:rsidP="00FE2315"/>
    <w:p w14:paraId="41139433" w14:textId="5B197999" w:rsidR="004F59C2" w:rsidRPr="00521001" w:rsidRDefault="004F59C2" w:rsidP="00FE2315">
      <w:bookmarkStart w:id="0" w:name="_Hlk185591825"/>
      <w:r w:rsidRPr="00521001">
        <w:t xml:space="preserve">Cette annexe sert à déterminer le cout global de la prestation. </w:t>
      </w:r>
    </w:p>
    <w:p w14:paraId="631DCB5A" w14:textId="4126AA3B" w:rsidR="004F59C2" w:rsidRPr="00521001" w:rsidRDefault="004F59C2" w:rsidP="00FE2315">
      <w:r w:rsidRPr="00521001">
        <w:t>Rappel.</w:t>
      </w:r>
    </w:p>
    <w:p w14:paraId="26050C68" w14:textId="7B5ABD51" w:rsidR="004F59C2" w:rsidRPr="00521001" w:rsidRDefault="004F59C2" w:rsidP="00FE2315">
      <w:r w:rsidRPr="00521001">
        <w:t>Critère cout</w:t>
      </w:r>
    </w:p>
    <w:p w14:paraId="2AB9B871" w14:textId="4C4653DF" w:rsidR="004F59C2" w:rsidRPr="00521001" w:rsidRDefault="004F59C2" w:rsidP="00FE2315">
      <w:r w:rsidRPr="00521001">
        <w:t xml:space="preserve">Ce critère compte pour 80 % de la note finale attribuée à l’offre et est analysé </w:t>
      </w:r>
      <w:r w:rsidRPr="00521001">
        <w:rPr>
          <w:color w:val="FF0000"/>
          <w:u w:val="single"/>
        </w:rPr>
        <w:t>exclusivement</w:t>
      </w:r>
      <w:r w:rsidRPr="00521001">
        <w:t xml:space="preserve"> au regard de la réponse fournie dans l’Annexe 1 et 2 et 3 à l’AE : Bordereau des Prix Unitaires (BPU), fonctionnement des tarifs et éléments de calcul du cout complet.</w:t>
      </w:r>
    </w:p>
    <w:p w14:paraId="31E5858B" w14:textId="3A966A7E" w:rsidR="004F59C2" w:rsidRPr="00521001" w:rsidRDefault="004F59C2" w:rsidP="00FE2315">
      <w:bookmarkStart w:id="1" w:name="_Hlk186144294"/>
      <w:r w:rsidRPr="00521001">
        <w:t xml:space="preserve">Les mentions invitant à se reporter à d’autres documents </w:t>
      </w:r>
      <w:r w:rsidR="00FE2315">
        <w:t>sont, pour cette annexe, exceptionnellement</w:t>
      </w:r>
      <w:r w:rsidRPr="00521001">
        <w:t xml:space="preserve"> prises en compte</w:t>
      </w:r>
      <w:r w:rsidR="00FE2315">
        <w:t xml:space="preserve"> si elles sont </w:t>
      </w:r>
      <w:r w:rsidR="00EB23EC">
        <w:t xml:space="preserve">bien </w:t>
      </w:r>
      <w:r w:rsidR="00FE2315">
        <w:t>expliquées</w:t>
      </w:r>
      <w:r w:rsidR="00EB23EC">
        <w:t xml:space="preserve"> en annexe 2</w:t>
      </w:r>
      <w:r w:rsidR="00FE2315">
        <w:t>.</w:t>
      </w:r>
    </w:p>
    <w:bookmarkEnd w:id="0"/>
    <w:bookmarkEnd w:id="1"/>
    <w:p w14:paraId="1F1BF4BF" w14:textId="77777777" w:rsidR="00CF5949" w:rsidRPr="00521001" w:rsidRDefault="00CF5949" w:rsidP="00FE2315"/>
    <w:p w14:paraId="0E890507" w14:textId="77777777" w:rsidR="00CF5949" w:rsidRPr="00521001" w:rsidRDefault="00CF5949" w:rsidP="00FE2315">
      <w:r w:rsidRPr="00521001">
        <w:t>Cette annexe correspond :</w:t>
      </w:r>
    </w:p>
    <w:p w14:paraId="39929584" w14:textId="77777777" w:rsidR="00CF5949" w:rsidRPr="00521001" w:rsidRDefault="00000000" w:rsidP="00FE2315">
      <w:sdt>
        <w:sdtPr>
          <w:id w:val="606090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Segoe UI Symbol" w:hAnsi="Segoe UI Symbol" w:cs="Segoe UI Symbol"/>
            </w:rPr>
            <w:t>☐</w:t>
          </w:r>
        </w:sdtContent>
      </w:sdt>
      <w:r w:rsidR="00CF5949" w:rsidRPr="00521001">
        <w:t xml:space="preserve"> Lot 1 : envoi en nombre des magazines presse</w:t>
      </w:r>
    </w:p>
    <w:p w14:paraId="477EB6BB" w14:textId="77777777" w:rsidR="00CF5949" w:rsidRPr="00521001" w:rsidRDefault="00000000" w:rsidP="00FE2315">
      <w:sdt>
        <w:sdtPr>
          <w:id w:val="-516151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MS Gothic" w:eastAsia="MS Gothic" w:hAnsi="MS Gothic" w:hint="eastAsia"/>
            </w:rPr>
            <w:t>☐</w:t>
          </w:r>
        </w:sdtContent>
      </w:sdt>
      <w:r w:rsidR="00CF5949" w:rsidRPr="00521001">
        <w:t xml:space="preserve"> Lot 2 : envoi égrené des magazines presse</w:t>
      </w:r>
    </w:p>
    <w:p w14:paraId="6334EC3D" w14:textId="77777777" w:rsidR="00CF5949" w:rsidRPr="00521001" w:rsidRDefault="00000000" w:rsidP="00FE2315">
      <w:sdt>
        <w:sdtPr>
          <w:id w:val="-1247491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Segoe UI Symbol" w:hAnsi="Segoe UI Symbol" w:cs="Segoe UI Symbol"/>
            </w:rPr>
            <w:t>☐</w:t>
          </w:r>
        </w:sdtContent>
      </w:sdt>
      <w:r w:rsidR="00CF5949" w:rsidRPr="00521001">
        <w:t xml:space="preserve"> Lot 3 : envoi des autres publications hors presse.</w:t>
      </w:r>
    </w:p>
    <w:p w14:paraId="0057C4DE" w14:textId="77777777" w:rsidR="00CF5949" w:rsidRPr="00521001" w:rsidRDefault="00CF5949" w:rsidP="00FE2315"/>
    <w:p w14:paraId="4E3079F3" w14:textId="77777777" w:rsidR="00AC77B0" w:rsidRPr="00521001" w:rsidRDefault="00AC77B0" w:rsidP="00FE2315"/>
    <w:p w14:paraId="34C338AB" w14:textId="77777777" w:rsidR="00AC77B0" w:rsidRPr="00521001" w:rsidRDefault="00AC77B0" w:rsidP="00FE2315">
      <w:r w:rsidRPr="00521001">
        <w:t xml:space="preserve">Et pour </w:t>
      </w:r>
    </w:p>
    <w:p w14:paraId="4061C659" w14:textId="77777777" w:rsidR="00AC77B0" w:rsidRPr="00521001" w:rsidRDefault="00000000" w:rsidP="00FE2315">
      <w:sdt>
        <w:sdtPr>
          <w:id w:val="-1487089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77B0" w:rsidRPr="00521001">
            <w:rPr>
              <w:rFonts w:ascii="MS Gothic" w:eastAsia="MS Gothic" w:hAnsi="MS Gothic" w:hint="eastAsia"/>
            </w:rPr>
            <w:t>☐</w:t>
          </w:r>
        </w:sdtContent>
      </w:sdt>
      <w:r w:rsidR="00AC77B0" w:rsidRPr="00521001">
        <w:t>L’offre de base</w:t>
      </w:r>
    </w:p>
    <w:p w14:paraId="02031017" w14:textId="77777777" w:rsidR="00AC77B0" w:rsidRPr="00521001" w:rsidRDefault="00000000" w:rsidP="00FE2315">
      <w:sdt>
        <w:sdtPr>
          <w:id w:val="20295129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77B0" w:rsidRPr="00521001">
            <w:rPr>
              <w:rFonts w:ascii="MS Gothic" w:eastAsia="MS Gothic" w:hAnsi="MS Gothic" w:hint="eastAsia"/>
            </w:rPr>
            <w:t>☐</w:t>
          </w:r>
        </w:sdtContent>
      </w:sdt>
      <w:r w:rsidR="00AC77B0" w:rsidRPr="00521001">
        <w:t xml:space="preserve">La variante (1 variante par lot max) </w:t>
      </w:r>
    </w:p>
    <w:p w14:paraId="4A8CE7F8" w14:textId="77777777" w:rsidR="00AC77B0" w:rsidRPr="00521001" w:rsidRDefault="00AC77B0" w:rsidP="00FE2315"/>
    <w:p w14:paraId="43B7E348" w14:textId="1C2C425C" w:rsidR="00CF5949" w:rsidRDefault="00CF5949" w:rsidP="00FE2315">
      <w:bookmarkStart w:id="2" w:name="_Toc183549938"/>
      <w:r w:rsidRPr="00521001">
        <w:t xml:space="preserve">Le fournisseur joint </w:t>
      </w:r>
      <w:r w:rsidR="00FE2315">
        <w:t xml:space="preserve">attaché ici </w:t>
      </w:r>
      <w:r w:rsidR="00EB23EC">
        <w:t xml:space="preserve">un </w:t>
      </w:r>
      <w:r w:rsidR="00EB23EC" w:rsidRPr="00521001">
        <w:t>tarif</w:t>
      </w:r>
      <w:r w:rsidRPr="00521001">
        <w:t xml:space="preserve"> pour chaque envoi</w:t>
      </w:r>
      <w:r w:rsidR="0079224E" w:rsidRPr="00521001">
        <w:t xml:space="preserve"> qui correspond aux hypothèses mentionnées dans le lot</w:t>
      </w:r>
      <w:r w:rsidR="00FE2315">
        <w:t xml:space="preserve"> pour la France métropolitaine et la corse, et joint un tarif applicable aux DOM TOM.</w:t>
      </w:r>
    </w:p>
    <w:p w14:paraId="028BCDBC" w14:textId="1B27A6FB" w:rsidR="00FE2315" w:rsidRPr="00521001" w:rsidRDefault="00FE2315" w:rsidP="00FE2315">
      <w:r>
        <w:t>Il indique les modalités des envois à l’étranger.</w:t>
      </w:r>
    </w:p>
    <w:p w14:paraId="4C862A34" w14:textId="029BE6A9" w:rsidR="00CF5949" w:rsidRDefault="0079224E" w:rsidP="00FE2315">
      <w:r w:rsidRPr="00521001">
        <w:t xml:space="preserve">Rappel : </w:t>
      </w:r>
      <w:r w:rsidR="00CF5949" w:rsidRPr="00521001">
        <w:t xml:space="preserve">Ces tarifs sont identiques pour toute la </w:t>
      </w:r>
      <w:r w:rsidR="00FE2315">
        <w:t>France métropolitaine</w:t>
      </w:r>
      <w:r w:rsidR="00CF5949" w:rsidRPr="00521001">
        <w:t>. Ils peuvent varier en fonction du poids.</w:t>
      </w:r>
    </w:p>
    <w:p w14:paraId="592F822E" w14:textId="77777777" w:rsidR="00FE2315" w:rsidRPr="00521001" w:rsidRDefault="00FE2315" w:rsidP="00FE2315"/>
    <w:p w14:paraId="1414B044" w14:textId="77777777" w:rsidR="00FE2315" w:rsidRDefault="00CF5949" w:rsidP="00FE2315">
      <w:r w:rsidRPr="00521001">
        <w:t>Il explique en annexe 2 le fonctionnement de chaque tarif.</w:t>
      </w:r>
    </w:p>
    <w:p w14:paraId="6DB0B11A" w14:textId="77777777" w:rsidR="00FE2315" w:rsidRDefault="00FE2315">
      <w:pPr>
        <w:spacing w:before="0" w:after="200" w:line="276" w:lineRule="auto"/>
        <w:jc w:val="left"/>
        <w:rPr>
          <w:b/>
          <w:bCs/>
          <w:noProof/>
          <w:sz w:val="48"/>
          <w:szCs w:val="52"/>
        </w:rPr>
      </w:pPr>
      <w:r>
        <w:rPr>
          <w:sz w:val="48"/>
          <w:szCs w:val="52"/>
        </w:rPr>
        <w:br w:type="page"/>
      </w:r>
    </w:p>
    <w:p w14:paraId="6E49F41C" w14:textId="00418C51" w:rsidR="00AC77B0" w:rsidRPr="00521001" w:rsidRDefault="00AC77B0" w:rsidP="00B4369C">
      <w:pPr>
        <w:pStyle w:val="Titre"/>
        <w:rPr>
          <w:sz w:val="48"/>
          <w:szCs w:val="52"/>
        </w:rPr>
      </w:pPr>
      <w:r w:rsidRPr="00521001">
        <w:rPr>
          <w:sz w:val="48"/>
          <w:szCs w:val="52"/>
        </w:rPr>
        <w:lastRenderedPageBreak/>
        <w:t xml:space="preserve">Annexe </w:t>
      </w:r>
      <w:r w:rsidR="0003258C" w:rsidRPr="00521001">
        <w:rPr>
          <w:sz w:val="48"/>
          <w:szCs w:val="52"/>
        </w:rPr>
        <w:t>2</w:t>
      </w:r>
      <w:r w:rsidRPr="00521001">
        <w:rPr>
          <w:sz w:val="48"/>
          <w:szCs w:val="52"/>
        </w:rPr>
        <w:t xml:space="preserve"> à l’acte d’engagement : </w:t>
      </w:r>
      <w:bookmarkEnd w:id="2"/>
      <w:r w:rsidR="00CF5949" w:rsidRPr="00521001">
        <w:rPr>
          <w:sz w:val="48"/>
          <w:szCs w:val="52"/>
        </w:rPr>
        <w:t>FONCTIONNEMENT DES TARIFS</w:t>
      </w:r>
    </w:p>
    <w:p w14:paraId="70F19C15" w14:textId="020AEAA1" w:rsidR="00AC77B0" w:rsidRPr="00521001" w:rsidRDefault="00AC77B0" w:rsidP="00AC77B0">
      <w:pPr>
        <w:rPr>
          <w:sz w:val="22"/>
          <w:szCs w:val="24"/>
        </w:rPr>
      </w:pPr>
    </w:p>
    <w:p w14:paraId="4AEA0074" w14:textId="77777777" w:rsidR="004F59C2" w:rsidRPr="00521001" w:rsidRDefault="004F59C2" w:rsidP="004F59C2">
      <w:pPr>
        <w:rPr>
          <w:b/>
          <w:bCs/>
          <w:sz w:val="22"/>
          <w:szCs w:val="24"/>
        </w:rPr>
      </w:pPr>
      <w:r w:rsidRPr="00521001">
        <w:rPr>
          <w:b/>
          <w:bCs/>
          <w:sz w:val="22"/>
          <w:szCs w:val="24"/>
        </w:rPr>
        <w:t xml:space="preserve">Cette annexe sert à déterminer le cout global de la prestation. </w:t>
      </w:r>
    </w:p>
    <w:p w14:paraId="0E202DE6" w14:textId="77777777" w:rsidR="004F59C2" w:rsidRPr="00521001" w:rsidRDefault="004F59C2" w:rsidP="004F59C2">
      <w:pPr>
        <w:rPr>
          <w:b/>
          <w:bCs/>
          <w:sz w:val="22"/>
          <w:szCs w:val="24"/>
        </w:rPr>
      </w:pPr>
      <w:r w:rsidRPr="00521001">
        <w:rPr>
          <w:b/>
          <w:bCs/>
          <w:sz w:val="22"/>
          <w:szCs w:val="24"/>
        </w:rPr>
        <w:t>Rappel.</w:t>
      </w:r>
    </w:p>
    <w:p w14:paraId="038D762C" w14:textId="77777777" w:rsidR="004F59C2" w:rsidRPr="00521001" w:rsidRDefault="004F59C2" w:rsidP="004F59C2">
      <w:pPr>
        <w:rPr>
          <w:b/>
          <w:bCs/>
          <w:sz w:val="22"/>
          <w:szCs w:val="24"/>
        </w:rPr>
      </w:pPr>
      <w:r w:rsidRPr="00521001">
        <w:rPr>
          <w:b/>
          <w:bCs/>
          <w:sz w:val="22"/>
          <w:szCs w:val="24"/>
        </w:rPr>
        <w:t>Critère cout</w:t>
      </w:r>
    </w:p>
    <w:p w14:paraId="64FB3080" w14:textId="77777777" w:rsidR="004F59C2" w:rsidRPr="00521001" w:rsidRDefault="004F59C2" w:rsidP="00FE2315">
      <w:r w:rsidRPr="00521001">
        <w:t xml:space="preserve">Ce critère compte pour 80 % de la note finale attribuée à l’offre et est analysé </w:t>
      </w:r>
      <w:r w:rsidRPr="00521001">
        <w:rPr>
          <w:b/>
          <w:bCs/>
          <w:color w:val="FF0000"/>
          <w:u w:val="single"/>
        </w:rPr>
        <w:t>exclusivement</w:t>
      </w:r>
      <w:r w:rsidRPr="00521001">
        <w:t xml:space="preserve"> au regard de la réponse fournie dans l’Annexe 1 et 2 et 3 à l’AE : Bordereau des Prix Unitaires (BPU), fonctionnement des tarifs et éléments de calcul du cout complet.</w:t>
      </w:r>
    </w:p>
    <w:p w14:paraId="13809963" w14:textId="77777777" w:rsidR="004F59C2" w:rsidRPr="00521001" w:rsidRDefault="004F59C2" w:rsidP="00FE2315">
      <w:r w:rsidRPr="00521001">
        <w:t>Les mentions invitant à se reporter à d’autres documents ne sont pas prises en compte.</w:t>
      </w:r>
    </w:p>
    <w:p w14:paraId="364F56EF" w14:textId="77777777" w:rsidR="00AC77B0" w:rsidRPr="00521001" w:rsidRDefault="00AC77B0" w:rsidP="00FE2315"/>
    <w:p w14:paraId="7FD88E08" w14:textId="77777777" w:rsidR="00CF5949" w:rsidRPr="00521001" w:rsidRDefault="00CF5949" w:rsidP="00FE2315"/>
    <w:p w14:paraId="31CDC118" w14:textId="77777777" w:rsidR="00CF5949" w:rsidRPr="00521001" w:rsidRDefault="00CF5949" w:rsidP="00FE2315">
      <w:r w:rsidRPr="00521001">
        <w:t>Cette annexe correspond :</w:t>
      </w:r>
    </w:p>
    <w:p w14:paraId="3D7576AF" w14:textId="77777777" w:rsidR="00CF5949" w:rsidRPr="00521001" w:rsidRDefault="00000000" w:rsidP="00FE2315">
      <w:sdt>
        <w:sdtPr>
          <w:id w:val="2503182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Segoe UI Symbol" w:hAnsi="Segoe UI Symbol" w:cs="Segoe UI Symbol"/>
            </w:rPr>
            <w:t>☐</w:t>
          </w:r>
        </w:sdtContent>
      </w:sdt>
      <w:r w:rsidR="00CF5949" w:rsidRPr="00521001">
        <w:t xml:space="preserve"> Lot 1 : envoi en nombre des magazines presse</w:t>
      </w:r>
    </w:p>
    <w:p w14:paraId="5E56DD8E" w14:textId="77777777" w:rsidR="00CF5949" w:rsidRPr="00521001" w:rsidRDefault="00000000" w:rsidP="00FE2315">
      <w:sdt>
        <w:sdtPr>
          <w:id w:val="1893459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MS Gothic" w:eastAsia="MS Gothic" w:hAnsi="MS Gothic" w:hint="eastAsia"/>
            </w:rPr>
            <w:t>☐</w:t>
          </w:r>
        </w:sdtContent>
      </w:sdt>
      <w:r w:rsidR="00CF5949" w:rsidRPr="00521001">
        <w:t xml:space="preserve"> Lot 2 : envoi égrené des magazines presse</w:t>
      </w:r>
    </w:p>
    <w:p w14:paraId="457E8373" w14:textId="77777777" w:rsidR="00CF5949" w:rsidRPr="00521001" w:rsidRDefault="00000000" w:rsidP="00FE2315">
      <w:sdt>
        <w:sdtPr>
          <w:id w:val="-397206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Segoe UI Symbol" w:hAnsi="Segoe UI Symbol" w:cs="Segoe UI Symbol"/>
            </w:rPr>
            <w:t>☐</w:t>
          </w:r>
        </w:sdtContent>
      </w:sdt>
      <w:r w:rsidR="00CF5949" w:rsidRPr="00521001">
        <w:t xml:space="preserve"> Lot 3 : envoi des autres publications hors presse.</w:t>
      </w:r>
    </w:p>
    <w:p w14:paraId="2185BE14" w14:textId="77777777" w:rsidR="00CF5949" w:rsidRPr="00521001" w:rsidRDefault="00CF5949" w:rsidP="00FE2315"/>
    <w:p w14:paraId="22D9BCF1" w14:textId="77777777" w:rsidR="00CF5949" w:rsidRPr="00521001" w:rsidRDefault="00CF5949" w:rsidP="00FE2315"/>
    <w:p w14:paraId="16321B75" w14:textId="77777777" w:rsidR="00CF5949" w:rsidRPr="00521001" w:rsidRDefault="00CF5949" w:rsidP="00FE2315">
      <w:r w:rsidRPr="00521001">
        <w:t xml:space="preserve">Et pour </w:t>
      </w:r>
    </w:p>
    <w:p w14:paraId="1B5409EF" w14:textId="77777777" w:rsidR="00CF5949" w:rsidRPr="00521001" w:rsidRDefault="00000000" w:rsidP="00FE2315">
      <w:sdt>
        <w:sdtPr>
          <w:id w:val="-94476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MS Gothic" w:eastAsia="MS Gothic" w:hAnsi="MS Gothic" w:hint="eastAsia"/>
            </w:rPr>
            <w:t>☐</w:t>
          </w:r>
        </w:sdtContent>
      </w:sdt>
      <w:r w:rsidR="00CF5949" w:rsidRPr="00521001">
        <w:t>L’offre de base</w:t>
      </w:r>
    </w:p>
    <w:p w14:paraId="020DD2AC" w14:textId="77777777" w:rsidR="00CF5949" w:rsidRPr="00521001" w:rsidRDefault="00000000" w:rsidP="00FE2315">
      <w:sdt>
        <w:sdtPr>
          <w:id w:val="966089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949" w:rsidRPr="00521001">
            <w:rPr>
              <w:rFonts w:ascii="MS Gothic" w:eastAsia="MS Gothic" w:hAnsi="MS Gothic" w:hint="eastAsia"/>
            </w:rPr>
            <w:t>☐</w:t>
          </w:r>
        </w:sdtContent>
      </w:sdt>
      <w:r w:rsidR="00CF5949" w:rsidRPr="00521001">
        <w:t xml:space="preserve">La variante (1 variante par lot max) </w:t>
      </w:r>
    </w:p>
    <w:p w14:paraId="24294976" w14:textId="55C3D023" w:rsidR="00AC77B0" w:rsidRPr="00521001" w:rsidRDefault="00CF5949" w:rsidP="00FE2315">
      <w:r w:rsidRPr="00521001">
        <w:t>A quoi correspondent les différentes colonnes des tarifs de l’annexe 1 ?</w:t>
      </w:r>
    </w:p>
    <w:p w14:paraId="044DD744" w14:textId="77777777" w:rsidR="00CF5949" w:rsidRPr="00521001" w:rsidRDefault="00CF5949" w:rsidP="00FE2315"/>
    <w:p w14:paraId="18FF441F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21001">
        <w:t>Répondez ici :</w:t>
      </w:r>
    </w:p>
    <w:p w14:paraId="13E5247E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B5B756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47359C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E07392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A4DE68" w14:textId="77777777" w:rsidR="00A6450C" w:rsidRPr="00521001" w:rsidRDefault="00A6450C" w:rsidP="00FE2315"/>
    <w:p w14:paraId="7056BAF2" w14:textId="34C15596" w:rsidR="00A6450C" w:rsidRPr="00521001" w:rsidRDefault="00A6450C" w:rsidP="00FE2315">
      <w:r w:rsidRPr="00521001">
        <w:t xml:space="preserve">Rappel : </w:t>
      </w:r>
      <w:r w:rsidR="00D8287E" w:rsidRPr="00521001">
        <w:t>Le cout global est simulé en fonction de la distribution réelle des magazines de l’INC (voir CCTP)</w:t>
      </w:r>
    </w:p>
    <w:p w14:paraId="48A56337" w14:textId="77777777" w:rsidR="00A6450C" w:rsidRPr="00521001" w:rsidRDefault="00A6450C" w:rsidP="00FE2315">
      <w:r w:rsidRPr="00521001">
        <w:t>Comment ces prix évoluent ils ?</w:t>
      </w:r>
    </w:p>
    <w:p w14:paraId="4B2981B5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21001">
        <w:t>Répondez ici :</w:t>
      </w:r>
    </w:p>
    <w:p w14:paraId="1261D53F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3E9938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88D02F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5A788EB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D2843B" w14:textId="759730AD" w:rsidR="00A6450C" w:rsidRPr="00521001" w:rsidRDefault="00A6450C" w:rsidP="00FE2315">
      <w:r w:rsidRPr="00521001">
        <w:lastRenderedPageBreak/>
        <w:t xml:space="preserve">Quelles pénalités/réfaction </w:t>
      </w:r>
      <w:proofErr w:type="spellStart"/>
      <w:r w:rsidRPr="00521001">
        <w:t>appliquez vous</w:t>
      </w:r>
      <w:proofErr w:type="spellEnd"/>
      <w:r w:rsidRPr="00521001">
        <w:t xml:space="preserve"> en cas de non atteinte des critères et des niveaux associés ?</w:t>
      </w:r>
    </w:p>
    <w:p w14:paraId="3237C974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21001">
        <w:t>Répondez ici :</w:t>
      </w:r>
    </w:p>
    <w:p w14:paraId="21382436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1E085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9F0AEE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734AA4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C980AC" w14:textId="77777777" w:rsidR="00A6450C" w:rsidRPr="00521001" w:rsidRDefault="00A6450C" w:rsidP="00FE2315"/>
    <w:p w14:paraId="02ADA03A" w14:textId="77777777" w:rsidR="00A6450C" w:rsidRPr="00521001" w:rsidRDefault="00A6450C" w:rsidP="00FE2315"/>
    <w:p w14:paraId="5EF40157" w14:textId="0BDC0C5A" w:rsidR="00B4369C" w:rsidRPr="00521001" w:rsidRDefault="00B4369C">
      <w:pPr>
        <w:spacing w:before="0" w:after="200" w:line="276" w:lineRule="auto"/>
        <w:jc w:val="left"/>
        <w:rPr>
          <w:sz w:val="22"/>
          <w:szCs w:val="24"/>
        </w:rPr>
      </w:pPr>
      <w:r w:rsidRPr="00521001">
        <w:rPr>
          <w:sz w:val="22"/>
          <w:szCs w:val="24"/>
        </w:rPr>
        <w:br w:type="page"/>
      </w:r>
    </w:p>
    <w:p w14:paraId="3FD9111F" w14:textId="77777777" w:rsidR="00AC77B0" w:rsidRPr="00521001" w:rsidRDefault="00AC77B0" w:rsidP="00AC77B0">
      <w:pPr>
        <w:rPr>
          <w:sz w:val="22"/>
          <w:szCs w:val="24"/>
        </w:rPr>
      </w:pPr>
    </w:p>
    <w:p w14:paraId="413AB107" w14:textId="4A24DFA7" w:rsidR="00AC77B0" w:rsidRPr="00521001" w:rsidRDefault="00AC77B0" w:rsidP="00B4369C">
      <w:pPr>
        <w:pStyle w:val="Titre"/>
        <w:rPr>
          <w:sz w:val="48"/>
          <w:szCs w:val="52"/>
        </w:rPr>
      </w:pPr>
      <w:r w:rsidRPr="00521001">
        <w:rPr>
          <w:sz w:val="48"/>
          <w:szCs w:val="52"/>
        </w:rPr>
        <w:t xml:space="preserve">Annexe 3 à l’Acte d’Engagement </w:t>
      </w:r>
    </w:p>
    <w:p w14:paraId="66209643" w14:textId="72112AFB" w:rsidR="00CF5949" w:rsidRPr="00521001" w:rsidRDefault="00CF5949" w:rsidP="00CF5949">
      <w:pPr>
        <w:pStyle w:val="Titre"/>
        <w:rPr>
          <w:sz w:val="48"/>
          <w:szCs w:val="52"/>
        </w:rPr>
      </w:pPr>
      <w:r w:rsidRPr="00521001">
        <w:rPr>
          <w:sz w:val="48"/>
          <w:szCs w:val="52"/>
        </w:rPr>
        <w:t>ELEMENTS DE CALCUL DU COUT COMPLET</w:t>
      </w:r>
    </w:p>
    <w:p w14:paraId="588DF0AA" w14:textId="77777777" w:rsidR="004F59C2" w:rsidRPr="00521001" w:rsidRDefault="004F59C2" w:rsidP="00FE2315">
      <w:r w:rsidRPr="00521001">
        <w:t xml:space="preserve">Cette annexe sert à déterminer le cout global de la prestation. </w:t>
      </w:r>
    </w:p>
    <w:p w14:paraId="58568219" w14:textId="77777777" w:rsidR="004F59C2" w:rsidRPr="00521001" w:rsidRDefault="004F59C2" w:rsidP="00FE2315">
      <w:r w:rsidRPr="00521001">
        <w:t>Rappel.</w:t>
      </w:r>
    </w:p>
    <w:p w14:paraId="09C9D8D8" w14:textId="77777777" w:rsidR="004F59C2" w:rsidRPr="00521001" w:rsidRDefault="004F59C2" w:rsidP="00FE2315">
      <w:r w:rsidRPr="00521001">
        <w:t>Critère cout</w:t>
      </w:r>
    </w:p>
    <w:p w14:paraId="1F908F31" w14:textId="77777777" w:rsidR="004F59C2" w:rsidRPr="00521001" w:rsidRDefault="004F59C2" w:rsidP="00FE2315">
      <w:r w:rsidRPr="00521001">
        <w:t xml:space="preserve">Ce critère compte pour 80 % de la note finale attribuée à l’offre et est analysé </w:t>
      </w:r>
      <w:r w:rsidRPr="00521001">
        <w:rPr>
          <w:color w:val="FF0000"/>
          <w:u w:val="single"/>
        </w:rPr>
        <w:t>exclusivement</w:t>
      </w:r>
      <w:r w:rsidRPr="00521001">
        <w:t xml:space="preserve"> au regard de la réponse fournie dans l’Annexe 1 et 2 et 3 à l’AE : Bordereau des Prix Unitaires (BPU), fonctionnement des tarifs et éléments de calcul du cout complet.</w:t>
      </w:r>
    </w:p>
    <w:p w14:paraId="07D21189" w14:textId="77777777" w:rsidR="004F59C2" w:rsidRPr="00521001" w:rsidRDefault="004F59C2" w:rsidP="00FE2315">
      <w:r w:rsidRPr="00521001">
        <w:t>Les mentions invitant à se reporter à d’autres documents ne sont pas prises en compte.</w:t>
      </w:r>
    </w:p>
    <w:p w14:paraId="1A8C8296" w14:textId="77777777" w:rsidR="00AC77B0" w:rsidRPr="00521001" w:rsidRDefault="00AC77B0" w:rsidP="00FE2315">
      <w:pPr>
        <w:rPr>
          <w:sz w:val="48"/>
          <w:szCs w:val="52"/>
        </w:rPr>
      </w:pPr>
    </w:p>
    <w:p w14:paraId="50D3E2E0" w14:textId="77777777" w:rsidR="00D8287E" w:rsidRPr="00521001" w:rsidRDefault="00D8287E" w:rsidP="00FE2315"/>
    <w:p w14:paraId="111AA9FF" w14:textId="77777777" w:rsidR="00D8287E" w:rsidRPr="00521001" w:rsidRDefault="00D8287E" w:rsidP="00FE2315">
      <w:r w:rsidRPr="00521001">
        <w:t>Cette annexe correspond :</w:t>
      </w:r>
    </w:p>
    <w:p w14:paraId="46F8593B" w14:textId="77777777" w:rsidR="00D8287E" w:rsidRPr="00521001" w:rsidRDefault="00000000" w:rsidP="00FE2315">
      <w:sdt>
        <w:sdtPr>
          <w:id w:val="-1159867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87E" w:rsidRPr="00521001">
            <w:rPr>
              <w:rFonts w:ascii="Segoe UI Symbol" w:hAnsi="Segoe UI Symbol" w:cs="Segoe UI Symbol"/>
            </w:rPr>
            <w:t>☐</w:t>
          </w:r>
        </w:sdtContent>
      </w:sdt>
      <w:r w:rsidR="00D8287E" w:rsidRPr="00521001">
        <w:t xml:space="preserve"> Lot 1 : envoi en nombre des magazines presse</w:t>
      </w:r>
    </w:p>
    <w:p w14:paraId="408402C0" w14:textId="77777777" w:rsidR="00D8287E" w:rsidRPr="00521001" w:rsidRDefault="00000000" w:rsidP="00FE2315">
      <w:sdt>
        <w:sdtPr>
          <w:id w:val="-1466660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87E" w:rsidRPr="00521001">
            <w:rPr>
              <w:rFonts w:ascii="MS Gothic" w:eastAsia="MS Gothic" w:hAnsi="MS Gothic" w:hint="eastAsia"/>
            </w:rPr>
            <w:t>☐</w:t>
          </w:r>
        </w:sdtContent>
      </w:sdt>
      <w:r w:rsidR="00D8287E" w:rsidRPr="00521001">
        <w:t xml:space="preserve"> Lot 2 : envoi égrené des magazines presse</w:t>
      </w:r>
    </w:p>
    <w:p w14:paraId="236A632F" w14:textId="77777777" w:rsidR="00D8287E" w:rsidRPr="00521001" w:rsidRDefault="00000000" w:rsidP="00FE2315">
      <w:sdt>
        <w:sdtPr>
          <w:id w:val="-959174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87E" w:rsidRPr="00521001">
            <w:rPr>
              <w:rFonts w:ascii="Segoe UI Symbol" w:hAnsi="Segoe UI Symbol" w:cs="Segoe UI Symbol"/>
            </w:rPr>
            <w:t>☐</w:t>
          </w:r>
        </w:sdtContent>
      </w:sdt>
      <w:r w:rsidR="00D8287E" w:rsidRPr="00521001">
        <w:t xml:space="preserve"> Lot 3 : envoi des autres publications hors presse.</w:t>
      </w:r>
    </w:p>
    <w:p w14:paraId="436BB6F9" w14:textId="77777777" w:rsidR="00D8287E" w:rsidRPr="00521001" w:rsidRDefault="00D8287E" w:rsidP="00FE2315"/>
    <w:p w14:paraId="16575171" w14:textId="77777777" w:rsidR="00D8287E" w:rsidRPr="00521001" w:rsidRDefault="00D8287E" w:rsidP="00FE2315"/>
    <w:p w14:paraId="2EDC0D81" w14:textId="77777777" w:rsidR="00D8287E" w:rsidRPr="00521001" w:rsidRDefault="00D8287E" w:rsidP="00FE2315">
      <w:r w:rsidRPr="00521001">
        <w:t xml:space="preserve">Et pour </w:t>
      </w:r>
    </w:p>
    <w:p w14:paraId="4AFEE335" w14:textId="77777777" w:rsidR="00D8287E" w:rsidRPr="00521001" w:rsidRDefault="00000000" w:rsidP="00FE2315">
      <w:sdt>
        <w:sdtPr>
          <w:id w:val="-1397119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87E" w:rsidRPr="00521001">
            <w:rPr>
              <w:rFonts w:ascii="MS Gothic" w:eastAsia="MS Gothic" w:hAnsi="MS Gothic" w:hint="eastAsia"/>
            </w:rPr>
            <w:t>☐</w:t>
          </w:r>
        </w:sdtContent>
      </w:sdt>
      <w:r w:rsidR="00D8287E" w:rsidRPr="00521001">
        <w:t>L’offre de base</w:t>
      </w:r>
    </w:p>
    <w:p w14:paraId="2F5F3DD3" w14:textId="77777777" w:rsidR="00D8287E" w:rsidRPr="00521001" w:rsidRDefault="00000000" w:rsidP="00FE2315">
      <w:sdt>
        <w:sdtPr>
          <w:id w:val="49669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87E" w:rsidRPr="00521001">
            <w:rPr>
              <w:rFonts w:ascii="MS Gothic" w:eastAsia="MS Gothic" w:hAnsi="MS Gothic" w:hint="eastAsia"/>
            </w:rPr>
            <w:t>☐</w:t>
          </w:r>
        </w:sdtContent>
      </w:sdt>
      <w:r w:rsidR="00D8287E" w:rsidRPr="00521001">
        <w:t xml:space="preserve">La variante (1 variante par lot max) </w:t>
      </w:r>
    </w:p>
    <w:p w14:paraId="6406FE40" w14:textId="77777777" w:rsidR="00D8287E" w:rsidRPr="00521001" w:rsidRDefault="00D8287E" w:rsidP="00FE2315"/>
    <w:p w14:paraId="736ECBC2" w14:textId="77777777" w:rsidR="00D8287E" w:rsidRPr="00521001" w:rsidRDefault="00D8287E" w:rsidP="00FE2315"/>
    <w:p w14:paraId="4AE49AC7" w14:textId="564A175A" w:rsidR="00B4369C" w:rsidRPr="00521001" w:rsidRDefault="00CF5949" w:rsidP="00FE2315">
      <w:r w:rsidRPr="00521001">
        <w:t>Le candidat explique :</w:t>
      </w:r>
    </w:p>
    <w:p w14:paraId="1062F53C" w14:textId="7CD9711E" w:rsidR="00CF5949" w:rsidRPr="00521001" w:rsidRDefault="0079224E" w:rsidP="00FE2315">
      <w:r w:rsidRPr="00521001">
        <w:t>Pour le lot, et e</w:t>
      </w:r>
      <w:r w:rsidR="00CF5949" w:rsidRPr="00521001">
        <w:t>n fonction des différentes hypothèses</w:t>
      </w:r>
      <w:r w:rsidRPr="00521001">
        <w:t xml:space="preserve"> indiquées dans le CCTP</w:t>
      </w:r>
      <w:r w:rsidR="00D8287E" w:rsidRPr="00521001">
        <w:t>, et des différents tarifs mentionnés</w:t>
      </w:r>
      <w:r w:rsidR="00CF5949" w:rsidRPr="00521001">
        <w:t> :</w:t>
      </w:r>
    </w:p>
    <w:p w14:paraId="6E716EC7" w14:textId="2C736CC7" w:rsidR="00CF5949" w:rsidRPr="00521001" w:rsidRDefault="00CF5949" w:rsidP="00FE2315">
      <w:r w:rsidRPr="00521001">
        <w:t xml:space="preserve">Les endroits </w:t>
      </w:r>
      <w:r w:rsidR="00D8287E" w:rsidRPr="00521001">
        <w:t>où</w:t>
      </w:r>
      <w:r w:rsidRPr="00521001">
        <w:t xml:space="preserve"> doivent être déposés les liasses</w:t>
      </w:r>
      <w:r w:rsidR="00D8287E" w:rsidRPr="00521001">
        <w:t>, les contraintes logistiques de dépôts (horaires, forme de la livraison)</w:t>
      </w:r>
      <w:r w:rsidR="0079224E" w:rsidRPr="00521001">
        <w:t xml:space="preserve"> (tenez compte des points de production)</w:t>
      </w:r>
    </w:p>
    <w:p w14:paraId="31E2BDD4" w14:textId="2312A478" w:rsidR="00CF5949" w:rsidRPr="00521001" w:rsidRDefault="0079224E" w:rsidP="00FE2315">
      <w:r w:rsidRPr="00521001">
        <w:t>Répondez ici :</w:t>
      </w:r>
    </w:p>
    <w:p w14:paraId="30F920C2" w14:textId="77777777" w:rsidR="0079224E" w:rsidRPr="00521001" w:rsidRDefault="0079224E" w:rsidP="00FE2315"/>
    <w:p w14:paraId="6F543699" w14:textId="77777777" w:rsidR="0079224E" w:rsidRPr="00521001" w:rsidRDefault="0079224E" w:rsidP="00FE2315"/>
    <w:p w14:paraId="2C316675" w14:textId="77777777" w:rsidR="0079224E" w:rsidRPr="00521001" w:rsidRDefault="0079224E" w:rsidP="00FE2315"/>
    <w:p w14:paraId="3987F704" w14:textId="77777777" w:rsidR="0079224E" w:rsidRPr="00521001" w:rsidRDefault="0079224E" w:rsidP="00FE2315"/>
    <w:p w14:paraId="7F3AE279" w14:textId="77777777" w:rsidR="00FE2315" w:rsidRDefault="00FE2315" w:rsidP="00FE2315"/>
    <w:p w14:paraId="2B5E25A4" w14:textId="351845CF" w:rsidR="00CF5949" w:rsidRPr="00521001" w:rsidRDefault="00CF5949" w:rsidP="00FE2315">
      <w:r w:rsidRPr="00521001">
        <w:lastRenderedPageBreak/>
        <w:t xml:space="preserve">Les contraintes techniques liées aux liasses (fourniture d’un bordereau, </w:t>
      </w:r>
      <w:r w:rsidR="00D8287E" w:rsidRPr="00521001">
        <w:t xml:space="preserve">palettisation, filmage, </w:t>
      </w:r>
      <w:r w:rsidRPr="00521001">
        <w:t xml:space="preserve">méthode de </w:t>
      </w:r>
      <w:proofErr w:type="spellStart"/>
      <w:r w:rsidRPr="00521001">
        <w:t>liassage</w:t>
      </w:r>
      <w:proofErr w:type="spellEnd"/>
      <w:r w:rsidRPr="00521001">
        <w:t>, passage dans un logiciel d’optimisation etc…)</w:t>
      </w:r>
    </w:p>
    <w:p w14:paraId="19390150" w14:textId="77777777" w:rsidR="0079224E" w:rsidRPr="00521001" w:rsidRDefault="0079224E" w:rsidP="00FE2315"/>
    <w:p w14:paraId="3AF410D6" w14:textId="77777777" w:rsidR="0079224E" w:rsidRPr="00521001" w:rsidRDefault="0079224E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21001">
        <w:t>Répondez ici :</w:t>
      </w:r>
    </w:p>
    <w:p w14:paraId="4036B31D" w14:textId="77777777" w:rsidR="0079224E" w:rsidRPr="00521001" w:rsidRDefault="0079224E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82436B" w14:textId="77777777" w:rsidR="0079224E" w:rsidRPr="00521001" w:rsidRDefault="0079224E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611837" w14:textId="77777777" w:rsidR="0079224E" w:rsidRPr="00521001" w:rsidRDefault="0079224E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EAE698" w14:textId="77777777" w:rsidR="0079224E" w:rsidRPr="00521001" w:rsidRDefault="0079224E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F4C41A" w14:textId="77777777" w:rsidR="00FE2315" w:rsidRDefault="00FE2315" w:rsidP="00FE2315"/>
    <w:p w14:paraId="1D6A5D5F" w14:textId="4E1F9BE3" w:rsidR="00FE2315" w:rsidRDefault="00FE2315" w:rsidP="00FE2315">
      <w:r>
        <w:t>Les méthodes de comptage, de recollement, de facturation et de paiement :</w:t>
      </w:r>
    </w:p>
    <w:p w14:paraId="367A390F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21001">
        <w:t>Répondez ici :</w:t>
      </w:r>
    </w:p>
    <w:p w14:paraId="09EBCD05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24E0C1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CF1ED6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DEBF9A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D470F6" w14:textId="77777777" w:rsidR="00FE2315" w:rsidRDefault="00FE2315" w:rsidP="00FE2315"/>
    <w:p w14:paraId="29C394C9" w14:textId="77777777" w:rsidR="00FE2315" w:rsidRPr="00521001" w:rsidRDefault="00FE2315" w:rsidP="00FE2315"/>
    <w:p w14:paraId="66146AEF" w14:textId="401A12EE" w:rsidR="00D8287E" w:rsidRPr="00521001" w:rsidRDefault="00D8287E" w:rsidP="00FE2315">
      <w:r w:rsidRPr="00521001">
        <w:t>Attention :</w:t>
      </w:r>
    </w:p>
    <w:p w14:paraId="28778847" w14:textId="05F315EB" w:rsidR="00D8287E" w:rsidRPr="00521001" w:rsidRDefault="00D8287E" w:rsidP="00FE2315">
      <w:r w:rsidRPr="00521001">
        <w:t>Les contraintes sont valorisées comme indiquées dans le règlement de consultation</w:t>
      </w:r>
    </w:p>
    <w:p w14:paraId="213CDBAD" w14:textId="77777777" w:rsidR="0079224E" w:rsidRPr="00521001" w:rsidRDefault="0079224E" w:rsidP="00FE2315">
      <w:r w:rsidRPr="00521001">
        <w:t>Les endroits où doivent être déposées les liasses font l’objet d’une simulation de coûts comme indiqué dans le règlement de consultation.</w:t>
      </w:r>
    </w:p>
    <w:p w14:paraId="63D9451A" w14:textId="27A6260F" w:rsidR="0079224E" w:rsidRPr="00521001" w:rsidRDefault="0079224E" w:rsidP="00FE2315">
      <w:r w:rsidRPr="00521001">
        <w:t>Les endroits où doivent être déposées les liasses font l’objet d’une simulation d’impact CO2 comme indiqué dans le règlement de consultation.</w:t>
      </w:r>
    </w:p>
    <w:p w14:paraId="11A35712" w14:textId="77777777" w:rsidR="00CF5949" w:rsidRPr="00521001" w:rsidRDefault="00CF5949" w:rsidP="00FE2315"/>
    <w:p w14:paraId="11BCAE35" w14:textId="77777777" w:rsidR="00CF5949" w:rsidRPr="00521001" w:rsidRDefault="00CF5949" w:rsidP="00FE2315"/>
    <w:p w14:paraId="0DD1A727" w14:textId="526BA826" w:rsidR="00D8287E" w:rsidRPr="00521001" w:rsidRDefault="00D8287E">
      <w:pPr>
        <w:spacing w:before="0" w:after="200" w:line="276" w:lineRule="auto"/>
        <w:jc w:val="left"/>
        <w:rPr>
          <w:sz w:val="22"/>
          <w:szCs w:val="24"/>
        </w:rPr>
      </w:pPr>
      <w:r w:rsidRPr="00521001">
        <w:rPr>
          <w:sz w:val="22"/>
          <w:szCs w:val="24"/>
        </w:rPr>
        <w:br w:type="page"/>
      </w:r>
    </w:p>
    <w:p w14:paraId="51B1C846" w14:textId="77777777" w:rsidR="00D8287E" w:rsidRPr="00521001" w:rsidRDefault="00D8287E" w:rsidP="00D8287E">
      <w:pPr>
        <w:rPr>
          <w:sz w:val="22"/>
          <w:szCs w:val="24"/>
        </w:rPr>
      </w:pPr>
    </w:p>
    <w:p w14:paraId="4559281A" w14:textId="77777777" w:rsidR="00A758E3" w:rsidRPr="00521001" w:rsidRDefault="00A758E3" w:rsidP="00A758E3">
      <w:pPr>
        <w:pStyle w:val="Titre"/>
        <w:rPr>
          <w:sz w:val="48"/>
          <w:szCs w:val="52"/>
        </w:rPr>
      </w:pPr>
      <w:r w:rsidRPr="00521001">
        <w:rPr>
          <w:sz w:val="48"/>
          <w:szCs w:val="52"/>
        </w:rPr>
        <w:t xml:space="preserve">Annexe 4 à l’Acte d’Engagement </w:t>
      </w:r>
    </w:p>
    <w:p w14:paraId="08643D53" w14:textId="004BF381" w:rsidR="00A758E3" w:rsidRPr="00521001" w:rsidRDefault="00A758E3" w:rsidP="00A758E3">
      <w:pPr>
        <w:pStyle w:val="Titre"/>
        <w:rPr>
          <w:sz w:val="48"/>
          <w:szCs w:val="52"/>
        </w:rPr>
      </w:pPr>
      <w:r w:rsidRPr="00521001">
        <w:rPr>
          <w:sz w:val="48"/>
          <w:szCs w:val="52"/>
        </w:rPr>
        <w:t>ASPECTS ENVIRONNEMENTAUX DU PROJET</w:t>
      </w:r>
    </w:p>
    <w:p w14:paraId="5359FE3E" w14:textId="77777777" w:rsidR="00A758E3" w:rsidRPr="00521001" w:rsidRDefault="00A758E3" w:rsidP="00A758E3">
      <w:pPr>
        <w:rPr>
          <w:sz w:val="22"/>
          <w:szCs w:val="24"/>
        </w:rPr>
      </w:pPr>
    </w:p>
    <w:p w14:paraId="123DA690" w14:textId="77777777" w:rsidR="004F59C2" w:rsidRPr="00521001" w:rsidRDefault="004F59C2" w:rsidP="00A758E3">
      <w:pPr>
        <w:rPr>
          <w:sz w:val="22"/>
          <w:szCs w:val="24"/>
        </w:rPr>
      </w:pPr>
    </w:p>
    <w:p w14:paraId="3B77AB11" w14:textId="77777777" w:rsidR="004F59C2" w:rsidRPr="00521001" w:rsidRDefault="004F59C2" w:rsidP="00A758E3">
      <w:pPr>
        <w:rPr>
          <w:sz w:val="22"/>
          <w:szCs w:val="24"/>
        </w:rPr>
      </w:pPr>
    </w:p>
    <w:p w14:paraId="27E618D0" w14:textId="77777777" w:rsidR="004F59C2" w:rsidRPr="00521001" w:rsidRDefault="004F59C2" w:rsidP="00FE2315"/>
    <w:p w14:paraId="4152B6CF" w14:textId="77777777" w:rsidR="004F59C2" w:rsidRPr="00521001" w:rsidRDefault="004F59C2" w:rsidP="00FE2315">
      <w:r w:rsidRPr="00521001">
        <w:t>Cette annexe correspond :</w:t>
      </w:r>
    </w:p>
    <w:p w14:paraId="1D3BF579" w14:textId="77777777" w:rsidR="004F59C2" w:rsidRPr="00521001" w:rsidRDefault="00000000" w:rsidP="00FE2315">
      <w:sdt>
        <w:sdtPr>
          <w:id w:val="145940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59C2" w:rsidRPr="00521001">
            <w:rPr>
              <w:rFonts w:ascii="Segoe UI Symbol" w:hAnsi="Segoe UI Symbol" w:cs="Segoe UI Symbol"/>
            </w:rPr>
            <w:t>☐</w:t>
          </w:r>
        </w:sdtContent>
      </w:sdt>
      <w:r w:rsidR="004F59C2" w:rsidRPr="00521001">
        <w:t xml:space="preserve"> Lot 1 : envoi en nombre des magazines presse</w:t>
      </w:r>
    </w:p>
    <w:p w14:paraId="2044E75E" w14:textId="77777777" w:rsidR="004F59C2" w:rsidRPr="00521001" w:rsidRDefault="00000000" w:rsidP="00FE2315">
      <w:sdt>
        <w:sdtPr>
          <w:id w:val="-16700127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59C2" w:rsidRPr="00521001">
            <w:rPr>
              <w:rFonts w:ascii="MS Gothic" w:eastAsia="MS Gothic" w:hAnsi="MS Gothic" w:hint="eastAsia"/>
            </w:rPr>
            <w:t>☐</w:t>
          </w:r>
        </w:sdtContent>
      </w:sdt>
      <w:r w:rsidR="004F59C2" w:rsidRPr="00521001">
        <w:t xml:space="preserve"> Lot 2 : envoi égrené des magazines presse</w:t>
      </w:r>
    </w:p>
    <w:p w14:paraId="0E6CD4C6" w14:textId="77777777" w:rsidR="004F59C2" w:rsidRPr="00521001" w:rsidRDefault="00000000" w:rsidP="00FE2315">
      <w:sdt>
        <w:sdtPr>
          <w:id w:val="-97861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59C2" w:rsidRPr="00521001">
            <w:rPr>
              <w:rFonts w:ascii="Segoe UI Symbol" w:hAnsi="Segoe UI Symbol" w:cs="Segoe UI Symbol"/>
            </w:rPr>
            <w:t>☐</w:t>
          </w:r>
        </w:sdtContent>
      </w:sdt>
      <w:r w:rsidR="004F59C2" w:rsidRPr="00521001">
        <w:t xml:space="preserve"> Lot 3 : envoi des autres publications hors presse.</w:t>
      </w:r>
    </w:p>
    <w:p w14:paraId="002B5852" w14:textId="77777777" w:rsidR="004F59C2" w:rsidRPr="00521001" w:rsidRDefault="004F59C2" w:rsidP="00FE2315"/>
    <w:p w14:paraId="19E7F199" w14:textId="77777777" w:rsidR="004F59C2" w:rsidRPr="00521001" w:rsidRDefault="004F59C2" w:rsidP="00FE2315"/>
    <w:p w14:paraId="722C29B6" w14:textId="77777777" w:rsidR="004F59C2" w:rsidRPr="00521001" w:rsidRDefault="004F59C2" w:rsidP="00FE2315">
      <w:r w:rsidRPr="00521001">
        <w:t xml:space="preserve">Et pour </w:t>
      </w:r>
    </w:p>
    <w:p w14:paraId="23491CFE" w14:textId="77777777" w:rsidR="004F59C2" w:rsidRPr="00521001" w:rsidRDefault="00000000" w:rsidP="00FE2315">
      <w:sdt>
        <w:sdtPr>
          <w:id w:val="1472560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59C2" w:rsidRPr="00521001">
            <w:rPr>
              <w:rFonts w:ascii="MS Gothic" w:eastAsia="MS Gothic" w:hAnsi="MS Gothic" w:hint="eastAsia"/>
            </w:rPr>
            <w:t>☐</w:t>
          </w:r>
        </w:sdtContent>
      </w:sdt>
      <w:r w:rsidR="004F59C2" w:rsidRPr="00521001">
        <w:t>L’offre de base</w:t>
      </w:r>
    </w:p>
    <w:p w14:paraId="46E9FB4A" w14:textId="77777777" w:rsidR="004F59C2" w:rsidRPr="00521001" w:rsidRDefault="00000000" w:rsidP="00FE2315">
      <w:sdt>
        <w:sdtPr>
          <w:id w:val="1064606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59C2" w:rsidRPr="00521001">
            <w:rPr>
              <w:rFonts w:ascii="MS Gothic" w:eastAsia="MS Gothic" w:hAnsi="MS Gothic" w:hint="eastAsia"/>
            </w:rPr>
            <w:t>☐</w:t>
          </w:r>
        </w:sdtContent>
      </w:sdt>
      <w:r w:rsidR="004F59C2" w:rsidRPr="00521001">
        <w:t xml:space="preserve">La variante (1 variante par lot max) </w:t>
      </w:r>
    </w:p>
    <w:p w14:paraId="195A1682" w14:textId="77777777" w:rsidR="004F59C2" w:rsidRPr="00521001" w:rsidRDefault="004F59C2" w:rsidP="00FE2315"/>
    <w:p w14:paraId="0308D17D" w14:textId="53E2E780" w:rsidR="004F59C2" w:rsidRPr="00521001" w:rsidRDefault="004F59C2" w:rsidP="00FE2315">
      <w:r w:rsidRPr="00521001">
        <w:t>Rappel</w:t>
      </w:r>
    </w:p>
    <w:p w14:paraId="43132F5D" w14:textId="766CC8C5" w:rsidR="004F59C2" w:rsidRPr="00521001" w:rsidRDefault="004F59C2" w:rsidP="00FE2315">
      <w:r w:rsidRPr="00521001">
        <w:t>Cette annexe sert en partie à identifier la valeur environnementale du projet.</w:t>
      </w:r>
    </w:p>
    <w:p w14:paraId="4D20C83D" w14:textId="77777777" w:rsidR="004F59C2" w:rsidRPr="00521001" w:rsidRDefault="004F59C2" w:rsidP="00FE2315"/>
    <w:p w14:paraId="65967DED" w14:textId="77777777" w:rsidR="004F59C2" w:rsidRPr="00521001" w:rsidRDefault="004F59C2" w:rsidP="00FE2315">
      <w:pPr>
        <w:rPr>
          <w:b/>
          <w:bCs/>
        </w:rPr>
      </w:pPr>
      <w:r w:rsidRPr="00521001">
        <w:rPr>
          <w:b/>
          <w:bCs/>
        </w:rPr>
        <w:t>Critère aspects environnementaux</w:t>
      </w:r>
    </w:p>
    <w:p w14:paraId="5969D9F8" w14:textId="7568825A" w:rsidR="004F59C2" w:rsidRPr="00521001" w:rsidRDefault="004F59C2" w:rsidP="00FE2315">
      <w:r w:rsidRPr="00521001">
        <w:t>Ce critère compte pour 1</w:t>
      </w:r>
      <w:r w:rsidR="00574570">
        <w:t>5</w:t>
      </w:r>
      <w:r w:rsidRPr="00521001">
        <w:t xml:space="preserve">% de la note finale attribuée à l’offre et est analysé </w:t>
      </w:r>
      <w:r w:rsidRPr="00521001">
        <w:rPr>
          <w:b/>
          <w:bCs/>
          <w:color w:val="FF0000"/>
          <w:u w:val="single"/>
        </w:rPr>
        <w:t>exclusivement</w:t>
      </w:r>
      <w:r w:rsidRPr="00521001">
        <w:t xml:space="preserve"> au regard du contenu de l’Annexe 3 à l’AE : bordereau de réponse au critère « Aspects environnementaux du projet » et part des ext</w:t>
      </w:r>
      <w:r w:rsidR="00FE2315">
        <w:t>ernalités</w:t>
      </w:r>
      <w:r w:rsidRPr="00521001">
        <w:t xml:space="preserve"> environnementale de la logistique INC (fiche technique) dans l’annexe 3 de l’AE</w:t>
      </w:r>
    </w:p>
    <w:p w14:paraId="4CDBD603" w14:textId="77777777" w:rsidR="004F59C2" w:rsidRPr="00521001" w:rsidRDefault="004F59C2" w:rsidP="00FE2315">
      <w:r w:rsidRPr="00521001">
        <w:t>Les mentions invitant à se reporter à d’autres documents ne sont pas prises en compte.</w:t>
      </w:r>
    </w:p>
    <w:p w14:paraId="1FEB809D" w14:textId="77777777" w:rsidR="00A758E3" w:rsidRPr="00521001" w:rsidRDefault="00A758E3" w:rsidP="00FE2315"/>
    <w:p w14:paraId="48E4DBE1" w14:textId="79C9CB70" w:rsidR="00A758E3" w:rsidRPr="00521001" w:rsidRDefault="00A758E3" w:rsidP="00FE2315">
      <w:r w:rsidRPr="00521001">
        <w:t>Impact Carbone :</w:t>
      </w:r>
    </w:p>
    <w:p w14:paraId="2BE9E32D" w14:textId="55BC713C" w:rsidR="00A758E3" w:rsidRPr="00521001" w:rsidRDefault="00A758E3" w:rsidP="00FE2315">
      <w:r w:rsidRPr="00521001">
        <w:t>Quel</w:t>
      </w:r>
      <w:r w:rsidR="00FE2315">
        <w:t>le</w:t>
      </w:r>
      <w:r w:rsidRPr="00521001">
        <w:t xml:space="preserve"> est la quantité de CO2 émise en moyenne par un pli de 130 g distribué (hors CO2 émis par l’INC pour livrer les envois à distribuer) ?</w:t>
      </w:r>
    </w:p>
    <w:p w14:paraId="411E1751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21001">
        <w:t>Répondez ici :</w:t>
      </w:r>
    </w:p>
    <w:p w14:paraId="3A7165FB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6219B7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81388D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636679" w14:textId="77777777" w:rsidR="00FE2315" w:rsidRPr="00521001" w:rsidRDefault="00FE2315" w:rsidP="00FE23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5EDD24" w14:textId="77777777" w:rsidR="00FE2315" w:rsidRDefault="00FE2315" w:rsidP="00FE2315"/>
    <w:p w14:paraId="79104866" w14:textId="77777777" w:rsidR="00FE2315" w:rsidRPr="00521001" w:rsidRDefault="00FE2315" w:rsidP="00FE2315"/>
    <w:p w14:paraId="00B668DF" w14:textId="77777777" w:rsidR="00FE2315" w:rsidRPr="00521001" w:rsidRDefault="00FE2315" w:rsidP="00FE2315"/>
    <w:p w14:paraId="70E1D135" w14:textId="77777777" w:rsidR="00FE2315" w:rsidRPr="00521001" w:rsidRDefault="00FE2315" w:rsidP="00FE2315"/>
    <w:p w14:paraId="2223BFD0" w14:textId="77777777" w:rsidR="00FE2315" w:rsidRPr="00521001" w:rsidRDefault="00FE2315" w:rsidP="00FE2315"/>
    <w:p w14:paraId="3038049D" w14:textId="77777777" w:rsidR="00A758E3" w:rsidRPr="00521001" w:rsidRDefault="00A758E3" w:rsidP="00FE2315"/>
    <w:p w14:paraId="7D5BF811" w14:textId="75E9AB04" w:rsidR="00A758E3" w:rsidRPr="00521001" w:rsidRDefault="00A758E3" w:rsidP="00FE2315"/>
    <w:p w14:paraId="78B9790A" w14:textId="77777777" w:rsidR="00A758E3" w:rsidRPr="00521001" w:rsidRDefault="00A758E3" w:rsidP="00FE2315"/>
    <w:p w14:paraId="16BB766C" w14:textId="77777777" w:rsidR="00A758E3" w:rsidRPr="00521001" w:rsidRDefault="00A758E3" w:rsidP="00FE2315"/>
    <w:p w14:paraId="0774584F" w14:textId="2052C086" w:rsidR="00A758E3" w:rsidRPr="00521001" w:rsidRDefault="00A758E3">
      <w:pPr>
        <w:spacing w:before="0" w:after="200" w:line="276" w:lineRule="auto"/>
        <w:jc w:val="left"/>
        <w:rPr>
          <w:sz w:val="22"/>
          <w:szCs w:val="24"/>
        </w:rPr>
      </w:pPr>
      <w:r w:rsidRPr="00521001">
        <w:rPr>
          <w:sz w:val="22"/>
          <w:szCs w:val="24"/>
        </w:rPr>
        <w:br w:type="page"/>
      </w:r>
    </w:p>
    <w:p w14:paraId="21B0A920" w14:textId="77777777" w:rsidR="00A758E3" w:rsidRPr="00521001" w:rsidRDefault="00A758E3" w:rsidP="00A758E3">
      <w:pPr>
        <w:rPr>
          <w:sz w:val="22"/>
          <w:szCs w:val="24"/>
        </w:rPr>
      </w:pPr>
    </w:p>
    <w:p w14:paraId="0131EE59" w14:textId="77777777" w:rsidR="00A758E3" w:rsidRPr="00521001" w:rsidRDefault="00A758E3" w:rsidP="00A758E3">
      <w:pPr>
        <w:rPr>
          <w:sz w:val="22"/>
          <w:szCs w:val="24"/>
        </w:rPr>
      </w:pPr>
    </w:p>
    <w:p w14:paraId="2FE0F9E0" w14:textId="77777777" w:rsidR="00A758E3" w:rsidRPr="00521001" w:rsidRDefault="00A758E3" w:rsidP="00A758E3">
      <w:pPr>
        <w:rPr>
          <w:sz w:val="22"/>
          <w:szCs w:val="24"/>
        </w:rPr>
      </w:pPr>
    </w:p>
    <w:p w14:paraId="5ED37237" w14:textId="342FBAD4" w:rsidR="00A758E3" w:rsidRPr="00521001" w:rsidRDefault="00A758E3" w:rsidP="00A758E3">
      <w:pPr>
        <w:pStyle w:val="Titre"/>
        <w:rPr>
          <w:sz w:val="48"/>
          <w:szCs w:val="52"/>
        </w:rPr>
      </w:pPr>
      <w:r w:rsidRPr="00521001">
        <w:rPr>
          <w:sz w:val="48"/>
          <w:szCs w:val="52"/>
        </w:rPr>
        <w:t xml:space="preserve">Annexe </w:t>
      </w:r>
      <w:r w:rsidR="006A0B59" w:rsidRPr="00521001">
        <w:rPr>
          <w:sz w:val="48"/>
          <w:szCs w:val="52"/>
        </w:rPr>
        <w:t>5</w:t>
      </w:r>
      <w:r w:rsidRPr="00521001">
        <w:rPr>
          <w:sz w:val="48"/>
          <w:szCs w:val="52"/>
        </w:rPr>
        <w:t xml:space="preserve"> à l’Acte d’Engagement </w:t>
      </w:r>
    </w:p>
    <w:p w14:paraId="70D18783" w14:textId="77777777" w:rsidR="00A758E3" w:rsidRPr="00521001" w:rsidRDefault="00A758E3" w:rsidP="00A758E3">
      <w:pPr>
        <w:pStyle w:val="Titre"/>
        <w:rPr>
          <w:sz w:val="48"/>
          <w:szCs w:val="52"/>
        </w:rPr>
      </w:pPr>
      <w:r w:rsidRPr="00521001">
        <w:rPr>
          <w:sz w:val="48"/>
          <w:szCs w:val="52"/>
        </w:rPr>
        <w:t>SOMMAIRE DE MEMOIRE TECHNIQUE</w:t>
      </w:r>
    </w:p>
    <w:p w14:paraId="0ED21ABB" w14:textId="77777777" w:rsidR="00D8287E" w:rsidRPr="00521001" w:rsidRDefault="00D8287E" w:rsidP="00FE2315"/>
    <w:p w14:paraId="2D582A83" w14:textId="77777777" w:rsidR="00D8287E" w:rsidRPr="00521001" w:rsidRDefault="00D8287E" w:rsidP="00FE2315"/>
    <w:p w14:paraId="2A63AE5F" w14:textId="77777777" w:rsidR="00D8287E" w:rsidRPr="00521001" w:rsidRDefault="00D8287E" w:rsidP="00FE2315">
      <w:r w:rsidRPr="00521001">
        <w:t>Cette annexe correspond :</w:t>
      </w:r>
    </w:p>
    <w:p w14:paraId="4D2530A0" w14:textId="1F61B363" w:rsidR="00D8287E" w:rsidRPr="00521001" w:rsidRDefault="00000000" w:rsidP="00FE2315">
      <w:sdt>
        <w:sdtPr>
          <w:id w:val="-102803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2315">
            <w:rPr>
              <w:rFonts w:ascii="MS Gothic" w:eastAsia="MS Gothic" w:hAnsi="MS Gothic" w:hint="eastAsia"/>
            </w:rPr>
            <w:t>☐</w:t>
          </w:r>
        </w:sdtContent>
      </w:sdt>
      <w:r w:rsidR="00D8287E" w:rsidRPr="00521001">
        <w:t xml:space="preserve"> Lot 1 : envoi en nombre des magazines presse</w:t>
      </w:r>
    </w:p>
    <w:p w14:paraId="26C75A38" w14:textId="77777777" w:rsidR="00D8287E" w:rsidRPr="00521001" w:rsidRDefault="00000000" w:rsidP="00FE2315">
      <w:sdt>
        <w:sdtPr>
          <w:id w:val="-1163001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87E" w:rsidRPr="00521001">
            <w:rPr>
              <w:rFonts w:ascii="MS Gothic" w:eastAsia="MS Gothic" w:hAnsi="MS Gothic" w:hint="eastAsia"/>
            </w:rPr>
            <w:t>☐</w:t>
          </w:r>
        </w:sdtContent>
      </w:sdt>
      <w:r w:rsidR="00D8287E" w:rsidRPr="00521001">
        <w:t xml:space="preserve"> Lot 2 : envoi égrené des magazines presse</w:t>
      </w:r>
    </w:p>
    <w:p w14:paraId="48DCE5FE" w14:textId="77777777" w:rsidR="00D8287E" w:rsidRPr="00521001" w:rsidRDefault="00000000" w:rsidP="00FE2315">
      <w:sdt>
        <w:sdtPr>
          <w:id w:val="950670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87E" w:rsidRPr="00521001">
            <w:rPr>
              <w:rFonts w:ascii="Segoe UI Symbol" w:hAnsi="Segoe UI Symbol" w:cs="Segoe UI Symbol"/>
            </w:rPr>
            <w:t>☐</w:t>
          </w:r>
        </w:sdtContent>
      </w:sdt>
      <w:r w:rsidR="00D8287E" w:rsidRPr="00521001">
        <w:t xml:space="preserve"> Lot 3 : envoi des autres publications hors presse.</w:t>
      </w:r>
    </w:p>
    <w:p w14:paraId="5D701E55" w14:textId="77777777" w:rsidR="00D8287E" w:rsidRPr="00521001" w:rsidRDefault="00D8287E" w:rsidP="00FE2315"/>
    <w:p w14:paraId="314893A6" w14:textId="77777777" w:rsidR="00D8287E" w:rsidRPr="00521001" w:rsidRDefault="00D8287E" w:rsidP="00FE2315"/>
    <w:p w14:paraId="485508F1" w14:textId="77777777" w:rsidR="00D8287E" w:rsidRPr="00521001" w:rsidRDefault="00D8287E" w:rsidP="00FE2315">
      <w:r w:rsidRPr="00521001">
        <w:t xml:space="preserve">Et pour </w:t>
      </w:r>
    </w:p>
    <w:p w14:paraId="0144E3E4" w14:textId="77777777" w:rsidR="00D8287E" w:rsidRPr="00521001" w:rsidRDefault="00000000" w:rsidP="00FE2315">
      <w:sdt>
        <w:sdtPr>
          <w:id w:val="-1356270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87E" w:rsidRPr="00521001">
            <w:rPr>
              <w:rFonts w:ascii="MS Gothic" w:eastAsia="MS Gothic" w:hAnsi="MS Gothic" w:hint="eastAsia"/>
            </w:rPr>
            <w:t>☐</w:t>
          </w:r>
        </w:sdtContent>
      </w:sdt>
      <w:r w:rsidR="00D8287E" w:rsidRPr="00521001">
        <w:t>L’offre de base</w:t>
      </w:r>
    </w:p>
    <w:p w14:paraId="4AE7493D" w14:textId="77777777" w:rsidR="00D8287E" w:rsidRPr="00521001" w:rsidRDefault="00000000" w:rsidP="00FE2315">
      <w:sdt>
        <w:sdtPr>
          <w:id w:val="-646356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87E" w:rsidRPr="00521001">
            <w:rPr>
              <w:rFonts w:ascii="MS Gothic" w:eastAsia="MS Gothic" w:hAnsi="MS Gothic" w:hint="eastAsia"/>
            </w:rPr>
            <w:t>☐</w:t>
          </w:r>
        </w:sdtContent>
      </w:sdt>
      <w:r w:rsidR="00D8287E" w:rsidRPr="00521001">
        <w:t xml:space="preserve">La variante (1 variante par lot max) </w:t>
      </w:r>
    </w:p>
    <w:p w14:paraId="071E9FF0" w14:textId="77777777" w:rsidR="00CF5949" w:rsidRPr="00521001" w:rsidRDefault="00CF5949" w:rsidP="00FE2315"/>
    <w:p w14:paraId="21F152D5" w14:textId="77777777" w:rsidR="00B87AD1" w:rsidRPr="00521001" w:rsidRDefault="00B87AD1" w:rsidP="00FE2315"/>
    <w:p w14:paraId="17D78B5D" w14:textId="7AE7E3C9" w:rsidR="00B87AD1" w:rsidRPr="00521001" w:rsidRDefault="00B87AD1" w:rsidP="00FE2315">
      <w:r w:rsidRPr="00521001">
        <w:t>Le mémoire technique n’est pas noté.</w:t>
      </w:r>
    </w:p>
    <w:p w14:paraId="6E894B51" w14:textId="77777777" w:rsidR="00B87AD1" w:rsidRPr="00521001" w:rsidRDefault="00B87AD1" w:rsidP="00FE2315"/>
    <w:p w14:paraId="49FCA84D" w14:textId="56321E71" w:rsidR="00B87AD1" w:rsidRPr="00521001" w:rsidRDefault="00B87AD1" w:rsidP="00FE2315">
      <w:r w:rsidRPr="00521001">
        <w:t xml:space="preserve">De manière simple, le candidat </w:t>
      </w:r>
      <w:r w:rsidR="00FE2315">
        <w:t xml:space="preserve">complète ici </w:t>
      </w:r>
      <w:r w:rsidRPr="00521001">
        <w:t>comment il réalise la prestation, quels moyens il met en œuvre pour répondre aux exigences du CCTP.</w:t>
      </w:r>
    </w:p>
    <w:p w14:paraId="105992B4" w14:textId="64C7FF7B" w:rsidR="00B87AD1" w:rsidRPr="00521001" w:rsidRDefault="00B87AD1" w:rsidP="00FE2315">
      <w:r w:rsidRPr="00521001">
        <w:t>Organisation Technique</w:t>
      </w:r>
    </w:p>
    <w:p w14:paraId="23FF5F46" w14:textId="1FA1C8A3" w:rsidR="00B87AD1" w:rsidRPr="00521001" w:rsidRDefault="00B87AD1" w:rsidP="00FE2315">
      <w:r w:rsidRPr="00521001">
        <w:t>Organisation logistique</w:t>
      </w:r>
    </w:p>
    <w:p w14:paraId="7B1D286F" w14:textId="3F2B74E7" w:rsidR="00B87AD1" w:rsidRPr="00521001" w:rsidRDefault="00B87AD1" w:rsidP="00FE2315">
      <w:r w:rsidRPr="00521001">
        <w:t>Organisation Administrative</w:t>
      </w:r>
    </w:p>
    <w:p w14:paraId="3F9DC11E" w14:textId="1E0A416F" w:rsidR="00B87AD1" w:rsidRPr="00521001" w:rsidRDefault="00B87AD1" w:rsidP="00FE2315">
      <w:r w:rsidRPr="00521001">
        <w:t>Moyens humains.</w:t>
      </w:r>
    </w:p>
    <w:p w14:paraId="768F933C" w14:textId="77777777" w:rsidR="00B87AD1" w:rsidRPr="00521001" w:rsidRDefault="00B87AD1" w:rsidP="00FE2315"/>
    <w:p w14:paraId="79AA1785" w14:textId="77777777" w:rsidR="00B87AD1" w:rsidRPr="00521001" w:rsidRDefault="00B87AD1" w:rsidP="00FE2315">
      <w:pPr>
        <w:rPr>
          <w:sz w:val="22"/>
          <w:szCs w:val="24"/>
        </w:rPr>
      </w:pPr>
    </w:p>
    <w:p w14:paraId="1CA47D0C" w14:textId="77B65BCC" w:rsidR="00B87AD1" w:rsidRPr="00521001" w:rsidRDefault="00B87AD1" w:rsidP="00FE2315">
      <w:pPr>
        <w:rPr>
          <w:sz w:val="22"/>
          <w:szCs w:val="24"/>
        </w:rPr>
      </w:pPr>
      <w:r w:rsidRPr="00521001">
        <w:rPr>
          <w:sz w:val="22"/>
          <w:szCs w:val="24"/>
        </w:rPr>
        <w:t>Une description insuffisante entrainera le rejet de l’offre au titre du caractère inapproprié.</w:t>
      </w:r>
    </w:p>
    <w:sectPr w:rsidR="00B87AD1" w:rsidRPr="0052100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22AC1" w14:textId="77777777" w:rsidR="005A3629" w:rsidRDefault="005A3629" w:rsidP="00FC31EC">
      <w:r>
        <w:separator/>
      </w:r>
    </w:p>
  </w:endnote>
  <w:endnote w:type="continuationSeparator" w:id="0">
    <w:p w14:paraId="213EC5E3" w14:textId="77777777" w:rsidR="005A3629" w:rsidRDefault="005A3629" w:rsidP="00FC31EC">
      <w:r>
        <w:continuationSeparator/>
      </w:r>
    </w:p>
  </w:endnote>
  <w:endnote w:type="continuationNotice" w:id="1">
    <w:p w14:paraId="59577CD7" w14:textId="77777777" w:rsidR="005A3629" w:rsidRDefault="005A3629" w:rsidP="00FC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74E3" w14:textId="22A55D1F" w:rsidR="00A81F9E" w:rsidRDefault="00AE316B" w:rsidP="00FC31EC">
    <w:pPr>
      <w:pStyle w:val="Pieddepage"/>
    </w:pPr>
    <w:r>
      <w:t>AAE</w:t>
    </w:r>
    <w:r w:rsidR="00501F82">
      <w:t xml:space="preserve"> </w:t>
    </w:r>
    <w:proofErr w:type="gramStart"/>
    <w:r w:rsidR="00501F82">
      <w:t>INC</w:t>
    </w:r>
    <w:r>
      <w:t xml:space="preserve"> </w:t>
    </w:r>
    <w:r w:rsidR="00B87AD1">
      <w:t xml:space="preserve"> ENVOI</w:t>
    </w:r>
    <w:proofErr w:type="gramEnd"/>
    <w:r w:rsidR="00B87AD1">
      <w:t xml:space="preserve"> AUX ABONNES </w:t>
    </w:r>
    <w:r w:rsidR="00FE2315">
      <w:t xml:space="preserve">2025 045 </w:t>
    </w:r>
    <w:r w:rsidRPr="00AE316B">
      <w:t xml:space="preserve"> RX</w:t>
    </w:r>
    <w:r w:rsidR="00FC31EC">
      <w:tab/>
    </w:r>
    <w:r w:rsidR="00FC31EC">
      <w:tab/>
    </w:r>
    <w:sdt>
      <w:sdtPr>
        <w:id w:val="1830327051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A81F9E" w:rsidRPr="00762E29">
              <w:t xml:space="preserve">Page </w:t>
            </w:r>
            <w:r w:rsidR="00A81F9E" w:rsidRPr="00762E29">
              <w:rPr>
                <w:szCs w:val="20"/>
              </w:rPr>
              <w:fldChar w:fldCharType="begin"/>
            </w:r>
            <w:r w:rsidR="00A81F9E" w:rsidRPr="00762E29">
              <w:instrText>PAGE</w:instrText>
            </w:r>
            <w:r w:rsidR="00A81F9E" w:rsidRPr="00762E29">
              <w:rPr>
                <w:szCs w:val="20"/>
              </w:rPr>
              <w:fldChar w:fldCharType="separate"/>
            </w:r>
            <w:r w:rsidR="000071E3">
              <w:rPr>
                <w:noProof/>
              </w:rPr>
              <w:t>18</w:t>
            </w:r>
            <w:r w:rsidR="00A81F9E" w:rsidRPr="00762E29">
              <w:rPr>
                <w:szCs w:val="20"/>
              </w:rPr>
              <w:fldChar w:fldCharType="end"/>
            </w:r>
            <w:r w:rsidR="00A81F9E" w:rsidRPr="00762E29">
              <w:t xml:space="preserve"> sur </w:t>
            </w:r>
            <w:r w:rsidR="00A81F9E" w:rsidRPr="00762E29">
              <w:rPr>
                <w:szCs w:val="20"/>
              </w:rPr>
              <w:fldChar w:fldCharType="begin"/>
            </w:r>
            <w:r w:rsidR="00A81F9E" w:rsidRPr="00762E29">
              <w:instrText>NUMPAGES</w:instrText>
            </w:r>
            <w:r w:rsidR="00A81F9E" w:rsidRPr="00762E29">
              <w:rPr>
                <w:szCs w:val="20"/>
              </w:rPr>
              <w:fldChar w:fldCharType="separate"/>
            </w:r>
            <w:r w:rsidR="000071E3">
              <w:rPr>
                <w:noProof/>
              </w:rPr>
              <w:t>20</w:t>
            </w:r>
            <w:r w:rsidR="00A81F9E" w:rsidRPr="00762E29">
              <w:rPr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432C9" w14:textId="77777777" w:rsidR="005A3629" w:rsidRDefault="005A3629" w:rsidP="00FC31EC">
      <w:r>
        <w:separator/>
      </w:r>
    </w:p>
  </w:footnote>
  <w:footnote w:type="continuationSeparator" w:id="0">
    <w:p w14:paraId="0F1F0464" w14:textId="77777777" w:rsidR="005A3629" w:rsidRDefault="005A3629" w:rsidP="00FC31EC">
      <w:r>
        <w:continuationSeparator/>
      </w:r>
    </w:p>
  </w:footnote>
  <w:footnote w:type="continuationNotice" w:id="1">
    <w:p w14:paraId="5068B42E" w14:textId="77777777" w:rsidR="005A3629" w:rsidRDefault="005A3629" w:rsidP="00FC31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6114A"/>
    <w:multiLevelType w:val="multilevel"/>
    <w:tmpl w:val="D7929C7C"/>
    <w:lvl w:ilvl="0">
      <w:start w:val="1"/>
      <w:numFmt w:val="bullet"/>
      <w:pStyle w:val="Paragraphedeliste"/>
      <w:lvlText w:val=""/>
      <w:lvlJc w:val="left"/>
      <w:pPr>
        <w:ind w:left="1134" w:hanging="42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bullet"/>
      <w:pStyle w:val="paragraphedeliste2"/>
      <w:lvlText w:val=""/>
      <w:lvlJc w:val="left"/>
      <w:pPr>
        <w:ind w:left="1356" w:hanging="360"/>
      </w:pPr>
      <w:rPr>
        <w:rFonts w:ascii="Symbol" w:hAnsi="Symbol"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  <w:b w:val="0"/>
        <w:bCs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1" w15:restartNumberingAfterBreak="0">
    <w:nsid w:val="540F0E45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2" w15:restartNumberingAfterBreak="0">
    <w:nsid w:val="6806000B"/>
    <w:multiLevelType w:val="hybridMultilevel"/>
    <w:tmpl w:val="978A3578"/>
    <w:lvl w:ilvl="0" w:tplc="29CA7A5C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C964CD2"/>
    <w:multiLevelType w:val="hybridMultilevel"/>
    <w:tmpl w:val="D16A5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303959">
    <w:abstractNumId w:val="1"/>
  </w:num>
  <w:num w:numId="2" w16cid:durableId="850294856">
    <w:abstractNumId w:val="0"/>
  </w:num>
  <w:num w:numId="3" w16cid:durableId="92629695">
    <w:abstractNumId w:val="3"/>
  </w:num>
  <w:num w:numId="4" w16cid:durableId="32043283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7B0"/>
    <w:rsid w:val="000049C9"/>
    <w:rsid w:val="000071E3"/>
    <w:rsid w:val="00012F0B"/>
    <w:rsid w:val="00016A90"/>
    <w:rsid w:val="0003258C"/>
    <w:rsid w:val="00033C2D"/>
    <w:rsid w:val="000379D9"/>
    <w:rsid w:val="0004369C"/>
    <w:rsid w:val="00050486"/>
    <w:rsid w:val="00063E9C"/>
    <w:rsid w:val="00064B2F"/>
    <w:rsid w:val="00065D4E"/>
    <w:rsid w:val="00076537"/>
    <w:rsid w:val="00082520"/>
    <w:rsid w:val="00084136"/>
    <w:rsid w:val="0008770A"/>
    <w:rsid w:val="0009286A"/>
    <w:rsid w:val="000A2866"/>
    <w:rsid w:val="000A5EBF"/>
    <w:rsid w:val="000B1396"/>
    <w:rsid w:val="000B7137"/>
    <w:rsid w:val="000C4CDA"/>
    <w:rsid w:val="000D1F45"/>
    <w:rsid w:val="000E4EFB"/>
    <w:rsid w:val="00110203"/>
    <w:rsid w:val="00114874"/>
    <w:rsid w:val="0012758A"/>
    <w:rsid w:val="00155EC7"/>
    <w:rsid w:val="00160D0F"/>
    <w:rsid w:val="00162C71"/>
    <w:rsid w:val="001824FF"/>
    <w:rsid w:val="00190B4E"/>
    <w:rsid w:val="001B1381"/>
    <w:rsid w:val="001B7E57"/>
    <w:rsid w:val="001C1868"/>
    <w:rsid w:val="001D6F34"/>
    <w:rsid w:val="001E1B3E"/>
    <w:rsid w:val="001E2443"/>
    <w:rsid w:val="001E3CBB"/>
    <w:rsid w:val="001E51C0"/>
    <w:rsid w:val="001F5FA8"/>
    <w:rsid w:val="001F6309"/>
    <w:rsid w:val="002023F5"/>
    <w:rsid w:val="002140ED"/>
    <w:rsid w:val="002508F0"/>
    <w:rsid w:val="00254AC2"/>
    <w:rsid w:val="0025646C"/>
    <w:rsid w:val="002679C3"/>
    <w:rsid w:val="00271D3C"/>
    <w:rsid w:val="00275B5C"/>
    <w:rsid w:val="00277ECA"/>
    <w:rsid w:val="0028055C"/>
    <w:rsid w:val="00282160"/>
    <w:rsid w:val="0029517E"/>
    <w:rsid w:val="002A1A17"/>
    <w:rsid w:val="002A3626"/>
    <w:rsid w:val="002B24EE"/>
    <w:rsid w:val="002B4895"/>
    <w:rsid w:val="002C2BD8"/>
    <w:rsid w:val="002D4AEB"/>
    <w:rsid w:val="002F7334"/>
    <w:rsid w:val="00305844"/>
    <w:rsid w:val="0031030E"/>
    <w:rsid w:val="00310863"/>
    <w:rsid w:val="00312B62"/>
    <w:rsid w:val="003402E3"/>
    <w:rsid w:val="00341C64"/>
    <w:rsid w:val="00345F64"/>
    <w:rsid w:val="00353DE8"/>
    <w:rsid w:val="0035453D"/>
    <w:rsid w:val="003608F9"/>
    <w:rsid w:val="00362E2F"/>
    <w:rsid w:val="00367BD5"/>
    <w:rsid w:val="00383847"/>
    <w:rsid w:val="003A3B93"/>
    <w:rsid w:val="003C32F2"/>
    <w:rsid w:val="003C36B7"/>
    <w:rsid w:val="003E0940"/>
    <w:rsid w:val="003E6D58"/>
    <w:rsid w:val="004042EC"/>
    <w:rsid w:val="00421E25"/>
    <w:rsid w:val="00423852"/>
    <w:rsid w:val="0042627D"/>
    <w:rsid w:val="00426B45"/>
    <w:rsid w:val="00426CC4"/>
    <w:rsid w:val="00434952"/>
    <w:rsid w:val="004358A4"/>
    <w:rsid w:val="00440D0A"/>
    <w:rsid w:val="00444F8F"/>
    <w:rsid w:val="00446E17"/>
    <w:rsid w:val="00447E62"/>
    <w:rsid w:val="0047196B"/>
    <w:rsid w:val="00487107"/>
    <w:rsid w:val="00495995"/>
    <w:rsid w:val="00496093"/>
    <w:rsid w:val="004A1679"/>
    <w:rsid w:val="004A7DDA"/>
    <w:rsid w:val="004B1673"/>
    <w:rsid w:val="004B3DD6"/>
    <w:rsid w:val="004B3F27"/>
    <w:rsid w:val="004B42F4"/>
    <w:rsid w:val="004C627E"/>
    <w:rsid w:val="004C7865"/>
    <w:rsid w:val="004D4111"/>
    <w:rsid w:val="004F06C4"/>
    <w:rsid w:val="004F522B"/>
    <w:rsid w:val="004F59C2"/>
    <w:rsid w:val="00500C55"/>
    <w:rsid w:val="00501F82"/>
    <w:rsid w:val="00506058"/>
    <w:rsid w:val="00507253"/>
    <w:rsid w:val="00521001"/>
    <w:rsid w:val="00524B60"/>
    <w:rsid w:val="005320B9"/>
    <w:rsid w:val="0054142E"/>
    <w:rsid w:val="00542339"/>
    <w:rsid w:val="0054534A"/>
    <w:rsid w:val="00546019"/>
    <w:rsid w:val="00566785"/>
    <w:rsid w:val="00570D99"/>
    <w:rsid w:val="00574570"/>
    <w:rsid w:val="0057570C"/>
    <w:rsid w:val="00576C22"/>
    <w:rsid w:val="005778C2"/>
    <w:rsid w:val="00580D63"/>
    <w:rsid w:val="005813B1"/>
    <w:rsid w:val="00595DCC"/>
    <w:rsid w:val="00596979"/>
    <w:rsid w:val="005A00DB"/>
    <w:rsid w:val="005A3629"/>
    <w:rsid w:val="005A44FA"/>
    <w:rsid w:val="005A5321"/>
    <w:rsid w:val="005B69FF"/>
    <w:rsid w:val="005B6F5B"/>
    <w:rsid w:val="005B7EBB"/>
    <w:rsid w:val="005C248D"/>
    <w:rsid w:val="005D52FF"/>
    <w:rsid w:val="005E0662"/>
    <w:rsid w:val="005E0BF2"/>
    <w:rsid w:val="005F471B"/>
    <w:rsid w:val="005F5D93"/>
    <w:rsid w:val="00605A46"/>
    <w:rsid w:val="00630A9D"/>
    <w:rsid w:val="00631209"/>
    <w:rsid w:val="00642C33"/>
    <w:rsid w:val="0064419B"/>
    <w:rsid w:val="006656B8"/>
    <w:rsid w:val="00696FCA"/>
    <w:rsid w:val="006A0B59"/>
    <w:rsid w:val="006B513D"/>
    <w:rsid w:val="006C15E9"/>
    <w:rsid w:val="006C320B"/>
    <w:rsid w:val="006C7D77"/>
    <w:rsid w:val="006D1A06"/>
    <w:rsid w:val="006D6DE2"/>
    <w:rsid w:val="006E68B0"/>
    <w:rsid w:val="006E6B94"/>
    <w:rsid w:val="006F095C"/>
    <w:rsid w:val="006F2311"/>
    <w:rsid w:val="006F3844"/>
    <w:rsid w:val="0070284A"/>
    <w:rsid w:val="00730E3A"/>
    <w:rsid w:val="00741786"/>
    <w:rsid w:val="00753E1A"/>
    <w:rsid w:val="00762E29"/>
    <w:rsid w:val="00765F06"/>
    <w:rsid w:val="00766536"/>
    <w:rsid w:val="00787727"/>
    <w:rsid w:val="00790F84"/>
    <w:rsid w:val="0079224E"/>
    <w:rsid w:val="007A4C74"/>
    <w:rsid w:val="007A763C"/>
    <w:rsid w:val="007B3DC5"/>
    <w:rsid w:val="007D2E22"/>
    <w:rsid w:val="007D7EA3"/>
    <w:rsid w:val="007F619F"/>
    <w:rsid w:val="00802FEA"/>
    <w:rsid w:val="008063E9"/>
    <w:rsid w:val="008074F7"/>
    <w:rsid w:val="008144B7"/>
    <w:rsid w:val="00823D30"/>
    <w:rsid w:val="00825838"/>
    <w:rsid w:val="00834228"/>
    <w:rsid w:val="0084389F"/>
    <w:rsid w:val="00845673"/>
    <w:rsid w:val="00857FDB"/>
    <w:rsid w:val="00872BC5"/>
    <w:rsid w:val="00890FD2"/>
    <w:rsid w:val="00891F06"/>
    <w:rsid w:val="008A44AC"/>
    <w:rsid w:val="008A4ABF"/>
    <w:rsid w:val="008A5911"/>
    <w:rsid w:val="008B0412"/>
    <w:rsid w:val="008B30F4"/>
    <w:rsid w:val="008B56BF"/>
    <w:rsid w:val="008C1657"/>
    <w:rsid w:val="008C4C9F"/>
    <w:rsid w:val="008C7EDE"/>
    <w:rsid w:val="008E05AD"/>
    <w:rsid w:val="008E7461"/>
    <w:rsid w:val="008E79B1"/>
    <w:rsid w:val="00902635"/>
    <w:rsid w:val="00907077"/>
    <w:rsid w:val="00913CF7"/>
    <w:rsid w:val="009345C6"/>
    <w:rsid w:val="009461CB"/>
    <w:rsid w:val="0097053B"/>
    <w:rsid w:val="00971420"/>
    <w:rsid w:val="00992CA3"/>
    <w:rsid w:val="00993B26"/>
    <w:rsid w:val="0099537E"/>
    <w:rsid w:val="009A7F21"/>
    <w:rsid w:val="009B758A"/>
    <w:rsid w:val="009D35EB"/>
    <w:rsid w:val="009D7779"/>
    <w:rsid w:val="009D7F51"/>
    <w:rsid w:val="009E1182"/>
    <w:rsid w:val="009E5157"/>
    <w:rsid w:val="009F453E"/>
    <w:rsid w:val="009F6628"/>
    <w:rsid w:val="00A10840"/>
    <w:rsid w:val="00A10B46"/>
    <w:rsid w:val="00A10F1C"/>
    <w:rsid w:val="00A1214B"/>
    <w:rsid w:val="00A234D5"/>
    <w:rsid w:val="00A40095"/>
    <w:rsid w:val="00A44B0B"/>
    <w:rsid w:val="00A56E38"/>
    <w:rsid w:val="00A57391"/>
    <w:rsid w:val="00A57AD6"/>
    <w:rsid w:val="00A60FC3"/>
    <w:rsid w:val="00A6450C"/>
    <w:rsid w:val="00A703C9"/>
    <w:rsid w:val="00A723B1"/>
    <w:rsid w:val="00A7288D"/>
    <w:rsid w:val="00A758E3"/>
    <w:rsid w:val="00A81F9E"/>
    <w:rsid w:val="00A93827"/>
    <w:rsid w:val="00A9595B"/>
    <w:rsid w:val="00AA7C86"/>
    <w:rsid w:val="00AB60A7"/>
    <w:rsid w:val="00AC6EE0"/>
    <w:rsid w:val="00AC77B0"/>
    <w:rsid w:val="00AC7985"/>
    <w:rsid w:val="00AD5956"/>
    <w:rsid w:val="00AE316B"/>
    <w:rsid w:val="00AF28E0"/>
    <w:rsid w:val="00AF7A9D"/>
    <w:rsid w:val="00B019F2"/>
    <w:rsid w:val="00B06262"/>
    <w:rsid w:val="00B113E9"/>
    <w:rsid w:val="00B14FFD"/>
    <w:rsid w:val="00B1696A"/>
    <w:rsid w:val="00B21BB6"/>
    <w:rsid w:val="00B21D49"/>
    <w:rsid w:val="00B244C8"/>
    <w:rsid w:val="00B35345"/>
    <w:rsid w:val="00B36BC7"/>
    <w:rsid w:val="00B4274B"/>
    <w:rsid w:val="00B4369C"/>
    <w:rsid w:val="00B5139B"/>
    <w:rsid w:val="00B530AA"/>
    <w:rsid w:val="00B5480A"/>
    <w:rsid w:val="00B71D75"/>
    <w:rsid w:val="00B73141"/>
    <w:rsid w:val="00B74C1B"/>
    <w:rsid w:val="00B851A5"/>
    <w:rsid w:val="00B87AD1"/>
    <w:rsid w:val="00BB3093"/>
    <w:rsid w:val="00BB60CD"/>
    <w:rsid w:val="00BC192C"/>
    <w:rsid w:val="00BC1FC6"/>
    <w:rsid w:val="00BC337F"/>
    <w:rsid w:val="00BC4120"/>
    <w:rsid w:val="00BC5D81"/>
    <w:rsid w:val="00BD212F"/>
    <w:rsid w:val="00BF21DE"/>
    <w:rsid w:val="00C04A6F"/>
    <w:rsid w:val="00C15CDA"/>
    <w:rsid w:val="00C2328D"/>
    <w:rsid w:val="00C36B8A"/>
    <w:rsid w:val="00C41EEB"/>
    <w:rsid w:val="00C44D74"/>
    <w:rsid w:val="00C532B6"/>
    <w:rsid w:val="00C61BD6"/>
    <w:rsid w:val="00C66170"/>
    <w:rsid w:val="00C7085F"/>
    <w:rsid w:val="00C71FB7"/>
    <w:rsid w:val="00C72F55"/>
    <w:rsid w:val="00C87EF6"/>
    <w:rsid w:val="00C94F06"/>
    <w:rsid w:val="00CB4EF2"/>
    <w:rsid w:val="00CD0C0D"/>
    <w:rsid w:val="00CD6492"/>
    <w:rsid w:val="00CD799E"/>
    <w:rsid w:val="00CE55C8"/>
    <w:rsid w:val="00CF394B"/>
    <w:rsid w:val="00CF5949"/>
    <w:rsid w:val="00D10E88"/>
    <w:rsid w:val="00D41D7D"/>
    <w:rsid w:val="00D44BA3"/>
    <w:rsid w:val="00D521DE"/>
    <w:rsid w:val="00D57FAC"/>
    <w:rsid w:val="00D65665"/>
    <w:rsid w:val="00D7283D"/>
    <w:rsid w:val="00D82131"/>
    <w:rsid w:val="00D8287E"/>
    <w:rsid w:val="00D858C8"/>
    <w:rsid w:val="00D900FB"/>
    <w:rsid w:val="00DA5E87"/>
    <w:rsid w:val="00DB205E"/>
    <w:rsid w:val="00DB5EE9"/>
    <w:rsid w:val="00DB6479"/>
    <w:rsid w:val="00DD1F55"/>
    <w:rsid w:val="00DD3D9F"/>
    <w:rsid w:val="00DD5D12"/>
    <w:rsid w:val="00DE7BB2"/>
    <w:rsid w:val="00E03AE9"/>
    <w:rsid w:val="00E044DB"/>
    <w:rsid w:val="00E15A41"/>
    <w:rsid w:val="00E42FCB"/>
    <w:rsid w:val="00E4484B"/>
    <w:rsid w:val="00E80F16"/>
    <w:rsid w:val="00E83195"/>
    <w:rsid w:val="00E90701"/>
    <w:rsid w:val="00E91B8E"/>
    <w:rsid w:val="00E975E0"/>
    <w:rsid w:val="00EB23EC"/>
    <w:rsid w:val="00EC2C5D"/>
    <w:rsid w:val="00ED70A0"/>
    <w:rsid w:val="00ED7A7D"/>
    <w:rsid w:val="00EF731D"/>
    <w:rsid w:val="00EF7E91"/>
    <w:rsid w:val="00F041AB"/>
    <w:rsid w:val="00F222A2"/>
    <w:rsid w:val="00F34E0A"/>
    <w:rsid w:val="00F36865"/>
    <w:rsid w:val="00F41A71"/>
    <w:rsid w:val="00F45AD8"/>
    <w:rsid w:val="00F53119"/>
    <w:rsid w:val="00F60A6A"/>
    <w:rsid w:val="00F617AE"/>
    <w:rsid w:val="00F82A31"/>
    <w:rsid w:val="00F83240"/>
    <w:rsid w:val="00F839BD"/>
    <w:rsid w:val="00F90A41"/>
    <w:rsid w:val="00FA470E"/>
    <w:rsid w:val="00FA6F6D"/>
    <w:rsid w:val="00FC0759"/>
    <w:rsid w:val="00FC165A"/>
    <w:rsid w:val="00FC31EC"/>
    <w:rsid w:val="00FC63B2"/>
    <w:rsid w:val="00FD0C0D"/>
    <w:rsid w:val="00FE2315"/>
    <w:rsid w:val="00FF0473"/>
    <w:rsid w:val="04E195B0"/>
    <w:rsid w:val="0796AF19"/>
    <w:rsid w:val="07C6EA90"/>
    <w:rsid w:val="09DCFC56"/>
    <w:rsid w:val="0BEAF837"/>
    <w:rsid w:val="0C2ED743"/>
    <w:rsid w:val="0CE77C96"/>
    <w:rsid w:val="0DC978B4"/>
    <w:rsid w:val="0E36C38C"/>
    <w:rsid w:val="0F63128C"/>
    <w:rsid w:val="11EE8EBD"/>
    <w:rsid w:val="1231A8D9"/>
    <w:rsid w:val="15F37472"/>
    <w:rsid w:val="1672A50A"/>
    <w:rsid w:val="182A2F3D"/>
    <w:rsid w:val="1909F4D2"/>
    <w:rsid w:val="226E73F4"/>
    <w:rsid w:val="22784B0B"/>
    <w:rsid w:val="2374CF6A"/>
    <w:rsid w:val="23AD50D7"/>
    <w:rsid w:val="24141B6C"/>
    <w:rsid w:val="2443B5C3"/>
    <w:rsid w:val="25563563"/>
    <w:rsid w:val="2825BF4C"/>
    <w:rsid w:val="28D5BA40"/>
    <w:rsid w:val="2A6A3493"/>
    <w:rsid w:val="2B5D600E"/>
    <w:rsid w:val="2C0D5B02"/>
    <w:rsid w:val="2EB86171"/>
    <w:rsid w:val="2F921CA7"/>
    <w:rsid w:val="3030D131"/>
    <w:rsid w:val="312DED08"/>
    <w:rsid w:val="323C1D31"/>
    <w:rsid w:val="32B5C00B"/>
    <w:rsid w:val="350E417B"/>
    <w:rsid w:val="3511A2C1"/>
    <w:rsid w:val="36015E2B"/>
    <w:rsid w:val="36E123C0"/>
    <w:rsid w:val="3E0C7010"/>
    <w:rsid w:val="3E9293B5"/>
    <w:rsid w:val="3F8F1814"/>
    <w:rsid w:val="3FA84071"/>
    <w:rsid w:val="42260DF0"/>
    <w:rsid w:val="42DFE133"/>
    <w:rsid w:val="4630F832"/>
    <w:rsid w:val="49DC9C6A"/>
    <w:rsid w:val="4C2B11F0"/>
    <w:rsid w:val="4C6C2FBE"/>
    <w:rsid w:val="4D6E8113"/>
    <w:rsid w:val="513FA0E1"/>
    <w:rsid w:val="589800DE"/>
    <w:rsid w:val="5A40875A"/>
    <w:rsid w:val="5AE68327"/>
    <w:rsid w:val="5D7781D9"/>
    <w:rsid w:val="5E3E1F11"/>
    <w:rsid w:val="5FB9F44A"/>
    <w:rsid w:val="62661492"/>
    <w:rsid w:val="63119034"/>
    <w:rsid w:val="656F0C79"/>
    <w:rsid w:val="66F92BEA"/>
    <w:rsid w:val="675678C7"/>
    <w:rsid w:val="67E50157"/>
    <w:rsid w:val="6980D1B8"/>
    <w:rsid w:val="6BE09A6B"/>
    <w:rsid w:val="6CB8727A"/>
    <w:rsid w:val="6D3D7D2B"/>
    <w:rsid w:val="6E5442DB"/>
    <w:rsid w:val="704DBAC0"/>
    <w:rsid w:val="70B40B8E"/>
    <w:rsid w:val="722D5AAE"/>
    <w:rsid w:val="724FDBEF"/>
    <w:rsid w:val="7287D166"/>
    <w:rsid w:val="77C29914"/>
    <w:rsid w:val="789C9C32"/>
    <w:rsid w:val="7A5AEDD4"/>
    <w:rsid w:val="7AE11179"/>
    <w:rsid w:val="7B3AB369"/>
    <w:rsid w:val="7E93748D"/>
    <w:rsid w:val="7E94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3E50A"/>
  <w15:docId w15:val="{65314584-1A1E-4894-95F1-D3F72FEB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315"/>
    <w:pPr>
      <w:spacing w:before="120" w:after="120" w:line="25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Partie"/>
    <w:basedOn w:val="Normal"/>
    <w:next w:val="Normal"/>
    <w:link w:val="Titre1Car"/>
    <w:qFormat/>
    <w:rsid w:val="009D7F51"/>
    <w:pPr>
      <w:keepNext/>
      <w:keepLines/>
      <w:numPr>
        <w:numId w:val="1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Chapitre"/>
    <w:basedOn w:val="Normal"/>
    <w:next w:val="Normal"/>
    <w:link w:val="Titre2Car"/>
    <w:unhideWhenUsed/>
    <w:qFormat/>
    <w:rsid w:val="009D7F51"/>
    <w:pPr>
      <w:keepNext/>
      <w:keepLines/>
      <w:numPr>
        <w:ilvl w:val="1"/>
        <w:numId w:val="1"/>
      </w:numPr>
      <w:spacing w:before="240" w:after="20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741786"/>
    <w:pPr>
      <w:keepNext/>
      <w:keepLines/>
      <w:numPr>
        <w:ilvl w:val="2"/>
        <w:numId w:val="1"/>
      </w:numPr>
      <w:spacing w:before="240" w:after="200" w:line="257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Titre4">
    <w:name w:val="heading 4"/>
    <w:aliases w:val="Sous Section"/>
    <w:basedOn w:val="Normal"/>
    <w:next w:val="Normal"/>
    <w:link w:val="Titre4Car"/>
    <w:unhideWhenUsed/>
    <w:qFormat/>
    <w:rsid w:val="00741786"/>
    <w:pPr>
      <w:keepNext/>
      <w:keepLines/>
      <w:numPr>
        <w:ilvl w:val="3"/>
        <w:numId w:val="1"/>
      </w:numPr>
      <w:spacing w:before="240" w:after="20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Titre5">
    <w:name w:val="heading 5"/>
    <w:aliases w:val="S/Sous section"/>
    <w:basedOn w:val="Normal"/>
    <w:next w:val="Normal"/>
    <w:link w:val="Titre5Car"/>
    <w:unhideWhenUsed/>
    <w:qFormat/>
    <w:rsid w:val="0084389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84389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84389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84389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84389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"/>
    <w:basedOn w:val="Policepardfaut"/>
    <w:link w:val="Titre1"/>
    <w:rsid w:val="009D7F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aliases w:val="Chapitre Car"/>
    <w:basedOn w:val="Policepardfaut"/>
    <w:link w:val="Titre2"/>
    <w:rsid w:val="009D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741786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re4Car">
    <w:name w:val="Titre 4 Car"/>
    <w:aliases w:val="Sous Section Car"/>
    <w:basedOn w:val="Policepardfaut"/>
    <w:link w:val="Titre4"/>
    <w:rsid w:val="0074178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aliases w:val="S/Sous section Car"/>
    <w:basedOn w:val="Policepardfaut"/>
    <w:link w:val="Titre5"/>
    <w:rsid w:val="0084389F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84389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84389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8438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8438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uiPriority w:val="99"/>
    <w:unhideWhenUsed/>
    <w:rsid w:val="0084389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41D7D"/>
    <w:pPr>
      <w:tabs>
        <w:tab w:val="left" w:pos="11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15CDA"/>
    <w:pPr>
      <w:tabs>
        <w:tab w:val="left" w:pos="1540"/>
        <w:tab w:val="right" w:leader="dot" w:pos="9062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84389F"/>
    <w:pPr>
      <w:spacing w:after="100"/>
      <w:ind w:left="400"/>
    </w:p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C31EC"/>
    <w:pPr>
      <w:jc w:val="center"/>
    </w:pPr>
    <w:rPr>
      <w:b/>
      <w:bCs/>
      <w:noProof/>
      <w:sz w:val="44"/>
      <w:szCs w:val="48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C31EC"/>
    <w:rPr>
      <w:rFonts w:ascii="Arial" w:hAnsi="Arial"/>
      <w:b/>
      <w:bCs/>
      <w:noProof/>
      <w:sz w:val="44"/>
      <w:szCs w:val="48"/>
    </w:rPr>
  </w:style>
  <w:style w:type="paragraph" w:styleId="Paragraphedeliste">
    <w:name w:val="List Paragraph"/>
    <w:basedOn w:val="Normal"/>
    <w:link w:val="ParagraphedelisteCar"/>
    <w:uiPriority w:val="34"/>
    <w:qFormat/>
    <w:rsid w:val="00FC31EC"/>
    <w:pPr>
      <w:numPr>
        <w:numId w:val="2"/>
      </w:numPr>
      <w:spacing w:after="108" w:line="247" w:lineRule="auto"/>
      <w:contextualSpacing/>
    </w:pPr>
    <w:rPr>
      <w:rFonts w:eastAsia="Verdana" w:cs="Arial"/>
      <w:color w:val="00000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389F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B60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0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0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0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0A7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A7C86"/>
    <w:pPr>
      <w:spacing w:after="0" w:line="240" w:lineRule="auto"/>
    </w:pPr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autoRedefine/>
    <w:rsid w:val="00595DCC"/>
    <w:pPr>
      <w:tabs>
        <w:tab w:val="left" w:pos="560"/>
      </w:tabs>
      <w:spacing w:line="240" w:lineRule="auto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95DCC"/>
    <w:rPr>
      <w:rFonts w:ascii="Arial" w:eastAsia="Times New Roman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5480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5480A"/>
    <w:rPr>
      <w:rFonts w:ascii="Arial" w:hAnsi="Arial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57FAC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61CB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61CB"/>
    <w:rPr>
      <w:rFonts w:ascii="Arial" w:hAnsi="Arial"/>
      <w:sz w:val="20"/>
    </w:rPr>
  </w:style>
  <w:style w:type="table" w:styleId="Grilledetableauclaire">
    <w:name w:val="Grid Table Light"/>
    <w:basedOn w:val="TableauNormal"/>
    <w:uiPriority w:val="40"/>
    <w:rsid w:val="005757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E2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E29"/>
    <w:rPr>
      <w:rFonts w:ascii="Arial" w:hAnsi="Arial"/>
      <w:sz w:val="20"/>
    </w:rPr>
  </w:style>
  <w:style w:type="character" w:styleId="lev">
    <w:name w:val="Strong"/>
    <w:basedOn w:val="Policepardfaut"/>
    <w:uiPriority w:val="22"/>
    <w:rsid w:val="006656B8"/>
    <w:rPr>
      <w:b/>
      <w:bCs/>
    </w:rPr>
  </w:style>
  <w:style w:type="paragraph" w:styleId="NormalWeb">
    <w:name w:val="Normal (Web)"/>
    <w:basedOn w:val="Normal"/>
    <w:uiPriority w:val="99"/>
    <w:unhideWhenUsed/>
    <w:rsid w:val="0066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6656B8"/>
    <w:rPr>
      <w:i/>
      <w:iCs/>
    </w:rPr>
  </w:style>
  <w:style w:type="character" w:styleId="Numrodepage">
    <w:name w:val="page number"/>
    <w:basedOn w:val="Policepardfaut"/>
    <w:rsid w:val="005B6F5B"/>
  </w:style>
  <w:style w:type="character" w:customStyle="1" w:styleId="apple-style-span">
    <w:name w:val="apple-style-span"/>
    <w:basedOn w:val="Policepardfaut"/>
    <w:rsid w:val="005B6F5B"/>
  </w:style>
  <w:style w:type="paragraph" w:styleId="Textedebulles">
    <w:name w:val="Balloon Text"/>
    <w:basedOn w:val="Normal"/>
    <w:link w:val="TextedebullesCar"/>
    <w:uiPriority w:val="99"/>
    <w:semiHidden/>
    <w:unhideWhenUsed/>
    <w:rsid w:val="00A8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F9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rsid w:val="00542339"/>
  </w:style>
  <w:style w:type="character" w:styleId="Textedelespacerserv">
    <w:name w:val="Placeholder Text"/>
    <w:basedOn w:val="Policepardfaut"/>
    <w:uiPriority w:val="99"/>
    <w:semiHidden/>
    <w:rsid w:val="002140ED"/>
    <w:rPr>
      <w:color w:val="808080"/>
    </w:rPr>
  </w:style>
  <w:style w:type="character" w:customStyle="1" w:styleId="markedcontent">
    <w:name w:val="markedcontent"/>
    <w:basedOn w:val="Policepardfaut"/>
    <w:rsid w:val="007D7EA3"/>
  </w:style>
  <w:style w:type="table" w:styleId="Grilledutableau">
    <w:name w:val="Table Grid"/>
    <w:basedOn w:val="TableauNormal"/>
    <w:uiPriority w:val="59"/>
    <w:rsid w:val="00B1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 2"/>
    <w:basedOn w:val="Paragraphedeliste"/>
    <w:link w:val="paragraphedeliste2Car"/>
    <w:qFormat/>
    <w:rsid w:val="00E83195"/>
    <w:pPr>
      <w:numPr>
        <w:ilvl w:val="2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83195"/>
    <w:rPr>
      <w:rFonts w:ascii="Arial" w:eastAsia="Verdana" w:hAnsi="Arial" w:cs="Arial"/>
      <w:color w:val="000000"/>
      <w:sz w:val="20"/>
      <w:lang w:eastAsia="fr-FR"/>
    </w:rPr>
  </w:style>
  <w:style w:type="character" w:customStyle="1" w:styleId="paragraphedeliste2Car">
    <w:name w:val="paragraphe de liste 2 Car"/>
    <w:basedOn w:val="ParagraphedelisteCar"/>
    <w:link w:val="paragraphedeliste2"/>
    <w:rsid w:val="00E83195"/>
    <w:rPr>
      <w:rFonts w:ascii="Arial" w:eastAsia="Verdana" w:hAnsi="Arial" w:cs="Arial"/>
      <w:color w:val="000000"/>
      <w:sz w:val="20"/>
      <w:lang w:eastAsia="fr-FR"/>
    </w:rPr>
  </w:style>
  <w:style w:type="paragraph" w:customStyle="1" w:styleId="TITREDETABLEDESMATIERES">
    <w:name w:val="TITRE DE TABLE DES MATIERES"/>
    <w:basedOn w:val="Normal"/>
    <w:link w:val="TITREDETABLEDESMATIERESCar"/>
    <w:qFormat/>
    <w:rsid w:val="00E83195"/>
    <w:pPr>
      <w:jc w:val="center"/>
    </w:pPr>
    <w:rPr>
      <w:b/>
      <w:bCs/>
      <w:color w:val="548DD4" w:themeColor="text2" w:themeTint="99"/>
    </w:rPr>
  </w:style>
  <w:style w:type="character" w:customStyle="1" w:styleId="TITREDETABLEDESMATIERESCar">
    <w:name w:val="TITRE DE TABLE DES MATIERES Car"/>
    <w:basedOn w:val="Policepardfaut"/>
    <w:link w:val="TITREDETABLEDESMATIERES"/>
    <w:rsid w:val="00E83195"/>
    <w:rPr>
      <w:rFonts w:ascii="Arial" w:hAnsi="Arial"/>
      <w:b/>
      <w:bCs/>
      <w:color w:val="548DD4" w:themeColor="text2" w:themeTint="9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ropbox\02%20ERICS%20ASSOCIES\Qualit&#233;\Modeles\INC%20feuille%20de%20style%20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AF90C-DF5C-4C8F-8B92-43BD56A10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4B89C6-F0E5-4F3F-B8FB-C17E1FFA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ACA330-08DD-49F3-A857-D6003F02E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 feuille de style 2024</Template>
  <TotalTime>0</TotalTime>
  <Pages>11</Pages>
  <Words>1230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xavier ROBAUX</cp:lastModifiedBy>
  <cp:revision>2</cp:revision>
  <cp:lastPrinted>2024-08-09T14:47:00Z</cp:lastPrinted>
  <dcterms:created xsi:type="dcterms:W3CDTF">2024-12-31T10:46:00Z</dcterms:created>
  <dcterms:modified xsi:type="dcterms:W3CDTF">2024-12-31T10:46:00Z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