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031211DB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DB48175" w14:textId="09DE3252" w:rsidR="00756F7F" w:rsidRDefault="000A1CFB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UCANSS_</w:t>
      </w:r>
      <w:r w:rsidR="00402843">
        <w:rPr>
          <w:rFonts w:ascii="Arial" w:hAnsi="Arial" w:cs="Arial"/>
          <w:b/>
          <w:sz w:val="28"/>
          <w:szCs w:val="28"/>
        </w:rPr>
        <w:t>24/AC/52</w:t>
      </w:r>
    </w:p>
    <w:p w14:paraId="28689399" w14:textId="605E91AD" w:rsidR="001756A6" w:rsidRPr="009B4B89" w:rsidRDefault="001756A6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LOT</w:t>
      </w:r>
      <w:r w:rsidR="00C239E0">
        <w:rPr>
          <w:rFonts w:ascii="Arial" w:hAnsi="Arial" w:cs="Arial"/>
          <w:b/>
          <w:sz w:val="28"/>
          <w:szCs w:val="28"/>
        </w:rPr>
        <w:t xml:space="preserve"> 3</w:t>
      </w:r>
    </w:p>
    <w:p w14:paraId="67472539" w14:textId="77777777" w:rsidR="00F875C6" w:rsidRDefault="00F875C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caps/>
          <w:sz w:val="28"/>
          <w:szCs w:val="28"/>
        </w:rPr>
      </w:pPr>
    </w:p>
    <w:p w14:paraId="613397BC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  <w:bookmarkStart w:id="3" w:name="_Toc56611081"/>
      <w:bookmarkStart w:id="4" w:name="_Hlk13576870"/>
      <w:r w:rsidRPr="00402843">
        <w:rPr>
          <w:rFonts w:ascii="Arial Gras" w:hAnsi="Arial Gras" w:cs="Arial"/>
          <w:b/>
          <w:bCs/>
          <w:caps/>
          <w:sz w:val="28"/>
          <w:szCs w:val="28"/>
        </w:rPr>
        <w:t>PRESTATIONS DE SERVICES D’IMPRESSION, DE STOCKAGE ET DE LIVRAISON</w:t>
      </w:r>
      <w:bookmarkEnd w:id="3"/>
      <w:r w:rsidRPr="00402843">
        <w:rPr>
          <w:rFonts w:ascii="Arial Gras" w:hAnsi="Arial Gras" w:cs="Arial"/>
          <w:b/>
          <w:bCs/>
          <w:caps/>
          <w:sz w:val="28"/>
          <w:szCs w:val="28"/>
        </w:rPr>
        <w:t xml:space="preserve"> D’IMPRIMÉS</w:t>
      </w:r>
    </w:p>
    <w:p w14:paraId="1350FC0A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</w:p>
    <w:p w14:paraId="0D930844" w14:textId="355AD429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</w:pP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Lot n°3 : prestations de services d’IMPRESSION, DE LIVRAISON ET DE STOCKAGE D’ENVELOPPES – 2 RÉfÉrences : 650.01.90, 651.09.90 (</w:t>
      </w:r>
      <w:r w:rsidRPr="00402843">
        <w:rPr>
          <w:rFonts w:ascii="Arial Gras" w:eastAsia="Times New Roman" w:hAnsi="Arial Gras" w:cs="Arial"/>
          <w:b/>
          <w:sz w:val="24"/>
          <w:szCs w:val="24"/>
          <w:lang w:eastAsia="fr-FR"/>
        </w:rPr>
        <w:t>Lot réservé en application des articles L 2113-12 et R 2113-7 du Code de la commande publique</w:t>
      </w: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)</w:t>
      </w:r>
    </w:p>
    <w:p w14:paraId="1B5CD83C" w14:textId="77777777" w:rsidR="00497531" w:rsidRPr="00497531" w:rsidRDefault="00497531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4"/>
          <w:szCs w:val="24"/>
        </w:rPr>
      </w:pPr>
    </w:p>
    <w:p w14:paraId="4368817B" w14:textId="77777777" w:rsidR="00497531" w:rsidRPr="00F875C6" w:rsidRDefault="00497531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</w:p>
    <w:bookmarkEnd w:id="4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41DBD11A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F1BAF9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C239E0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C239E0">
      <w:pPr>
        <w:keepNext/>
        <w:keepLines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C239E0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C239E0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C239E0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3A89E53B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en indiquant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2E80E9B5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> : les outils employés dans le cadre de l’exécution des prestations (sur 10 %)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es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653E8026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5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5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13783F">
        <w:rPr>
          <w:rFonts w:ascii="Calibri Light" w:hAnsi="Calibri Light" w:cs="Calibri Light"/>
          <w:b/>
          <w:bCs/>
          <w:color w:val="0070C0"/>
        </w:rPr>
        <w:t>20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511D63F6" w14:textId="369F3EC1" w:rsidR="002B7A71" w:rsidRDefault="00125A4A" w:rsidP="00CF6E7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e test du site de commande en ligne : le candidat devra communiquer dans son offre un accès en test pour l’UCANSS et la CNAM qui permettra à l’acheteur de valider la concordance avec le C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68167980" w14:textId="253D2ACA" w:rsidR="00C239E0" w:rsidRPr="00CF6E7B" w:rsidRDefault="00C239E0" w:rsidP="00CF6E7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Plan d’Assurance Sécurité du site de commande en ligne permettant à l’acheteur de vérifier la sécurisation du site ;</w:t>
      </w:r>
    </w:p>
    <w:p w14:paraId="77CEDC09" w14:textId="67FD113D" w:rsidR="00820683" w:rsidRPr="00820683" w:rsidRDefault="00B55444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e planning de mise en place du site de commande en </w:t>
      </w:r>
      <w:r w:rsidR="00820683" w:rsidRPr="004719AC">
        <w:rPr>
          <w:rFonts w:asciiTheme="majorHAnsi" w:eastAsia="Times New Roman" w:hAnsiTheme="majorHAnsi" w:cstheme="majorHAnsi"/>
          <w:bCs/>
          <w:lang w:eastAsia="fr-FR"/>
        </w:rPr>
        <w:t>fonction</w:t>
      </w:r>
      <w:r w:rsidR="008C2071" w:rsidRPr="004719AC">
        <w:rPr>
          <w:rFonts w:asciiTheme="majorHAnsi" w:eastAsia="Times New Roman" w:hAnsiTheme="majorHAnsi" w:cstheme="majorHAnsi"/>
          <w:bCs/>
          <w:lang w:eastAsia="fr-FR"/>
        </w:rPr>
        <w:t xml:space="preserve"> des </w:t>
      </w:r>
      <w:r w:rsidR="004719AC" w:rsidRPr="004719AC">
        <w:rPr>
          <w:rFonts w:asciiTheme="majorHAnsi" w:eastAsia="Times New Roman" w:hAnsiTheme="majorHAnsi" w:cstheme="majorHAnsi"/>
          <w:bCs/>
          <w:lang w:eastAsia="fr-FR"/>
        </w:rPr>
        <w:t>stipulations</w:t>
      </w:r>
      <w:r w:rsidR="004719AC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 w:rsidR="004719AC">
        <w:rPr>
          <w:rFonts w:asciiTheme="majorHAnsi" w:eastAsia="Times New Roman" w:hAnsiTheme="majorHAnsi" w:cstheme="majorHAnsi"/>
          <w:bCs/>
          <w:lang w:eastAsia="fr-FR"/>
        </w:rPr>
        <w:t>u</w:t>
      </w:r>
      <w:r w:rsidR="008E200E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735BBE"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55DC3151" w14:textId="40BF7E2D" w:rsidR="00820683" w:rsidRPr="00820683" w:rsidRDefault="008C2071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es délais de résolution des pannes mineures/majeures du site de commande en ligne </w:t>
      </w:r>
      <w:r w:rsidR="008E200E"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3160E908" w14:textId="24A2113B" w:rsidR="00820683" w:rsidRDefault="008E200E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a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 w:rsidR="002B7115"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0EB99783" w14:textId="74B358BC" w:rsidR="002B7115" w:rsidRPr="00820683" w:rsidRDefault="002B7115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traitement des statistiques</w:t>
      </w:r>
      <w:r w:rsidR="00755753">
        <w:rPr>
          <w:rFonts w:asciiTheme="majorHAnsi" w:eastAsia="Times New Roman" w:hAnsiTheme="majorHAnsi" w:cstheme="majorHAnsi"/>
          <w:bCs/>
          <w:lang w:eastAsia="fr-FR"/>
        </w:rPr>
        <w:t> : la facilité d’</w:t>
      </w:r>
      <w:r w:rsidR="00347C45">
        <w:rPr>
          <w:rFonts w:asciiTheme="majorHAnsi" w:eastAsia="Times New Roman" w:hAnsiTheme="majorHAnsi" w:cstheme="majorHAnsi"/>
          <w:bCs/>
          <w:lang w:eastAsia="fr-FR"/>
        </w:rPr>
        <w:t>extraction</w:t>
      </w:r>
      <w:r w:rsidR="00755753">
        <w:rPr>
          <w:rFonts w:asciiTheme="majorHAnsi" w:eastAsia="Times New Roman" w:hAnsiTheme="majorHAnsi" w:cstheme="majorHAnsi"/>
          <w:bCs/>
          <w:lang w:eastAsia="fr-FR"/>
        </w:rPr>
        <w:t xml:space="preserve"> et respect du format </w:t>
      </w:r>
      <w:r w:rsidR="00347C45">
        <w:rPr>
          <w:rFonts w:asciiTheme="majorHAnsi" w:eastAsia="Times New Roman" w:hAnsiTheme="majorHAnsi" w:cstheme="majorHAnsi"/>
          <w:bCs/>
          <w:lang w:eastAsia="fr-FR"/>
        </w:rPr>
        <w:t>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1B708939" w14:textId="77777777" w:rsidR="002B7A71" w:rsidRDefault="002B7A71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58B6A0A5" w14:textId="77777777" w:rsidR="00CF6E7B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6AECA5DF" w14:textId="77777777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25DC3A17" w:rsidR="004719AC" w:rsidRPr="002851F6" w:rsidRDefault="004719AC" w:rsidP="00C239E0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</w:t>
      </w:r>
      <w:r w:rsidR="00C239E0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C239E0">
      <w:pPr>
        <w:keepNext/>
        <w:keepLines/>
        <w:widowControl w:val="0"/>
        <w:jc w:val="both"/>
        <w:rPr>
          <w:rFonts w:ascii="Arial" w:hAnsi="Arial" w:cs="Arial"/>
          <w:b/>
        </w:rPr>
      </w:pPr>
    </w:p>
    <w:p w14:paraId="04EE0594" w14:textId="442DA279" w:rsidR="00C22C2A" w:rsidRDefault="00737102" w:rsidP="00C239E0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C239E0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78B0789B" w:rsidR="00C22C2A" w:rsidRPr="00C22C2A" w:rsidRDefault="00CF6E7B" w:rsidP="00C239E0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>a politique de gestion des déchets (éliminations de déchets toxiques, emballages recyclables, tri sélectif,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</w:t>
      </w:r>
      <w:r w:rsidR="00FE6177">
        <w:rPr>
          <w:rFonts w:ascii="Calibri Light" w:eastAsia="Times New Roman" w:hAnsi="Calibri Light" w:cs="Calibri Light"/>
          <w:bCs/>
          <w:lang w:eastAsia="fr-FR"/>
        </w:rPr>
        <w:t>8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%) ;</w:t>
      </w:r>
    </w:p>
    <w:p w14:paraId="20758CB6" w14:textId="250FD8BB" w:rsidR="004719AC" w:rsidRPr="001A61A0" w:rsidRDefault="004719AC" w:rsidP="00C239E0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les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</w:t>
      </w:r>
      <w:r w:rsidR="00C239E0">
        <w:rPr>
          <w:rFonts w:ascii="Calibri Light" w:eastAsia="Times New Roman" w:hAnsi="Calibri Light" w:cs="Calibri Light"/>
          <w:bCs/>
          <w:lang w:eastAsia="fr-FR"/>
        </w:rPr>
        <w:t>7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%).</w:t>
      </w: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6" w:name="_Hlk173492734"/>
      <w:bookmarkEnd w:id="6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6C33E" w14:textId="77777777" w:rsidR="00754EF3" w:rsidRDefault="00754EF3" w:rsidP="00F979D9">
      <w:r>
        <w:separator/>
      </w:r>
    </w:p>
  </w:endnote>
  <w:endnote w:type="continuationSeparator" w:id="0">
    <w:p w14:paraId="1AFD7406" w14:textId="77777777" w:rsidR="00754EF3" w:rsidRDefault="00754EF3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30082E5B" w:rsidR="00820767" w:rsidRDefault="00402843">
    <w:pPr>
      <w:pStyle w:val="Pieddepage"/>
    </w:pPr>
    <w:r>
      <w:t xml:space="preserve">UCANSS_24/AC/52 – CRT </w:t>
    </w:r>
    <w:r w:rsidR="00C239E0">
      <w:t>– LOT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BB456" w14:textId="77777777" w:rsidR="00754EF3" w:rsidRDefault="00754EF3" w:rsidP="00F979D9">
      <w:r>
        <w:separator/>
      </w:r>
    </w:p>
  </w:footnote>
  <w:footnote w:type="continuationSeparator" w:id="0">
    <w:p w14:paraId="060C0B02" w14:textId="77777777" w:rsidR="00754EF3" w:rsidRDefault="00754EF3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2274"/>
    <w:rsid w:val="00052F18"/>
    <w:rsid w:val="00060032"/>
    <w:rsid w:val="000A0183"/>
    <w:rsid w:val="000A14B8"/>
    <w:rsid w:val="000A1CFB"/>
    <w:rsid w:val="000B6309"/>
    <w:rsid w:val="000C76C4"/>
    <w:rsid w:val="000E5A85"/>
    <w:rsid w:val="00112001"/>
    <w:rsid w:val="00125A4A"/>
    <w:rsid w:val="0013783F"/>
    <w:rsid w:val="001469AD"/>
    <w:rsid w:val="001535B4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E769A"/>
    <w:rsid w:val="00300550"/>
    <w:rsid w:val="0030443B"/>
    <w:rsid w:val="00323A75"/>
    <w:rsid w:val="00347C45"/>
    <w:rsid w:val="00350F59"/>
    <w:rsid w:val="0036384F"/>
    <w:rsid w:val="003655F8"/>
    <w:rsid w:val="00367FFB"/>
    <w:rsid w:val="00385A27"/>
    <w:rsid w:val="003F6FB7"/>
    <w:rsid w:val="00402843"/>
    <w:rsid w:val="00411114"/>
    <w:rsid w:val="00411652"/>
    <w:rsid w:val="00425125"/>
    <w:rsid w:val="00444411"/>
    <w:rsid w:val="00456668"/>
    <w:rsid w:val="004719AC"/>
    <w:rsid w:val="00497531"/>
    <w:rsid w:val="004A3615"/>
    <w:rsid w:val="004D1DC6"/>
    <w:rsid w:val="004D6823"/>
    <w:rsid w:val="004D7824"/>
    <w:rsid w:val="004E0200"/>
    <w:rsid w:val="004F39A3"/>
    <w:rsid w:val="005238E9"/>
    <w:rsid w:val="005661F0"/>
    <w:rsid w:val="005A681B"/>
    <w:rsid w:val="005D2EDB"/>
    <w:rsid w:val="00611C70"/>
    <w:rsid w:val="006A44E7"/>
    <w:rsid w:val="006B31D7"/>
    <w:rsid w:val="006B7122"/>
    <w:rsid w:val="006C26F7"/>
    <w:rsid w:val="006D404A"/>
    <w:rsid w:val="0070516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3DFB"/>
    <w:rsid w:val="007D48D3"/>
    <w:rsid w:val="008108E5"/>
    <w:rsid w:val="00820683"/>
    <w:rsid w:val="00820767"/>
    <w:rsid w:val="00823670"/>
    <w:rsid w:val="00865D6C"/>
    <w:rsid w:val="008718B1"/>
    <w:rsid w:val="008831EA"/>
    <w:rsid w:val="008C2071"/>
    <w:rsid w:val="008E200E"/>
    <w:rsid w:val="008F003D"/>
    <w:rsid w:val="008F2ED2"/>
    <w:rsid w:val="008F658C"/>
    <w:rsid w:val="00921D6C"/>
    <w:rsid w:val="00926056"/>
    <w:rsid w:val="0092744F"/>
    <w:rsid w:val="009501BF"/>
    <w:rsid w:val="009F0650"/>
    <w:rsid w:val="00A0090E"/>
    <w:rsid w:val="00A00E75"/>
    <w:rsid w:val="00A15095"/>
    <w:rsid w:val="00A2111A"/>
    <w:rsid w:val="00A339DC"/>
    <w:rsid w:val="00A41717"/>
    <w:rsid w:val="00A510B8"/>
    <w:rsid w:val="00A60764"/>
    <w:rsid w:val="00A60C1E"/>
    <w:rsid w:val="00A6499B"/>
    <w:rsid w:val="00A659FA"/>
    <w:rsid w:val="00A85003"/>
    <w:rsid w:val="00AB5A25"/>
    <w:rsid w:val="00AC4074"/>
    <w:rsid w:val="00AC5BFD"/>
    <w:rsid w:val="00AD0434"/>
    <w:rsid w:val="00B04E93"/>
    <w:rsid w:val="00B33D6A"/>
    <w:rsid w:val="00B35F1D"/>
    <w:rsid w:val="00B544CE"/>
    <w:rsid w:val="00B55444"/>
    <w:rsid w:val="00B8307C"/>
    <w:rsid w:val="00B86331"/>
    <w:rsid w:val="00BB275D"/>
    <w:rsid w:val="00BB73A9"/>
    <w:rsid w:val="00BF0319"/>
    <w:rsid w:val="00C03ACD"/>
    <w:rsid w:val="00C14A0D"/>
    <w:rsid w:val="00C22C2A"/>
    <w:rsid w:val="00C239E0"/>
    <w:rsid w:val="00C33E41"/>
    <w:rsid w:val="00C50AD1"/>
    <w:rsid w:val="00C57109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649A"/>
    <w:rsid w:val="00D80F95"/>
    <w:rsid w:val="00D95D28"/>
    <w:rsid w:val="00DA7FBA"/>
    <w:rsid w:val="00DB2848"/>
    <w:rsid w:val="00DD3E20"/>
    <w:rsid w:val="00DF6C5D"/>
    <w:rsid w:val="00E22BA4"/>
    <w:rsid w:val="00E24425"/>
    <w:rsid w:val="00E24F87"/>
    <w:rsid w:val="00E53078"/>
    <w:rsid w:val="00E5581B"/>
    <w:rsid w:val="00E60BDF"/>
    <w:rsid w:val="00E65FF9"/>
    <w:rsid w:val="00E71052"/>
    <w:rsid w:val="00E83B28"/>
    <w:rsid w:val="00E87318"/>
    <w:rsid w:val="00ED22FB"/>
    <w:rsid w:val="00ED632B"/>
    <w:rsid w:val="00ED790A"/>
    <w:rsid w:val="00F30E81"/>
    <w:rsid w:val="00F651F5"/>
    <w:rsid w:val="00F66301"/>
    <w:rsid w:val="00F8141F"/>
    <w:rsid w:val="00F875C6"/>
    <w:rsid w:val="00F979D9"/>
    <w:rsid w:val="00FC28E0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Elodie HEILIKMAN</cp:lastModifiedBy>
  <cp:revision>68</cp:revision>
  <cp:lastPrinted>2022-09-06T14:44:00Z</cp:lastPrinted>
  <dcterms:created xsi:type="dcterms:W3CDTF">2024-08-05T07:45:00Z</dcterms:created>
  <dcterms:modified xsi:type="dcterms:W3CDTF">2025-01-09T15:34:00Z</dcterms:modified>
</cp:coreProperties>
</file>