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4CFA" w:rsidRDefault="00EC4CFA">
      <w:pPr>
        <w:rPr>
          <w:b/>
          <w:sz w:val="24"/>
          <w:szCs w:val="24"/>
        </w:rPr>
      </w:pPr>
    </w:p>
    <w:tbl>
      <w:tblPr>
        <w:tblStyle w:val="a"/>
        <w:tblW w:w="90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EC4CFA">
        <w:tc>
          <w:tcPr>
            <w:tcW w:w="9029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C4CFA" w:rsidRDefault="00577F0C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FICHE DE L’ESSAI N° 15T </w:t>
            </w:r>
          </w:p>
          <w:p w:rsidR="00EC4CFA" w:rsidRDefault="00577F0C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Essai batteries 24V des cellules de protections HTA au poste T19</w:t>
            </w:r>
          </w:p>
        </w:tc>
      </w:tr>
    </w:tbl>
    <w:p w:rsidR="00EC4CFA" w:rsidRDefault="00EC4CFA">
      <w:pPr>
        <w:rPr>
          <w:b/>
          <w:sz w:val="24"/>
          <w:szCs w:val="24"/>
        </w:rPr>
      </w:pPr>
    </w:p>
    <w:p w:rsidR="00EC4CFA" w:rsidRDefault="00EC4CFA">
      <w:pPr>
        <w:rPr>
          <w:b/>
          <w:sz w:val="24"/>
          <w:szCs w:val="24"/>
        </w:rPr>
      </w:pPr>
    </w:p>
    <w:p w:rsidR="00EC4CFA" w:rsidRDefault="00577F0C">
      <w:pPr>
        <w:rPr>
          <w:b/>
          <w:sz w:val="24"/>
          <w:szCs w:val="24"/>
        </w:rPr>
      </w:pPr>
      <w:r>
        <w:rPr>
          <w:b/>
          <w:sz w:val="24"/>
          <w:szCs w:val="24"/>
        </w:rPr>
        <w:t>VÉRIFICATIONS PRÉALABLES AU DÉBUT DE L'ESSAI</w:t>
      </w:r>
    </w:p>
    <w:p w:rsidR="00EC4CFA" w:rsidRDefault="00577F0C">
      <w:pPr>
        <w:numPr>
          <w:ilvl w:val="0"/>
          <w:numId w:val="2"/>
        </w:numPr>
        <w:rPr>
          <w:sz w:val="20"/>
          <w:szCs w:val="20"/>
        </w:rPr>
      </w:pPr>
      <w:r>
        <w:t>Configuration normale de l'installation</w:t>
      </w:r>
    </w:p>
    <w:p w:rsidR="00EC4CFA" w:rsidRDefault="00577F0C">
      <w:pPr>
        <w:numPr>
          <w:ilvl w:val="0"/>
          <w:numId w:val="2"/>
        </w:numPr>
        <w:spacing w:line="240" w:lineRule="auto"/>
      </w:pPr>
      <w:r>
        <w:t>Présence d’une source Normal</w:t>
      </w:r>
    </w:p>
    <w:p w:rsidR="00EC4CFA" w:rsidRDefault="00EC4CFA">
      <w:pPr>
        <w:spacing w:line="240" w:lineRule="auto"/>
      </w:pPr>
    </w:p>
    <w:p w:rsidR="00EC4CFA" w:rsidRDefault="00577F0C">
      <w:pPr>
        <w:tabs>
          <w:tab w:val="left" w:pos="5387"/>
        </w:tabs>
        <w:spacing w:before="120" w:line="240" w:lineRule="auto"/>
        <w:jc w:val="both"/>
        <w:rPr>
          <w:b/>
          <w:smallCaps/>
          <w:sz w:val="24"/>
          <w:szCs w:val="24"/>
        </w:rPr>
      </w:pPr>
      <w:r>
        <w:rPr>
          <w:b/>
          <w:smallCaps/>
          <w:sz w:val="24"/>
          <w:szCs w:val="24"/>
        </w:rPr>
        <w:t>DÉROULEMENT DE L'ESSAI</w:t>
      </w:r>
    </w:p>
    <w:p w:rsidR="00EC4CFA" w:rsidRDefault="00EC4CFA">
      <w:pPr>
        <w:tabs>
          <w:tab w:val="left" w:pos="5387"/>
        </w:tabs>
        <w:spacing w:before="120" w:line="240" w:lineRule="auto"/>
        <w:jc w:val="both"/>
        <w:rPr>
          <w:b/>
          <w:smallCaps/>
          <w:sz w:val="24"/>
          <w:szCs w:val="24"/>
        </w:rPr>
      </w:pPr>
    </w:p>
    <w:p w:rsidR="00EC4CFA" w:rsidRDefault="00577F0C">
      <w:pPr>
        <w:numPr>
          <w:ilvl w:val="0"/>
          <w:numId w:val="3"/>
        </w:numPr>
        <w:tabs>
          <w:tab w:val="left" w:pos="5387"/>
        </w:tabs>
        <w:spacing w:before="120" w:line="240" w:lineRule="auto"/>
        <w:jc w:val="both"/>
        <w:rPr>
          <w:b/>
          <w:smallCaps/>
          <w:sz w:val="20"/>
          <w:szCs w:val="20"/>
        </w:rPr>
      </w:pPr>
      <w:r>
        <w:t>Relevé de la tension globale des batteries à tester,</w:t>
      </w:r>
    </w:p>
    <w:p w:rsidR="00EC4CFA" w:rsidRDefault="00577F0C">
      <w:pPr>
        <w:numPr>
          <w:ilvl w:val="0"/>
          <w:numId w:val="3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Relevé du courant de charge,</w:t>
      </w:r>
    </w:p>
    <w:p w:rsidR="00EC4CFA" w:rsidRDefault="00577F0C">
      <w:pPr>
        <w:numPr>
          <w:ilvl w:val="0"/>
          <w:numId w:val="3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Coupure des batteries et de son chargeur</w:t>
      </w:r>
    </w:p>
    <w:p w:rsidR="00EC4CFA" w:rsidRDefault="00577F0C">
      <w:pPr>
        <w:numPr>
          <w:ilvl w:val="0"/>
          <w:numId w:val="3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Déconnexion des batteries à remplacer</w:t>
      </w:r>
    </w:p>
    <w:p w:rsidR="00EC4CFA" w:rsidRDefault="00577F0C">
      <w:pPr>
        <w:numPr>
          <w:ilvl w:val="0"/>
          <w:numId w:val="3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Remplacement du jeu de batteries</w:t>
      </w:r>
    </w:p>
    <w:p w:rsidR="00EC4CFA" w:rsidRDefault="00577F0C">
      <w:pPr>
        <w:numPr>
          <w:ilvl w:val="0"/>
          <w:numId w:val="3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Relever la tension aux bornes des batteries</w:t>
      </w:r>
    </w:p>
    <w:p w:rsidR="00EC4CFA" w:rsidRDefault="00577F0C">
      <w:pPr>
        <w:numPr>
          <w:ilvl w:val="0"/>
          <w:numId w:val="3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Remettre en service le chargeur et le jeu de batteries</w:t>
      </w:r>
    </w:p>
    <w:p w:rsidR="00EC4CFA" w:rsidRDefault="00577F0C">
      <w:pPr>
        <w:numPr>
          <w:ilvl w:val="0"/>
          <w:numId w:val="3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Mesure du courant de charge</w:t>
      </w:r>
    </w:p>
    <w:p w:rsidR="00EC4CFA" w:rsidRDefault="00EC4CFA">
      <w:pPr>
        <w:spacing w:line="240" w:lineRule="auto"/>
        <w:ind w:left="720"/>
        <w:rPr>
          <w:b/>
          <w:smallCaps/>
          <w:sz w:val="20"/>
          <w:szCs w:val="20"/>
        </w:rPr>
      </w:pPr>
    </w:p>
    <w:p w:rsidR="00EC4CFA" w:rsidRDefault="00577F0C">
      <w:pPr>
        <w:tabs>
          <w:tab w:val="left" w:pos="5387"/>
        </w:tabs>
        <w:spacing w:before="120" w:line="240" w:lineRule="auto"/>
        <w:jc w:val="both"/>
        <w:rPr>
          <w:b/>
          <w:smallCaps/>
          <w:sz w:val="24"/>
          <w:szCs w:val="24"/>
        </w:rPr>
      </w:pPr>
      <w:r>
        <w:rPr>
          <w:b/>
          <w:smallCaps/>
          <w:sz w:val="24"/>
          <w:szCs w:val="24"/>
        </w:rPr>
        <w:t>MATERIEL A PREVOIR</w:t>
      </w:r>
    </w:p>
    <w:p w:rsidR="00EC4CFA" w:rsidRDefault="00EC4CFA">
      <w:pPr>
        <w:tabs>
          <w:tab w:val="left" w:pos="5387"/>
        </w:tabs>
        <w:spacing w:before="120" w:line="240" w:lineRule="auto"/>
        <w:jc w:val="both"/>
        <w:rPr>
          <w:b/>
          <w:smallCaps/>
          <w:sz w:val="24"/>
          <w:szCs w:val="24"/>
        </w:rPr>
      </w:pPr>
    </w:p>
    <w:p w:rsidR="00EC4CFA" w:rsidRDefault="00577F0C">
      <w:pPr>
        <w:numPr>
          <w:ilvl w:val="0"/>
          <w:numId w:val="1"/>
        </w:numPr>
        <w:tabs>
          <w:tab w:val="left" w:pos="5387"/>
        </w:tabs>
        <w:spacing w:before="120" w:line="240" w:lineRule="auto"/>
        <w:jc w:val="both"/>
        <w:rPr>
          <w:b/>
          <w:smallCaps/>
          <w:sz w:val="20"/>
          <w:szCs w:val="20"/>
        </w:rPr>
      </w:pPr>
      <w:r>
        <w:t>Éclairage de secours portatif.</w:t>
      </w:r>
    </w:p>
    <w:p w:rsidR="00EC4CFA" w:rsidRDefault="00577F0C">
      <w:pPr>
        <w:numPr>
          <w:ilvl w:val="0"/>
          <w:numId w:val="1"/>
        </w:numPr>
        <w:spacing w:line="240" w:lineRule="auto"/>
      </w:pPr>
      <w:r>
        <w:t>Moyen de télécommunication</w:t>
      </w:r>
    </w:p>
    <w:p w:rsidR="00EC4CFA" w:rsidRDefault="00577F0C">
      <w:pPr>
        <w:numPr>
          <w:ilvl w:val="0"/>
          <w:numId w:val="1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Appareil de mesures (I et U batteries).</w:t>
      </w:r>
    </w:p>
    <w:p w:rsidR="00EC4CFA" w:rsidRDefault="00577F0C">
      <w:pPr>
        <w:numPr>
          <w:ilvl w:val="0"/>
          <w:numId w:val="1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Batteries de remplacement</w:t>
      </w:r>
    </w:p>
    <w:p w:rsidR="00EC4CFA" w:rsidRDefault="00EC4CFA">
      <w:pPr>
        <w:spacing w:line="240" w:lineRule="auto"/>
      </w:pPr>
    </w:p>
    <w:p w:rsidR="00EC4CFA" w:rsidRDefault="00577F0C">
      <w:pPr>
        <w:tabs>
          <w:tab w:val="left" w:pos="5387"/>
        </w:tabs>
        <w:spacing w:before="120" w:line="240" w:lineRule="auto"/>
        <w:jc w:val="both"/>
        <w:rPr>
          <w:b/>
          <w:smallCaps/>
          <w:sz w:val="24"/>
          <w:szCs w:val="24"/>
        </w:rPr>
      </w:pPr>
      <w:r>
        <w:rPr>
          <w:b/>
          <w:smallCaps/>
          <w:sz w:val="24"/>
          <w:szCs w:val="24"/>
        </w:rPr>
        <w:t>PÉRIODICITÉ</w:t>
      </w:r>
    </w:p>
    <w:p w:rsidR="00EC4CFA" w:rsidRDefault="00577F0C">
      <w:pPr>
        <w:numPr>
          <w:ilvl w:val="0"/>
          <w:numId w:val="1"/>
        </w:numPr>
        <w:tabs>
          <w:tab w:val="left" w:pos="5387"/>
        </w:tabs>
        <w:spacing w:before="120" w:line="240" w:lineRule="auto"/>
        <w:jc w:val="both"/>
        <w:rPr>
          <w:b/>
          <w:smallCaps/>
          <w:sz w:val="20"/>
          <w:szCs w:val="20"/>
        </w:rPr>
      </w:pPr>
      <w:r>
        <w:rPr>
          <w:b/>
          <w:smallCaps/>
          <w:sz w:val="20"/>
          <w:szCs w:val="20"/>
        </w:rPr>
        <w:t xml:space="preserve"> </w:t>
      </w:r>
      <w:r>
        <w:t xml:space="preserve">1 an </w:t>
      </w:r>
    </w:p>
    <w:p w:rsidR="00EC4CFA" w:rsidRDefault="00EC4CFA">
      <w:pPr>
        <w:tabs>
          <w:tab w:val="left" w:pos="5387"/>
        </w:tabs>
        <w:spacing w:before="120" w:line="240" w:lineRule="auto"/>
        <w:jc w:val="both"/>
        <w:rPr>
          <w:b/>
          <w:smallCaps/>
          <w:sz w:val="20"/>
          <w:szCs w:val="20"/>
        </w:rPr>
      </w:pPr>
    </w:p>
    <w:p w:rsidR="00EC4CFA" w:rsidRDefault="00EC4CFA">
      <w:pPr>
        <w:tabs>
          <w:tab w:val="left" w:pos="5387"/>
        </w:tabs>
        <w:spacing w:before="120" w:line="240" w:lineRule="auto"/>
        <w:jc w:val="both"/>
        <w:rPr>
          <w:b/>
          <w:smallCaps/>
          <w:sz w:val="20"/>
          <w:szCs w:val="20"/>
        </w:rPr>
        <w:sectPr w:rsidR="00EC4CFA">
          <w:headerReference w:type="default" r:id="rId7"/>
          <w:footerReference w:type="default" r:id="rId8"/>
          <w:pgSz w:w="11909" w:h="16834"/>
          <w:pgMar w:top="1440" w:right="1440" w:bottom="1440" w:left="1440" w:header="720" w:footer="720" w:gutter="0"/>
          <w:pgNumType w:start="1"/>
          <w:cols w:space="720"/>
        </w:sectPr>
      </w:pPr>
    </w:p>
    <w:p w:rsidR="00EC4CFA" w:rsidRDefault="00EC4CFA">
      <w:pPr>
        <w:rPr>
          <w:b/>
          <w:sz w:val="24"/>
          <w:szCs w:val="24"/>
        </w:rPr>
      </w:pPr>
    </w:p>
    <w:tbl>
      <w:tblPr>
        <w:tblStyle w:val="a0"/>
        <w:tblW w:w="90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EC4CFA">
        <w:tc>
          <w:tcPr>
            <w:tcW w:w="9029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C4CFA" w:rsidRDefault="00577F0C">
            <w:pPr>
              <w:widowControl w:val="0"/>
              <w:spacing w:line="240" w:lineRule="auto"/>
              <w:ind w:right="-12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ANALYSES DES RISQUES </w:t>
            </w:r>
          </w:p>
        </w:tc>
      </w:tr>
    </w:tbl>
    <w:p w:rsidR="00EC4CFA" w:rsidRDefault="00EC4CFA">
      <w:pPr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EC4CFA" w:rsidRDefault="00EC4CFA">
      <w:pPr>
        <w:tabs>
          <w:tab w:val="left" w:pos="1985"/>
        </w:tabs>
        <w:spacing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a1"/>
        <w:tblW w:w="9195" w:type="dxa"/>
        <w:jc w:val="center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65"/>
        <w:gridCol w:w="6030"/>
      </w:tblGrid>
      <w:tr w:rsidR="00EC4CFA">
        <w:trPr>
          <w:trHeight w:val="375"/>
          <w:jc w:val="center"/>
        </w:trPr>
        <w:tc>
          <w:tcPr>
            <w:tcW w:w="3165" w:type="dxa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 w:rsidR="00EC4CFA" w:rsidRDefault="00577F0C">
            <w:pPr>
              <w:tabs>
                <w:tab w:val="right" w:pos="-284"/>
              </w:tabs>
              <w:spacing w:before="120" w:line="240" w:lineRule="auto"/>
              <w:ind w:right="35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Titre :</w:t>
            </w:r>
          </w:p>
        </w:tc>
        <w:tc>
          <w:tcPr>
            <w:tcW w:w="6030" w:type="dxa"/>
            <w:tcBorders>
              <w:left w:val="nil"/>
              <w:bottom w:val="nil"/>
            </w:tcBorders>
          </w:tcPr>
          <w:p w:rsidR="00EC4CFA" w:rsidRDefault="00577F0C">
            <w:pPr>
              <w:spacing w:line="240" w:lineRule="auto"/>
            </w:pPr>
            <w:r>
              <w:t>Essai batteries 24V des cellules de protections HTA au poste T19</w:t>
            </w:r>
          </w:p>
        </w:tc>
      </w:tr>
      <w:tr w:rsidR="00EC4CFA">
        <w:trPr>
          <w:jc w:val="center"/>
        </w:trPr>
        <w:tc>
          <w:tcPr>
            <w:tcW w:w="316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4CFA" w:rsidRDefault="00577F0C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Nature :</w:t>
            </w:r>
          </w:p>
        </w:tc>
        <w:tc>
          <w:tcPr>
            <w:tcW w:w="6030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:rsidR="00EC4CFA" w:rsidRDefault="00577F0C">
            <w:pPr>
              <w:spacing w:line="240" w:lineRule="auto"/>
            </w:pPr>
            <w:r>
              <w:t>Test du chargeur et remplacement des batteries.</w:t>
            </w:r>
          </w:p>
        </w:tc>
      </w:tr>
      <w:tr w:rsidR="00EC4CFA">
        <w:trPr>
          <w:jc w:val="center"/>
        </w:trPr>
        <w:tc>
          <w:tcPr>
            <w:tcW w:w="3165" w:type="dxa"/>
            <w:tcBorders>
              <w:top w:val="nil"/>
              <w:bottom w:val="nil"/>
              <w:right w:val="single" w:sz="6" w:space="0" w:color="000000"/>
            </w:tcBorders>
          </w:tcPr>
          <w:p w:rsidR="00EC4CFA" w:rsidRDefault="00577F0C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Durée :</w:t>
            </w:r>
          </w:p>
        </w:tc>
        <w:tc>
          <w:tcPr>
            <w:tcW w:w="6030" w:type="dxa"/>
            <w:tcBorders>
              <w:top w:val="nil"/>
              <w:left w:val="nil"/>
              <w:bottom w:val="nil"/>
            </w:tcBorders>
          </w:tcPr>
          <w:p w:rsidR="00EC4CFA" w:rsidRDefault="00577F0C">
            <w:pPr>
              <w:spacing w:line="240" w:lineRule="auto"/>
            </w:pPr>
            <w:r>
              <w:t>1 h par jeu de batteries.</w:t>
            </w:r>
          </w:p>
        </w:tc>
      </w:tr>
      <w:tr w:rsidR="00EC4CFA">
        <w:trPr>
          <w:jc w:val="center"/>
        </w:trPr>
        <w:tc>
          <w:tcPr>
            <w:tcW w:w="316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4CFA" w:rsidRDefault="00577F0C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Description :</w:t>
            </w:r>
          </w:p>
        </w:tc>
        <w:tc>
          <w:tcPr>
            <w:tcW w:w="6030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:rsidR="00EC4CFA" w:rsidRDefault="00577F0C">
            <w:pPr>
              <w:spacing w:line="240" w:lineRule="auto"/>
            </w:pPr>
            <w:r>
              <w:t xml:space="preserve">Remplacement systématique des batteries et test </w:t>
            </w:r>
            <w:r>
              <w:t>de charge.</w:t>
            </w:r>
          </w:p>
          <w:p w:rsidR="00EC4CFA" w:rsidRDefault="00EC4CFA">
            <w:pPr>
              <w:spacing w:line="240" w:lineRule="auto"/>
            </w:pPr>
          </w:p>
        </w:tc>
      </w:tr>
      <w:tr w:rsidR="00EC4CFA">
        <w:trPr>
          <w:jc w:val="center"/>
        </w:trPr>
        <w:tc>
          <w:tcPr>
            <w:tcW w:w="3165" w:type="dxa"/>
            <w:tcBorders>
              <w:top w:val="nil"/>
              <w:bottom w:val="nil"/>
              <w:right w:val="single" w:sz="6" w:space="0" w:color="000000"/>
            </w:tcBorders>
          </w:tcPr>
          <w:p w:rsidR="00EC4CFA" w:rsidRDefault="00577F0C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Contraintes au regard de l'exploitation :</w:t>
            </w:r>
          </w:p>
        </w:tc>
        <w:tc>
          <w:tcPr>
            <w:tcW w:w="6030" w:type="dxa"/>
            <w:tcBorders>
              <w:top w:val="nil"/>
              <w:left w:val="nil"/>
              <w:bottom w:val="nil"/>
            </w:tcBorders>
          </w:tcPr>
          <w:p w:rsidR="00EC4CFA" w:rsidRDefault="00EC4CF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C4CFA" w:rsidRDefault="00577F0C">
            <w:pPr>
              <w:spacing w:line="240" w:lineRule="auto"/>
              <w:rPr>
                <w:highlight w:val="yellow"/>
              </w:rPr>
            </w:pPr>
            <w:r>
              <w:t>Aucune si chargeur alimenté</w:t>
            </w:r>
          </w:p>
        </w:tc>
      </w:tr>
      <w:tr w:rsidR="00EC4CFA">
        <w:trPr>
          <w:jc w:val="center"/>
        </w:trPr>
        <w:tc>
          <w:tcPr>
            <w:tcW w:w="3165" w:type="dxa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 w:rsidR="00EC4CFA" w:rsidRDefault="00577F0C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Risques :</w:t>
            </w:r>
          </w:p>
        </w:tc>
        <w:tc>
          <w:tcPr>
            <w:tcW w:w="6030" w:type="dxa"/>
            <w:tcBorders>
              <w:top w:val="single" w:sz="6" w:space="0" w:color="000000"/>
              <w:left w:val="nil"/>
              <w:bottom w:val="nil"/>
            </w:tcBorders>
          </w:tcPr>
          <w:p w:rsidR="00EC4CFA" w:rsidRDefault="00577F0C">
            <w:pPr>
              <w:spacing w:line="240" w:lineRule="auto"/>
            </w:pPr>
            <w:r>
              <w:t>Avoir des batteries hors service sur le jeu non encore testé.</w:t>
            </w:r>
          </w:p>
          <w:p w:rsidR="00EC4CFA" w:rsidRDefault="00577F0C">
            <w:pPr>
              <w:spacing w:line="240" w:lineRule="auto"/>
            </w:pPr>
            <w:r>
              <w:t>Faire un court-</w:t>
            </w:r>
            <w:bookmarkStart w:id="0" w:name="_GoBack"/>
            <w:bookmarkEnd w:id="0"/>
            <w:r>
              <w:t>circuit</w:t>
            </w:r>
          </w:p>
        </w:tc>
      </w:tr>
      <w:tr w:rsidR="00EC4CFA">
        <w:trPr>
          <w:jc w:val="center"/>
        </w:trPr>
        <w:tc>
          <w:tcPr>
            <w:tcW w:w="316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4CFA" w:rsidRDefault="00577F0C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Manière de supprimer le risque :</w:t>
            </w:r>
          </w:p>
        </w:tc>
        <w:tc>
          <w:tcPr>
            <w:tcW w:w="6030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:rsidR="00EC4CFA" w:rsidRDefault="00577F0C">
            <w:pPr>
              <w:spacing w:line="240" w:lineRule="auto"/>
            </w:pPr>
            <w:r>
              <w:t>Mesurer la tension des batteries avant essai.</w:t>
            </w:r>
          </w:p>
          <w:p w:rsidR="00EC4CFA" w:rsidRDefault="00577F0C">
            <w:pPr>
              <w:spacing w:line="240" w:lineRule="auto"/>
            </w:pPr>
            <w:r>
              <w:t>Isoler les parties sous tension</w:t>
            </w:r>
          </w:p>
        </w:tc>
      </w:tr>
      <w:tr w:rsidR="00EC4CFA">
        <w:trPr>
          <w:jc w:val="center"/>
        </w:trPr>
        <w:tc>
          <w:tcPr>
            <w:tcW w:w="316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4CFA" w:rsidRDefault="00577F0C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Dispositions sécurisantes à prendre :</w:t>
            </w:r>
          </w:p>
        </w:tc>
        <w:tc>
          <w:tcPr>
            <w:tcW w:w="6030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:rsidR="00EC4CFA" w:rsidRDefault="00577F0C">
            <w:pPr>
              <w:spacing w:line="240" w:lineRule="auto"/>
            </w:pPr>
            <w:r>
              <w:t>Prévenir les services techniques de l’hôpital</w:t>
            </w:r>
          </w:p>
          <w:p w:rsidR="00EC4CFA" w:rsidRDefault="00577F0C">
            <w:pPr>
              <w:spacing w:line="240" w:lineRule="auto"/>
            </w:pPr>
            <w:r>
              <w:t>Chargeur redondant.</w:t>
            </w:r>
          </w:p>
        </w:tc>
      </w:tr>
      <w:tr w:rsidR="00EC4CFA">
        <w:trPr>
          <w:jc w:val="center"/>
        </w:trPr>
        <w:tc>
          <w:tcPr>
            <w:tcW w:w="3165" w:type="dxa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EC4CFA" w:rsidRDefault="00577F0C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Organe de substitution à mettre en place :</w:t>
            </w:r>
          </w:p>
        </w:tc>
        <w:tc>
          <w:tcPr>
            <w:tcW w:w="6030" w:type="dxa"/>
            <w:tcBorders>
              <w:top w:val="nil"/>
              <w:left w:val="nil"/>
            </w:tcBorders>
          </w:tcPr>
          <w:p w:rsidR="00EC4CFA" w:rsidRDefault="00577F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t>Prévoir un jeu de batteries chargées</w:t>
            </w:r>
          </w:p>
        </w:tc>
      </w:tr>
    </w:tbl>
    <w:p w:rsidR="00EC4CFA" w:rsidRDefault="00EC4CFA">
      <w:pPr>
        <w:spacing w:line="240" w:lineRule="auto"/>
        <w:rPr>
          <w:b/>
          <w:smallCaps/>
          <w:sz w:val="20"/>
          <w:szCs w:val="20"/>
        </w:rPr>
      </w:pPr>
    </w:p>
    <w:p w:rsidR="00EC4CFA" w:rsidRDefault="00EC4CFA">
      <w:pPr>
        <w:spacing w:line="240" w:lineRule="auto"/>
        <w:rPr>
          <w:b/>
          <w:sz w:val="24"/>
          <w:szCs w:val="24"/>
        </w:rPr>
        <w:sectPr w:rsidR="00EC4CFA">
          <w:pgSz w:w="11909" w:h="16834"/>
          <w:pgMar w:top="1440" w:right="1440" w:bottom="1440" w:left="1440" w:header="720" w:footer="720" w:gutter="0"/>
          <w:cols w:space="720"/>
        </w:sectPr>
      </w:pPr>
    </w:p>
    <w:p w:rsidR="00EC4CFA" w:rsidRDefault="00EC4CFA">
      <w:pPr>
        <w:spacing w:line="240" w:lineRule="auto"/>
        <w:rPr>
          <w:b/>
          <w:sz w:val="24"/>
          <w:szCs w:val="24"/>
        </w:rPr>
      </w:pPr>
    </w:p>
    <w:p w:rsidR="00EC4CFA" w:rsidRDefault="00EC4CFA">
      <w:pPr>
        <w:spacing w:line="240" w:lineRule="auto"/>
        <w:rPr>
          <w:b/>
          <w:sz w:val="24"/>
          <w:szCs w:val="24"/>
        </w:rPr>
      </w:pPr>
    </w:p>
    <w:p w:rsidR="00EC4CFA" w:rsidRDefault="00EC4CFA">
      <w:pPr>
        <w:spacing w:line="240" w:lineRule="auto"/>
        <w:rPr>
          <w:b/>
          <w:sz w:val="24"/>
          <w:szCs w:val="24"/>
        </w:rPr>
      </w:pPr>
    </w:p>
    <w:p w:rsidR="00EC4CFA" w:rsidRDefault="00EC4CFA">
      <w:pPr>
        <w:spacing w:line="240" w:lineRule="auto"/>
        <w:rPr>
          <w:b/>
          <w:sz w:val="24"/>
          <w:szCs w:val="24"/>
        </w:rPr>
      </w:pPr>
    </w:p>
    <w:sectPr w:rsidR="00EC4CFA">
      <w:type w:val="continuous"/>
      <w:pgSz w:w="11909" w:h="16834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577F0C">
      <w:pPr>
        <w:spacing w:line="240" w:lineRule="auto"/>
      </w:pPr>
      <w:r>
        <w:separator/>
      </w:r>
    </w:p>
  </w:endnote>
  <w:endnote w:type="continuationSeparator" w:id="0">
    <w:p w:rsidR="00000000" w:rsidRDefault="00577F0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CFA" w:rsidRDefault="00577F0C">
    <w:r>
      <w:t>Edition du 27/03/2020</w: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fldChar w:fldCharType="begin"/>
    </w:r>
    <w:r>
      <w:instrText>PAGE</w:instrText>
    </w:r>
    <w:r>
      <w:fldChar w:fldCharType="separate"/>
    </w:r>
    <w:r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577F0C">
      <w:pPr>
        <w:spacing w:line="240" w:lineRule="auto"/>
      </w:pPr>
      <w:r>
        <w:separator/>
      </w:r>
    </w:p>
  </w:footnote>
  <w:footnote w:type="continuationSeparator" w:id="0">
    <w:p w:rsidR="00000000" w:rsidRDefault="00577F0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CFA" w:rsidRDefault="00EC4CFA">
    <w:pPr>
      <w:widowControl w:val="0"/>
      <w:rPr>
        <w:sz w:val="20"/>
        <w:szCs w:val="20"/>
      </w:rPr>
    </w:pPr>
  </w:p>
  <w:tbl>
    <w:tblPr>
      <w:tblStyle w:val="a2"/>
      <w:tblW w:w="9212" w:type="dxa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00" w:firstRow="0" w:lastRow="0" w:firstColumn="0" w:lastColumn="0" w:noHBand="0" w:noVBand="1"/>
    </w:tblPr>
    <w:tblGrid>
      <w:gridCol w:w="2303"/>
      <w:gridCol w:w="2303"/>
      <w:gridCol w:w="2303"/>
      <w:gridCol w:w="2303"/>
    </w:tblGrid>
    <w:tr w:rsidR="00EC4CFA">
      <w:trPr>
        <w:trHeight w:val="547"/>
      </w:trPr>
      <w:tc>
        <w:tcPr>
          <w:tcW w:w="2303" w:type="dxa"/>
          <w:vMerge w:val="restart"/>
        </w:tcPr>
        <w:p w:rsidR="00EC4CFA" w:rsidRDefault="00577F0C">
          <w:pPr>
            <w:tabs>
              <w:tab w:val="center" w:pos="4536"/>
              <w:tab w:val="right" w:pos="9072"/>
            </w:tabs>
            <w:rPr>
              <w:rFonts w:ascii="Times New Roman" w:eastAsia="Times New Roman" w:hAnsi="Times New Roman" w:cs="Times New Roman"/>
              <w:sz w:val="20"/>
              <w:szCs w:val="20"/>
            </w:rPr>
          </w:pPr>
          <w:r>
            <w:rPr>
              <w:rFonts w:ascii="Times New Roman" w:eastAsia="Times New Roman" w:hAnsi="Times New Roman" w:cs="Times New Roman"/>
              <w:noProof/>
              <w:sz w:val="20"/>
              <w:szCs w:val="20"/>
              <w:lang w:val="fr-FR"/>
            </w:rPr>
            <w:drawing>
              <wp:inline distT="0" distB="0" distL="0" distR="0">
                <wp:extent cx="1240536" cy="780288"/>
                <wp:effectExtent l="0" t="0" r="0" b="0"/>
                <wp:docPr id="1" name="image2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jp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40536" cy="780288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303" w:type="dxa"/>
          <w:tcBorders>
            <w:bottom w:val="nil"/>
            <w:right w:val="nil"/>
          </w:tcBorders>
        </w:tcPr>
        <w:p w:rsidR="00EC4CFA" w:rsidRDefault="00EC4CFA">
          <w:pPr>
            <w:tabs>
              <w:tab w:val="center" w:pos="4536"/>
              <w:tab w:val="right" w:pos="9072"/>
            </w:tabs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  <w:tc>
        <w:tcPr>
          <w:tcW w:w="2303" w:type="dxa"/>
          <w:tcBorders>
            <w:left w:val="nil"/>
            <w:bottom w:val="nil"/>
          </w:tcBorders>
        </w:tcPr>
        <w:p w:rsidR="00EC4CFA" w:rsidRDefault="00EC4CFA">
          <w:pPr>
            <w:tabs>
              <w:tab w:val="center" w:pos="4536"/>
              <w:tab w:val="right" w:pos="9072"/>
            </w:tabs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  <w:tc>
        <w:tcPr>
          <w:tcW w:w="2303" w:type="dxa"/>
          <w:vMerge w:val="restart"/>
        </w:tcPr>
        <w:p w:rsidR="00EC4CFA" w:rsidRDefault="00EC4CFA">
          <w:pPr>
            <w:tabs>
              <w:tab w:val="center" w:pos="4536"/>
              <w:tab w:val="right" w:pos="9072"/>
            </w:tabs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</w:tr>
    <w:tr w:rsidR="00EC4CFA">
      <w:tc>
        <w:tcPr>
          <w:tcW w:w="2303" w:type="dxa"/>
          <w:vMerge/>
        </w:tcPr>
        <w:p w:rsidR="00EC4CFA" w:rsidRDefault="00EC4CFA">
          <w:pPr>
            <w:widowControl w:val="0"/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  <w:tc>
        <w:tcPr>
          <w:tcW w:w="4606" w:type="dxa"/>
          <w:gridSpan w:val="2"/>
          <w:tcBorders>
            <w:top w:val="nil"/>
          </w:tcBorders>
        </w:tcPr>
        <w:p w:rsidR="00EC4CFA" w:rsidRDefault="00577F0C">
          <w:pPr>
            <w:tabs>
              <w:tab w:val="center" w:pos="4536"/>
              <w:tab w:val="right" w:pos="9072"/>
            </w:tabs>
            <w:jc w:val="center"/>
            <w:rPr>
              <w:b/>
              <w:sz w:val="24"/>
              <w:szCs w:val="24"/>
              <w:shd w:val="clear" w:color="auto" w:fill="F8F8F8"/>
            </w:rPr>
          </w:pPr>
          <w:r>
            <w:rPr>
              <w:b/>
              <w:sz w:val="24"/>
              <w:szCs w:val="24"/>
              <w:shd w:val="clear" w:color="auto" w:fill="F8F8F8"/>
            </w:rPr>
            <w:t>HÔPITAL LYON SUD</w:t>
          </w:r>
        </w:p>
        <w:p w:rsidR="00EC4CFA" w:rsidRDefault="00EC4CFA">
          <w:pPr>
            <w:tabs>
              <w:tab w:val="center" w:pos="4536"/>
              <w:tab w:val="right" w:pos="9072"/>
            </w:tabs>
            <w:jc w:val="center"/>
            <w:rPr>
              <w:rFonts w:ascii="Times New Roman" w:eastAsia="Times New Roman" w:hAnsi="Times New Roman" w:cs="Times New Roman"/>
              <w:b/>
              <w:sz w:val="24"/>
              <w:szCs w:val="24"/>
            </w:rPr>
          </w:pPr>
        </w:p>
      </w:tc>
      <w:tc>
        <w:tcPr>
          <w:tcW w:w="2303" w:type="dxa"/>
          <w:vMerge/>
        </w:tcPr>
        <w:p w:rsidR="00EC4CFA" w:rsidRDefault="00EC4CFA">
          <w:pPr>
            <w:widowControl w:val="0"/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</w:tr>
  </w:tbl>
  <w:p w:rsidR="00EC4CFA" w:rsidRDefault="00EC4CFA">
    <w:pPr>
      <w:tabs>
        <w:tab w:val="center" w:pos="4536"/>
        <w:tab w:val="right" w:pos="9072"/>
      </w:tabs>
      <w:spacing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176C74"/>
    <w:multiLevelType w:val="multilevel"/>
    <w:tmpl w:val="DDEC3F6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2A303577"/>
    <w:multiLevelType w:val="multilevel"/>
    <w:tmpl w:val="C39A603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5BD531F3"/>
    <w:multiLevelType w:val="multilevel"/>
    <w:tmpl w:val="D9F2CF4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4CFA"/>
    <w:rsid w:val="00577F0C"/>
    <w:rsid w:val="00EC4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E57EC1"/>
  <w15:docId w15:val="{E76652B2-CD42-4312-8D7E-91F3C0DEA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fr" w:eastAsia="fr-F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itre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re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re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re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re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Titre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ous-titr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2">
    <w:basedOn w:val="TableNormal"/>
    <w:pPr>
      <w:spacing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577F0C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77F0C"/>
  </w:style>
  <w:style w:type="paragraph" w:styleId="Pieddepage">
    <w:name w:val="footer"/>
    <w:basedOn w:val="Normal"/>
    <w:link w:val="PieddepageCar"/>
    <w:uiPriority w:val="99"/>
    <w:unhideWhenUsed/>
    <w:rsid w:val="00577F0C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77F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224</Words>
  <Characters>1237</Characters>
  <Application>Microsoft Office Word</Application>
  <DocSecurity>0</DocSecurity>
  <Lines>10</Lines>
  <Paragraphs>2</Paragraphs>
  <ScaleCrop>false</ScaleCrop>
  <Company>Hospices Civils de Lyon</Company>
  <LinksUpToDate>false</LinksUpToDate>
  <CharactersWithSpaces>1459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DAGCI, Yusuf</cp:lastModifiedBy>
  <cp:revision>2</cp:revision>
  <dcterms:created xsi:type="dcterms:W3CDTF">2020-12-03T08:49:00Z</dcterms:created>
  <dcterms:modified xsi:type="dcterms:W3CDTF">2020-12-03T08:50:00Z</dcterms:modified>
</cp:coreProperties>
</file>