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B05" w:rsidRDefault="00456B05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456B05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6B05" w:rsidRDefault="00D70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FICHE DE L’ESSAI N° 12 </w:t>
            </w:r>
          </w:p>
          <w:p w:rsidR="00456B05" w:rsidRDefault="00D70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de basculement manuel et automatique des inverseurs N/S sur chaque TGBT  + Essai de l'inverseur HT du T18</w:t>
            </w:r>
          </w:p>
        </w:tc>
      </w:tr>
    </w:tbl>
    <w:p w:rsidR="00456B05" w:rsidRDefault="00456B05">
      <w:pPr>
        <w:rPr>
          <w:b/>
          <w:sz w:val="24"/>
          <w:szCs w:val="24"/>
        </w:rPr>
      </w:pPr>
    </w:p>
    <w:p w:rsidR="00456B05" w:rsidRDefault="00D7094D">
      <w:pPr>
        <w:rPr>
          <w:b/>
          <w:sz w:val="24"/>
          <w:szCs w:val="24"/>
        </w:rPr>
      </w:pPr>
      <w:r>
        <w:rPr>
          <w:b/>
          <w:sz w:val="24"/>
          <w:szCs w:val="24"/>
        </w:rPr>
        <w:t>VÉRIFICATIONS PRÉALABLES AU DÉBUT DE L'ESSAI</w:t>
      </w:r>
    </w:p>
    <w:p w:rsidR="00456B05" w:rsidRDefault="00D7094D">
      <w:pPr>
        <w:numPr>
          <w:ilvl w:val="0"/>
          <w:numId w:val="3"/>
        </w:numPr>
      </w:pPr>
      <w:r>
        <w:t>Configuration normale du réseau.</w:t>
      </w:r>
    </w:p>
    <w:p w:rsidR="00456B05" w:rsidRDefault="00D7094D">
      <w:pPr>
        <w:numPr>
          <w:ilvl w:val="0"/>
          <w:numId w:val="3"/>
        </w:numPr>
      </w:pPr>
      <w:r>
        <w:t>PL1N et PL2S présents</w:t>
      </w:r>
      <w:bookmarkStart w:id="0" w:name="_GoBack"/>
      <w:bookmarkEnd w:id="0"/>
    </w:p>
    <w:p w:rsidR="00456B05" w:rsidRDefault="00D7094D">
      <w:pPr>
        <w:numPr>
          <w:ilvl w:val="0"/>
          <w:numId w:val="3"/>
        </w:numPr>
      </w:pPr>
      <w:r>
        <w:t>Tous les TGBT alimentés par TR normaux</w:t>
      </w:r>
    </w:p>
    <w:p w:rsidR="00456B05" w:rsidRDefault="00D7094D">
      <w:pPr>
        <w:numPr>
          <w:ilvl w:val="0"/>
          <w:numId w:val="3"/>
        </w:numPr>
      </w:pPr>
      <w:r>
        <w:t xml:space="preserve">Essai automatique réalisé tous les 3 mois lors de l’essai en ultime </w:t>
      </w:r>
      <w:proofErr w:type="gramStart"/>
      <w:r>
        <w:t>secours .</w:t>
      </w:r>
      <w:proofErr w:type="gramEnd"/>
    </w:p>
    <w:p w:rsidR="00456B05" w:rsidRDefault="00456B05">
      <w:pPr>
        <w:rPr>
          <w:sz w:val="20"/>
          <w:szCs w:val="20"/>
        </w:rPr>
      </w:pPr>
    </w:p>
    <w:p w:rsidR="00456B05" w:rsidRDefault="00D7094D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456B05" w:rsidRDefault="00D7094D">
      <w:pPr>
        <w:numPr>
          <w:ilvl w:val="0"/>
          <w:numId w:val="1"/>
        </w:numPr>
      </w:pPr>
      <w:r>
        <w:t>Dans chaque TGBT mesurer les temps de basculement N/S</w:t>
      </w:r>
    </w:p>
    <w:p w:rsidR="00456B05" w:rsidRDefault="00D7094D">
      <w:pPr>
        <w:numPr>
          <w:ilvl w:val="0"/>
          <w:numId w:val="1"/>
        </w:numPr>
      </w:pPr>
      <w:r>
        <w:t>Mettre à l’arrêt l'automate de gestion du N/S BT (stop-manu)</w:t>
      </w:r>
    </w:p>
    <w:p w:rsidR="00456B05" w:rsidRDefault="00D7094D">
      <w:pPr>
        <w:numPr>
          <w:ilvl w:val="0"/>
          <w:numId w:val="1"/>
        </w:numPr>
      </w:pPr>
      <w:r>
        <w:t>Ouverture des disjoncteurs normaux (en automatique)</w:t>
      </w:r>
    </w:p>
    <w:p w:rsidR="00456B05" w:rsidRDefault="00D7094D">
      <w:pPr>
        <w:numPr>
          <w:ilvl w:val="0"/>
          <w:numId w:val="1"/>
        </w:numPr>
      </w:pPr>
      <w:r>
        <w:t xml:space="preserve">Mettre sur secours l’automate de gestion N/S (remplacement) </w:t>
      </w:r>
    </w:p>
    <w:p w:rsidR="00456B05" w:rsidRDefault="00D7094D">
      <w:pPr>
        <w:numPr>
          <w:ilvl w:val="0"/>
          <w:numId w:val="1"/>
        </w:numPr>
      </w:pPr>
      <w:r>
        <w:t>Fermeture des disjoncteur secours (en automatique)</w:t>
      </w:r>
    </w:p>
    <w:p w:rsidR="00456B05" w:rsidRDefault="00D7094D">
      <w:pPr>
        <w:numPr>
          <w:ilvl w:val="0"/>
          <w:numId w:val="1"/>
        </w:numPr>
      </w:pPr>
      <w:r>
        <w:t>Mettre à l’arrêt l'automate de gestion du N/S BT (stop-manu)</w:t>
      </w:r>
    </w:p>
    <w:p w:rsidR="00456B05" w:rsidRDefault="00D7094D">
      <w:pPr>
        <w:numPr>
          <w:ilvl w:val="0"/>
          <w:numId w:val="1"/>
        </w:numPr>
      </w:pPr>
      <w:r>
        <w:t>Ouverture des disjoncteurs seco</w:t>
      </w:r>
      <w:r>
        <w:t>urs (en automatique)</w:t>
      </w:r>
    </w:p>
    <w:p w:rsidR="00456B05" w:rsidRDefault="00D7094D">
      <w:pPr>
        <w:numPr>
          <w:ilvl w:val="0"/>
          <w:numId w:val="1"/>
        </w:numPr>
      </w:pPr>
      <w:r>
        <w:t>Mettre l’automate de gestion du N/S sur auto</w:t>
      </w:r>
    </w:p>
    <w:p w:rsidR="00456B05" w:rsidRDefault="00D7094D">
      <w:pPr>
        <w:numPr>
          <w:ilvl w:val="0"/>
          <w:numId w:val="1"/>
        </w:numPr>
      </w:pPr>
      <w:r>
        <w:t>Fermeture des disjoncteurs normaux. (</w:t>
      </w:r>
      <w:proofErr w:type="gramStart"/>
      <w:r>
        <w:t>en</w:t>
      </w:r>
      <w:proofErr w:type="gramEnd"/>
      <w:r>
        <w:t xml:space="preserve"> automatique) </w:t>
      </w:r>
    </w:p>
    <w:p w:rsidR="00456B05" w:rsidRDefault="00D7094D">
      <w:pPr>
        <w:numPr>
          <w:ilvl w:val="0"/>
          <w:numId w:val="1"/>
        </w:numPr>
      </w:pPr>
      <w:r>
        <w:t>Remettre en configuration normale toute l’alimentation du site après cet essai et acquitter tous les défauts du superviseur.</w:t>
      </w:r>
    </w:p>
    <w:p w:rsidR="00456B05" w:rsidRDefault="00456B05"/>
    <w:p w:rsidR="00456B05" w:rsidRDefault="00D7094D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4"/>
          <w:szCs w:val="24"/>
        </w:rPr>
        <w:t>MATERIEL A</w:t>
      </w:r>
      <w:r>
        <w:rPr>
          <w:b/>
          <w:smallCaps/>
          <w:sz w:val="24"/>
          <w:szCs w:val="24"/>
        </w:rPr>
        <w:t xml:space="preserve"> PREVOIR</w:t>
      </w:r>
    </w:p>
    <w:p w:rsidR="00456B05" w:rsidRDefault="00D7094D">
      <w:pPr>
        <w:numPr>
          <w:ilvl w:val="0"/>
          <w:numId w:val="2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 xml:space="preserve">Moyens de communication </w:t>
      </w:r>
    </w:p>
    <w:p w:rsidR="00456B05" w:rsidRDefault="00D7094D">
      <w:pPr>
        <w:numPr>
          <w:ilvl w:val="0"/>
          <w:numId w:val="2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Éclairage de secours portatif.</w:t>
      </w:r>
    </w:p>
    <w:p w:rsidR="00456B05" w:rsidRDefault="00D7094D">
      <w:pPr>
        <w:numPr>
          <w:ilvl w:val="0"/>
          <w:numId w:val="2"/>
        </w:numPr>
        <w:tabs>
          <w:tab w:val="left" w:pos="5387"/>
        </w:tabs>
        <w:spacing w:before="120" w:line="240" w:lineRule="auto"/>
        <w:jc w:val="both"/>
      </w:pPr>
      <w:r>
        <w:t>Chronomètre</w:t>
      </w:r>
    </w:p>
    <w:p w:rsidR="00456B05" w:rsidRDefault="00456B05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456B05" w:rsidRDefault="00D7094D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456B05" w:rsidRDefault="00D7094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456B05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  <w:r>
        <w:rPr>
          <w:b/>
          <w:smallCaps/>
          <w:sz w:val="20"/>
          <w:szCs w:val="20"/>
        </w:rPr>
        <w:t xml:space="preserve"> </w:t>
      </w:r>
      <w:r>
        <w:t>Annuel</w:t>
      </w:r>
    </w:p>
    <w:p w:rsidR="00456B05" w:rsidRDefault="00456B05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456B05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6B05" w:rsidRDefault="00D7094D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456B05" w:rsidRDefault="00456B05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56B05" w:rsidRDefault="00456B05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50"/>
        <w:gridCol w:w="6045"/>
      </w:tblGrid>
      <w:tr w:rsidR="00456B05">
        <w:trPr>
          <w:trHeight w:val="375"/>
          <w:jc w:val="center"/>
        </w:trPr>
        <w:tc>
          <w:tcPr>
            <w:tcW w:w="3150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456B05" w:rsidRDefault="00D7094D">
            <w:pPr>
              <w:tabs>
                <w:tab w:val="right" w:pos="-284"/>
              </w:tabs>
              <w:spacing w:before="120" w:line="240" w:lineRule="auto"/>
              <w:ind w:right="355"/>
            </w:pPr>
            <w:r>
              <w:t>Titre :</w:t>
            </w:r>
          </w:p>
        </w:tc>
        <w:tc>
          <w:tcPr>
            <w:tcW w:w="6045" w:type="dxa"/>
            <w:tcBorders>
              <w:left w:val="nil"/>
              <w:bottom w:val="nil"/>
            </w:tcBorders>
          </w:tcPr>
          <w:p w:rsidR="00456B05" w:rsidRDefault="00D7094D">
            <w:pPr>
              <w:tabs>
                <w:tab w:val="left" w:pos="1985"/>
              </w:tabs>
              <w:spacing w:before="120" w:line="240" w:lineRule="auto"/>
            </w:pPr>
            <w:r>
              <w:t>Essai de basculement manuel et automatique des inverseurs N/S sur chaque TGBT  + Essai de l'inverseur HT du T18</w:t>
            </w:r>
          </w:p>
        </w:tc>
      </w:tr>
      <w:tr w:rsidR="00456B05">
        <w:trPr>
          <w:jc w:val="center"/>
        </w:trPr>
        <w:tc>
          <w:tcPr>
            <w:tcW w:w="31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6B05" w:rsidRDefault="00D7094D">
            <w:pPr>
              <w:tabs>
                <w:tab w:val="left" w:pos="1985"/>
              </w:tabs>
              <w:spacing w:before="120" w:line="240" w:lineRule="auto"/>
            </w:pPr>
            <w:r>
              <w:t>Nature :</w:t>
            </w:r>
          </w:p>
        </w:tc>
        <w:tc>
          <w:tcPr>
            <w:tcW w:w="604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456B05" w:rsidRDefault="00D7094D">
            <w:pPr>
              <w:spacing w:line="240" w:lineRule="auto"/>
            </w:pPr>
            <w:r>
              <w:t>Vérification du bon fonctionnement des organes de manœuvre.</w:t>
            </w:r>
          </w:p>
        </w:tc>
      </w:tr>
      <w:tr w:rsidR="00456B05">
        <w:trPr>
          <w:jc w:val="center"/>
        </w:trPr>
        <w:tc>
          <w:tcPr>
            <w:tcW w:w="3150" w:type="dxa"/>
            <w:tcBorders>
              <w:top w:val="nil"/>
              <w:bottom w:val="nil"/>
              <w:right w:val="single" w:sz="6" w:space="0" w:color="000000"/>
            </w:tcBorders>
          </w:tcPr>
          <w:p w:rsidR="00456B05" w:rsidRDefault="00D7094D">
            <w:pPr>
              <w:tabs>
                <w:tab w:val="left" w:pos="1985"/>
              </w:tabs>
              <w:spacing w:before="120" w:line="240" w:lineRule="auto"/>
            </w:pPr>
            <w:r>
              <w:t>Durée :</w:t>
            </w:r>
          </w:p>
        </w:tc>
        <w:tc>
          <w:tcPr>
            <w:tcW w:w="6045" w:type="dxa"/>
            <w:tcBorders>
              <w:top w:val="nil"/>
              <w:left w:val="nil"/>
              <w:bottom w:val="nil"/>
            </w:tcBorders>
          </w:tcPr>
          <w:p w:rsidR="00456B05" w:rsidRDefault="00D7094D">
            <w:pPr>
              <w:spacing w:line="240" w:lineRule="auto"/>
            </w:pPr>
            <w:r>
              <w:t>1h. par inverseur</w:t>
            </w:r>
          </w:p>
        </w:tc>
      </w:tr>
      <w:tr w:rsidR="00456B05">
        <w:trPr>
          <w:jc w:val="center"/>
        </w:trPr>
        <w:tc>
          <w:tcPr>
            <w:tcW w:w="31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6B05" w:rsidRDefault="00D7094D">
            <w:pPr>
              <w:tabs>
                <w:tab w:val="left" w:pos="1985"/>
              </w:tabs>
              <w:spacing w:before="120" w:line="240" w:lineRule="auto"/>
            </w:pPr>
            <w:r>
              <w:t>Description :</w:t>
            </w:r>
          </w:p>
        </w:tc>
        <w:tc>
          <w:tcPr>
            <w:tcW w:w="604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456B05" w:rsidRDefault="00D7094D">
            <w:pPr>
              <w:spacing w:line="240" w:lineRule="auto"/>
            </w:pPr>
            <w:r>
              <w:t>Manœuvres manuelles « ouvert fermé ».</w:t>
            </w:r>
          </w:p>
        </w:tc>
      </w:tr>
      <w:tr w:rsidR="00456B05">
        <w:trPr>
          <w:jc w:val="center"/>
        </w:trPr>
        <w:tc>
          <w:tcPr>
            <w:tcW w:w="3150" w:type="dxa"/>
            <w:tcBorders>
              <w:top w:val="nil"/>
              <w:bottom w:val="nil"/>
              <w:right w:val="single" w:sz="6" w:space="0" w:color="000000"/>
            </w:tcBorders>
          </w:tcPr>
          <w:p w:rsidR="00456B05" w:rsidRDefault="00D7094D">
            <w:pPr>
              <w:tabs>
                <w:tab w:val="left" w:pos="1985"/>
              </w:tabs>
              <w:spacing w:before="120" w:line="240" w:lineRule="auto"/>
            </w:pPr>
            <w:r>
              <w:t>Contraintes au regard de l'exploitation :</w:t>
            </w:r>
          </w:p>
        </w:tc>
        <w:tc>
          <w:tcPr>
            <w:tcW w:w="6045" w:type="dxa"/>
            <w:tcBorders>
              <w:top w:val="nil"/>
              <w:left w:val="nil"/>
              <w:bottom w:val="nil"/>
            </w:tcBorders>
          </w:tcPr>
          <w:p w:rsidR="00456B05" w:rsidRDefault="00D7094D">
            <w:pPr>
              <w:spacing w:line="240" w:lineRule="auto"/>
            </w:pPr>
            <w:r>
              <w:t>Basculement de sources (microcoupure)</w:t>
            </w:r>
          </w:p>
        </w:tc>
      </w:tr>
      <w:tr w:rsidR="00456B05">
        <w:trPr>
          <w:jc w:val="center"/>
        </w:trPr>
        <w:tc>
          <w:tcPr>
            <w:tcW w:w="3150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456B05" w:rsidRDefault="00D7094D">
            <w:pPr>
              <w:tabs>
                <w:tab w:val="left" w:pos="1985"/>
              </w:tabs>
              <w:spacing w:before="120" w:line="240" w:lineRule="auto"/>
            </w:pPr>
            <w:r>
              <w:t>Risques :</w:t>
            </w:r>
          </w:p>
        </w:tc>
        <w:tc>
          <w:tcPr>
            <w:tcW w:w="6045" w:type="dxa"/>
            <w:tcBorders>
              <w:top w:val="single" w:sz="6" w:space="0" w:color="000000"/>
              <w:left w:val="nil"/>
              <w:bottom w:val="nil"/>
            </w:tcBorders>
          </w:tcPr>
          <w:p w:rsidR="00456B05" w:rsidRDefault="00D7094D">
            <w:pPr>
              <w:spacing w:line="240" w:lineRule="auto"/>
            </w:pPr>
            <w:r>
              <w:t>TGBT alimenté par transformateur secours</w:t>
            </w:r>
          </w:p>
        </w:tc>
      </w:tr>
      <w:tr w:rsidR="00456B05">
        <w:trPr>
          <w:jc w:val="center"/>
        </w:trPr>
        <w:tc>
          <w:tcPr>
            <w:tcW w:w="31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6B05" w:rsidRDefault="00D7094D">
            <w:pPr>
              <w:tabs>
                <w:tab w:val="left" w:pos="1985"/>
              </w:tabs>
              <w:spacing w:before="120" w:line="240" w:lineRule="auto"/>
            </w:pPr>
            <w:r>
              <w:t>Manière de supprimer le risque :</w:t>
            </w:r>
          </w:p>
        </w:tc>
        <w:tc>
          <w:tcPr>
            <w:tcW w:w="604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456B05" w:rsidRDefault="00D7094D">
            <w:pPr>
              <w:spacing w:line="240" w:lineRule="auto"/>
            </w:pPr>
            <w:r>
              <w:t>contrôler qu’aucun poste ne fonctionne sur le secours.</w:t>
            </w:r>
          </w:p>
        </w:tc>
      </w:tr>
      <w:tr w:rsidR="00456B05">
        <w:trPr>
          <w:jc w:val="center"/>
        </w:trPr>
        <w:tc>
          <w:tcPr>
            <w:tcW w:w="31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6B05" w:rsidRDefault="00D7094D">
            <w:pPr>
              <w:tabs>
                <w:tab w:val="left" w:pos="1985"/>
              </w:tabs>
              <w:spacing w:before="120" w:line="240" w:lineRule="auto"/>
            </w:pPr>
            <w:r>
              <w:t>Dispositions sécurisantes à prendre :</w:t>
            </w:r>
          </w:p>
        </w:tc>
        <w:tc>
          <w:tcPr>
            <w:tcW w:w="604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456B05" w:rsidRDefault="00D7094D">
            <w:pPr>
              <w:spacing w:line="240" w:lineRule="auto"/>
            </w:pPr>
            <w:r>
              <w:t>Visite préalable des postes</w:t>
            </w:r>
          </w:p>
        </w:tc>
      </w:tr>
      <w:tr w:rsidR="00456B05">
        <w:trPr>
          <w:jc w:val="center"/>
        </w:trPr>
        <w:tc>
          <w:tcPr>
            <w:tcW w:w="3150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456B05" w:rsidRDefault="00D7094D">
            <w:pPr>
              <w:tabs>
                <w:tab w:val="left" w:pos="1985"/>
              </w:tabs>
              <w:spacing w:before="120" w:line="240" w:lineRule="auto"/>
            </w:pPr>
            <w:r>
              <w:t>Organe de substitution à mettre en place :</w:t>
            </w:r>
          </w:p>
        </w:tc>
        <w:tc>
          <w:tcPr>
            <w:tcW w:w="6045" w:type="dxa"/>
            <w:tcBorders>
              <w:top w:val="nil"/>
              <w:left w:val="nil"/>
            </w:tcBorders>
          </w:tcPr>
          <w:p w:rsidR="00456B05" w:rsidRDefault="00D7094D">
            <w:pPr>
              <w:spacing w:line="240" w:lineRule="auto"/>
            </w:pPr>
            <w:r>
              <w:t>Néant.</w:t>
            </w:r>
          </w:p>
        </w:tc>
      </w:tr>
    </w:tbl>
    <w:p w:rsidR="00456B05" w:rsidRDefault="00456B05">
      <w:pPr>
        <w:spacing w:line="240" w:lineRule="auto"/>
        <w:rPr>
          <w:b/>
          <w:smallCaps/>
          <w:sz w:val="20"/>
          <w:szCs w:val="20"/>
        </w:rPr>
      </w:pPr>
    </w:p>
    <w:sectPr w:rsidR="00456B05"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7094D">
      <w:pPr>
        <w:spacing w:line="240" w:lineRule="auto"/>
      </w:pPr>
      <w:r>
        <w:separator/>
      </w:r>
    </w:p>
  </w:endnote>
  <w:endnote w:type="continuationSeparator" w:id="0">
    <w:p w:rsidR="00000000" w:rsidRDefault="00D709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B05" w:rsidRDefault="00D7094D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7094D">
      <w:pPr>
        <w:spacing w:line="240" w:lineRule="auto"/>
      </w:pPr>
      <w:r>
        <w:separator/>
      </w:r>
    </w:p>
  </w:footnote>
  <w:footnote w:type="continuationSeparator" w:id="0">
    <w:p w:rsidR="00000000" w:rsidRDefault="00D709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B05" w:rsidRDefault="00456B05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456B05">
      <w:trPr>
        <w:trHeight w:val="547"/>
      </w:trPr>
      <w:tc>
        <w:tcPr>
          <w:tcW w:w="2303" w:type="dxa"/>
          <w:vMerge w:val="restart"/>
        </w:tcPr>
        <w:p w:rsidR="00456B05" w:rsidRDefault="00D7094D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456B05" w:rsidRDefault="00456B05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456B05" w:rsidRDefault="00456B05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456B05" w:rsidRDefault="00456B05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456B05">
      <w:tc>
        <w:tcPr>
          <w:tcW w:w="2303" w:type="dxa"/>
          <w:vMerge/>
        </w:tcPr>
        <w:p w:rsidR="00456B05" w:rsidRDefault="00456B05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456B05" w:rsidRDefault="00D7094D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456B05" w:rsidRDefault="00456B05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456B05" w:rsidRDefault="00456B05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456B05" w:rsidRDefault="00456B05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D76338"/>
    <w:multiLevelType w:val="multilevel"/>
    <w:tmpl w:val="6AF25C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9116EED"/>
    <w:multiLevelType w:val="multilevel"/>
    <w:tmpl w:val="8320DD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61C68DC"/>
    <w:multiLevelType w:val="multilevel"/>
    <w:tmpl w:val="0E0EAE4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98848BD"/>
    <w:multiLevelType w:val="multilevel"/>
    <w:tmpl w:val="7408CF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B05"/>
    <w:rsid w:val="00456B05"/>
    <w:rsid w:val="00D70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CAF9D9-FBE0-4F92-9FDE-9B38600C4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D7094D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7094D"/>
  </w:style>
  <w:style w:type="paragraph" w:styleId="Pieddepage">
    <w:name w:val="footer"/>
    <w:basedOn w:val="Normal"/>
    <w:link w:val="PieddepageCar"/>
    <w:uiPriority w:val="99"/>
    <w:unhideWhenUsed/>
    <w:rsid w:val="00D7094D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709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1475</Characters>
  <Application>Microsoft Office Word</Application>
  <DocSecurity>0</DocSecurity>
  <Lines>12</Lines>
  <Paragraphs>3</Paragraphs>
  <ScaleCrop>false</ScaleCrop>
  <Company>Hospices Civils de Lyon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2020-12-03T08:36:00Z</dcterms:created>
  <dcterms:modified xsi:type="dcterms:W3CDTF">2020-12-03T08:37:00Z</dcterms:modified>
</cp:coreProperties>
</file>