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210BB0C"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7E0340">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A032639" w:rsidR="00741D2D" w:rsidRPr="001B5605" w:rsidRDefault="00A413AB" w:rsidP="00996FEA">
            <w:pPr>
              <w:rPr>
                <w:rFonts w:asciiTheme="minorHAnsi" w:hAnsiTheme="minorHAnsi" w:cs="Arial"/>
                <w:sz w:val="24"/>
              </w:rPr>
            </w:pPr>
            <w:r>
              <w:rPr>
                <w:rFonts w:asciiTheme="minorHAnsi" w:hAnsiTheme="minorHAnsi" w:cs="Arial"/>
              </w:rPr>
              <w:t xml:space="preserve">Appui technique au </w:t>
            </w:r>
            <w:r>
              <w:rPr>
                <w:rFonts w:ascii="Calibri" w:eastAsia="Calibri" w:hAnsi="Calibri" w:cs="Calibri"/>
                <w:b/>
                <w:bCs/>
                <w:i/>
                <w:iCs/>
                <w:sz w:val="22"/>
                <w:szCs w:val="22"/>
              </w:rPr>
              <w:t>She’</w:t>
            </w:r>
            <w:r w:rsidRPr="00277EF1">
              <w:rPr>
                <w:rFonts w:ascii="Calibri" w:eastAsia="Calibri" w:hAnsi="Calibri" w:cs="Calibri"/>
                <w:b/>
                <w:bCs/>
                <w:i/>
                <w:iCs/>
                <w:sz w:val="22"/>
                <w:szCs w:val="22"/>
              </w:rPr>
              <w:t>BlueHack</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7777777"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 (</w:t>
            </w:r>
            <w:r w:rsidR="00863B49" w:rsidRPr="001B5605">
              <w:rPr>
                <w:rFonts w:asciiTheme="minorHAnsi" w:hAnsiTheme="minorHAnsi" w:cs="Arial"/>
                <w:i/>
                <w:sz w:val="24"/>
                <w:highlight w:val="yellow"/>
              </w:rPr>
              <w:t xml:space="preserve">prix des </w:t>
            </w:r>
            <w:r w:rsidR="00E953FE" w:rsidRPr="001B5605">
              <w:rPr>
                <w:rFonts w:asciiTheme="minorHAnsi" w:hAnsiTheme="minorHAnsi" w:cs="Arial"/>
                <w:i/>
                <w:sz w:val="24"/>
                <w:highlight w:val="yellow"/>
              </w:rPr>
              <w:t xml:space="preserve">postes </w:t>
            </w:r>
            <w:r w:rsidRPr="001B5605">
              <w:rPr>
                <w:rFonts w:asciiTheme="minorHAnsi" w:hAnsiTheme="minorHAnsi" w:cs="Arial"/>
                <w:i/>
                <w:sz w:val="24"/>
                <w:highlight w:val="yellow"/>
              </w:rPr>
              <w:t xml:space="preserve">fermes </w:t>
            </w:r>
            <w:r w:rsidR="00863B49" w:rsidRPr="001B5605">
              <w:rPr>
                <w:rFonts w:asciiTheme="minorHAnsi" w:hAnsiTheme="minorHAnsi" w:cs="Arial"/>
                <w:i/>
                <w:sz w:val="24"/>
                <w:highlight w:val="yellow"/>
              </w:rPr>
              <w:t>+</w:t>
            </w:r>
            <w:r w:rsidRPr="001B5605">
              <w:rPr>
                <w:rFonts w:asciiTheme="minorHAnsi" w:hAnsiTheme="minorHAnsi" w:cs="Arial"/>
                <w:i/>
                <w:sz w:val="24"/>
                <w:highlight w:val="yellow"/>
              </w:rPr>
              <w:t xml:space="preserve"> </w:t>
            </w:r>
            <w:r w:rsidR="00863B49" w:rsidRPr="001B5605">
              <w:rPr>
                <w:rFonts w:asciiTheme="minorHAnsi" w:hAnsiTheme="minorHAnsi" w:cs="Arial"/>
                <w:i/>
                <w:sz w:val="24"/>
                <w:highlight w:val="yellow"/>
              </w:rPr>
              <w:t xml:space="preserve">montant max des postes </w:t>
            </w:r>
            <w:r w:rsidR="00883C5C" w:rsidRPr="001B5605">
              <w:rPr>
                <w:rFonts w:asciiTheme="minorHAnsi" w:hAnsiTheme="minorHAnsi" w:cs="Arial"/>
                <w:i/>
                <w:sz w:val="24"/>
                <w:highlight w:val="yellow"/>
              </w:rPr>
              <w:t>à</w:t>
            </w:r>
            <w:r w:rsidRPr="001B5605">
              <w:rPr>
                <w:rFonts w:asciiTheme="minorHAnsi" w:hAnsiTheme="minorHAnsi" w:cs="Arial"/>
                <w:i/>
                <w:sz w:val="24"/>
                <w:highlight w:val="yellow"/>
              </w:rPr>
              <w:t xml:space="preserve"> bons de commande)</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7E0340">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667716A2" w:rsidR="00554974" w:rsidRPr="005468A0" w:rsidRDefault="00801ECC">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6B585C">
              <w:rPr>
                <w:rFonts w:asciiTheme="minorHAnsi" w:hAnsiTheme="minorHAnsi" w:cstheme="minorHAnsi"/>
                <w:sz w:val="22"/>
                <w:szCs w:val="22"/>
              </w:rPr>
              <w:t>p</w:t>
            </w:r>
            <w:r w:rsidRPr="005468A0">
              <w:rPr>
                <w:rFonts w:asciiTheme="minorHAnsi" w:hAnsiTheme="minorHAnsi" w:cstheme="minorHAnsi"/>
                <w:sz w:val="22"/>
                <w:szCs w:val="22"/>
              </w:rPr>
              <w:t xml:space="preserve">rocédure adaptée en application </w:t>
            </w:r>
            <w:r w:rsidR="00554974" w:rsidRPr="005468A0">
              <w:rPr>
                <w:rFonts w:asciiTheme="minorHAnsi" w:hAnsiTheme="minorHAnsi" w:cstheme="minorHAnsi"/>
                <w:sz w:val="22"/>
                <w:szCs w:val="22"/>
              </w:rPr>
              <w:t>des articles L. 2123-1 et R. 2123-1 au R. 2123-7 du CCP</w:t>
            </w:r>
            <w:r w:rsidR="006B585C">
              <w:rPr>
                <w:rFonts w:asciiTheme="minorHAnsi" w:hAnsiTheme="minorHAnsi" w:cstheme="minorHAnsi"/>
                <w:sz w:val="22"/>
                <w:szCs w:val="22"/>
              </w:rPr>
              <w:t>.</w:t>
            </w:r>
          </w:p>
          <w:p w14:paraId="42614EF7" w14:textId="2880DE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77777777" w:rsidR="000A764F" w:rsidRDefault="000A764F">
          <w:pPr>
            <w:pStyle w:val="TM2"/>
            <w:rPr>
              <w:noProof/>
            </w:rPr>
          </w:pPr>
          <w:hyperlink w:anchor="_Toc126921974" w:history="1">
            <w:r w:rsidRPr="00EF1E1E">
              <w:rPr>
                <w:rStyle w:val="Lienhypertexte"/>
                <w:noProof/>
              </w:rPr>
              <w:t>Déclenchement et délai [d’exécution des prestations][de livraison des fournitures]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5EED10E" w14:textId="05D6B106" w:rsidR="005468A0" w:rsidRDefault="005468A0" w:rsidP="005468A0">
      <w:pPr>
        <w:spacing w:line="240" w:lineRule="auto"/>
        <w:jc w:val="both"/>
        <w:rPr>
          <w:rFonts w:asciiTheme="minorHAnsi" w:hAnsiTheme="minorHAnsi" w:cs="Arial"/>
          <w:b/>
        </w:rPr>
      </w:pPr>
      <w:r>
        <w:rPr>
          <w:rFonts w:asciiTheme="minorHAnsi" w:hAnsiTheme="minorHAnsi" w:cs="Arial"/>
        </w:rPr>
        <w:t>Le présent Contrat de prestation de services s’inscrit dans le cadre du projet de coopération ci-après dénommé le « </w:t>
      </w:r>
      <w:r>
        <w:rPr>
          <w:rFonts w:asciiTheme="minorHAnsi" w:hAnsiTheme="minorHAnsi" w:cs="Arial"/>
          <w:smallCaps/>
        </w:rPr>
        <w:t>contrat principal »</w:t>
      </w:r>
      <w:r>
        <w:rPr>
          <w:rFonts w:asciiTheme="minorHAnsi" w:hAnsiTheme="minorHAnsi" w:cs="Arial"/>
        </w:rPr>
        <w:t xml:space="preserve"> signé le </w:t>
      </w:r>
      <w:r>
        <w:rPr>
          <w:rFonts w:asciiTheme="minorHAnsi" w:hAnsiTheme="minorHAnsi" w:cs="Arial"/>
          <w:i/>
        </w:rPr>
        <w:t>01/12/2021</w:t>
      </w:r>
      <w:r>
        <w:rPr>
          <w:rFonts w:asciiTheme="minorHAnsi" w:hAnsiTheme="minorHAnsi" w:cs="Arial"/>
        </w:rPr>
        <w:t xml:space="preserve"> </w:t>
      </w:r>
      <w:r>
        <w:rPr>
          <w:rFonts w:asciiTheme="minorHAnsi" w:hAnsiTheme="minorHAnsi" w:cs="Arial"/>
          <w:szCs w:val="22"/>
        </w:rPr>
        <w:t xml:space="preserve">entre </w:t>
      </w:r>
      <w:r>
        <w:rPr>
          <w:rFonts w:asciiTheme="minorHAnsi" w:hAnsiTheme="minorHAnsi" w:cs="Arial"/>
        </w:rPr>
        <w:t xml:space="preserve">la Délégation de l’Union Européenne en Algérie </w:t>
      </w:r>
      <w:r>
        <w:rPr>
          <w:rFonts w:asciiTheme="minorHAnsi" w:hAnsiTheme="minorHAnsi" w:cs="Arial"/>
          <w:szCs w:val="22"/>
        </w:rPr>
        <w:t xml:space="preserve">et </w:t>
      </w:r>
      <w:r>
        <w:rPr>
          <w:rFonts w:asciiTheme="minorHAnsi" w:hAnsiTheme="minorHAnsi" w:cs="Arial"/>
        </w:rPr>
        <w:t>E</w:t>
      </w:r>
      <w:r>
        <w:rPr>
          <w:rFonts w:asciiTheme="minorHAnsi" w:hAnsiTheme="minorHAnsi" w:cs="Arial"/>
          <w:smallCaps/>
        </w:rPr>
        <w:t>xpertise France</w:t>
      </w:r>
      <w:r>
        <w:rPr>
          <w:rFonts w:asciiTheme="minorHAnsi" w:hAnsiTheme="minorHAnsi" w:cs="Arial"/>
          <w:szCs w:val="22"/>
        </w:rPr>
        <w:t xml:space="preserve">, portant sur le développement de l’économie bleue, la pêche et l’aquaculture en Algérie, </w:t>
      </w:r>
      <w:r>
        <w:rPr>
          <w:rFonts w:asciiTheme="minorHAnsi" w:hAnsiTheme="minorHAnsi" w:cs="Arial"/>
        </w:rPr>
        <w:t>au profit du Ministère de la Pêche et des Ressources Halieutiques algérien, mis en œuvre par Expertise France et l’Agence Européenne de Contrôle des Pêches et dont E</w:t>
      </w:r>
      <w:r>
        <w:rPr>
          <w:rFonts w:asciiTheme="minorHAnsi" w:hAnsiTheme="minorHAnsi" w:cs="Arial"/>
          <w:smallCaps/>
        </w:rPr>
        <w:t>xpertise France</w:t>
      </w:r>
      <w:r>
        <w:rPr>
          <w:rFonts w:asciiTheme="minorHAnsi" w:hAnsiTheme="minorHAnsi" w:cs="Arial"/>
        </w:rPr>
        <w:t xml:space="preserve"> est partenaire.</w:t>
      </w:r>
      <w:r w:rsidRPr="005468A0">
        <w:t xml:space="preserve"> </w:t>
      </w:r>
      <w:r w:rsidRPr="005468A0">
        <w:rPr>
          <w:rFonts w:asciiTheme="minorHAnsi" w:hAnsiTheme="minorHAnsi" w:cs="Arial"/>
        </w:rPr>
        <w:t>», EXPERTISE FRANCE demande au CONTRACTANT qui l’accepte, de réaliser au titre du présent CONTRAT les prestations décrites dans l’annexe technique jointe « Cahier des charges ».</w:t>
      </w:r>
    </w:p>
    <w:p w14:paraId="704EEA84" w14:textId="454F8003" w:rsidR="00DE1070" w:rsidRPr="005468A0" w:rsidRDefault="00DE1070" w:rsidP="005468A0">
      <w:pPr>
        <w:spacing w:line="240" w:lineRule="auto"/>
        <w:jc w:val="both"/>
        <w:rPr>
          <w:rFonts w:asciiTheme="minorHAnsi" w:hAnsiTheme="minorHAnsi" w:cs="Arial"/>
          <w:b/>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3BAECAE2"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A413AB">
        <w:rPr>
          <w:rFonts w:asciiTheme="minorHAnsi" w:hAnsiTheme="minorHAnsi" w:cs="Arial"/>
          <w:sz w:val="20"/>
        </w:rPr>
        <w:t xml:space="preserve">Appui technique au </w:t>
      </w:r>
      <w:r w:rsidR="00A413AB">
        <w:rPr>
          <w:rFonts w:ascii="Calibri" w:eastAsia="Calibri" w:hAnsi="Calibri" w:cs="Calibri"/>
          <w:b/>
          <w:bCs/>
          <w:i/>
          <w:iCs/>
          <w:szCs w:val="22"/>
        </w:rPr>
        <w:t>She’</w:t>
      </w:r>
      <w:r w:rsidR="00A413AB" w:rsidRPr="00277EF1">
        <w:rPr>
          <w:rFonts w:ascii="Calibri" w:eastAsia="Calibri" w:hAnsi="Calibri" w:cs="Calibri"/>
          <w:b/>
          <w:bCs/>
          <w:i/>
          <w:iCs/>
          <w:szCs w:val="22"/>
        </w:rPr>
        <w:t>BlueHack</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19E086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1BE14BF6"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12D886CE"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 de services</w:t>
      </w:r>
      <w:r w:rsidR="005468A0">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5468A0">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D8AEC44"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A413AB">
        <w:rPr>
          <w:rFonts w:asciiTheme="minorHAnsi" w:hAnsiTheme="minorHAnsi" w:cs="Arial"/>
        </w:rPr>
        <w:t>03</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r w:rsidR="007474C3">
        <w:rPr>
          <w:rFonts w:asciiTheme="minorHAnsi" w:hAnsiTheme="minorHAnsi" w:cs="Arial"/>
        </w:rPr>
        <w:t xml:space="preserve"> </w:t>
      </w:r>
      <w:r w:rsidR="007474C3" w:rsidRPr="007474C3">
        <w:rPr>
          <w:rFonts w:asciiTheme="minorHAnsi" w:hAnsiTheme="minorHAnsi" w:cs="Arial"/>
        </w:rPr>
        <w:t xml:space="preserve">Il est reconductible 1 fois par décision tacite prise par l’autorité contractante sans pouvoir excéder une durée totale de </w:t>
      </w:r>
      <w:r w:rsidR="00A413AB">
        <w:rPr>
          <w:rFonts w:asciiTheme="minorHAnsi" w:hAnsiTheme="minorHAnsi" w:cs="Arial"/>
        </w:rPr>
        <w:t>03</w:t>
      </w:r>
      <w:r w:rsidR="007474C3" w:rsidRPr="007474C3">
        <w:rPr>
          <w:rFonts w:asciiTheme="minorHAnsi" w:hAnsiTheme="minorHAnsi" w:cs="Arial"/>
        </w:rPr>
        <w:t xml:space="preserve"> mois.</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F1A0FC2"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w:t>
      </w:r>
      <w:r w:rsidR="005468A0">
        <w:rPr>
          <w:rFonts w:asciiTheme="minorHAnsi" w:hAnsiTheme="minorHAnsi"/>
          <w:sz w:val="22"/>
        </w:rPr>
        <w:t xml:space="preserve"> </w:t>
      </w:r>
      <w:r w:rsidRPr="00A86E43">
        <w:rPr>
          <w:rFonts w:asciiTheme="minorHAnsi" w:hAnsiTheme="minorHAnsi"/>
          <w:sz w:val="22"/>
        </w:rPr>
        <w:t>d’exécution</w:t>
      </w:r>
      <w:r w:rsidR="003B5A58" w:rsidRPr="00A86E43">
        <w:rPr>
          <w:rFonts w:asciiTheme="minorHAnsi" w:hAnsiTheme="minorHAnsi"/>
          <w:sz w:val="22"/>
        </w:rPr>
        <w:t xml:space="preserve"> des prestations</w:t>
      </w:r>
      <w:bookmarkEnd w:id="13"/>
    </w:p>
    <w:p w14:paraId="48DFE8F3" w14:textId="333A8074"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5468A0">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5468A0">
        <w:rPr>
          <w:rFonts w:asciiTheme="minorHAnsi" w:hAnsiTheme="minorHAnsi" w:cs="Arial"/>
          <w:smallCaps/>
        </w:rPr>
        <w:t xml:space="preserve"> </w:t>
      </w:r>
      <w:r w:rsidR="00B30BC2" w:rsidRPr="00A86E43">
        <w:rPr>
          <w:rFonts w:asciiTheme="minorHAnsi" w:hAnsiTheme="minorHAnsi" w:cs="Arial"/>
        </w:rPr>
        <w:t xml:space="preserve">est fixé à </w:t>
      </w:r>
      <w:r w:rsidR="005468A0">
        <w:rPr>
          <w:rFonts w:asciiTheme="minorHAnsi" w:hAnsiTheme="minorHAnsi" w:cs="Arial"/>
        </w:rPr>
        <w:t>0</w:t>
      </w:r>
      <w:r w:rsidR="00A413AB">
        <w:rPr>
          <w:rFonts w:asciiTheme="minorHAnsi" w:hAnsiTheme="minorHAnsi" w:cs="Arial"/>
        </w:rPr>
        <w:t>3</w:t>
      </w:r>
      <w:r w:rsidR="00B30BC2" w:rsidRPr="00A86E43">
        <w:rPr>
          <w:rFonts w:asciiTheme="minorHAnsi" w:hAnsiTheme="minorHAnsi" w:cs="Arial"/>
        </w:rPr>
        <w:t xml:space="preserve"> </w:t>
      </w:r>
      <w:r w:rsidR="005468A0">
        <w:rPr>
          <w:rFonts w:asciiTheme="minorHAnsi" w:hAnsiTheme="minorHAnsi" w:cs="Arial"/>
        </w:rPr>
        <w:t>mois</w:t>
      </w:r>
      <w:r w:rsidR="00B30BC2" w:rsidRPr="00A86E43">
        <w:rPr>
          <w:rFonts w:asciiTheme="minorHAnsi" w:hAnsiTheme="minorHAnsi" w:cs="Arial"/>
        </w:rPr>
        <w:t xml:space="preserve"> à compter 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2B0A5C7F" w14:textId="00164637" w:rsidR="00E849ED" w:rsidRPr="00A86E43" w:rsidRDefault="00E326F3" w:rsidP="005468A0">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71905F9A"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7E0340">
        <w:rPr>
          <w:rFonts w:asciiTheme="minorHAnsi" w:hAnsiTheme="minorHAnsi" w:cstheme="minorHAnsi"/>
          <w:szCs w:val="22"/>
        </w:rPr>
        <w:t>Indiquer montant € HT (hors taxe).</w:t>
      </w:r>
    </w:p>
    <w:p w14:paraId="5DAD44EC" w14:textId="0C502B30" w:rsidR="00D23E07" w:rsidRPr="00A86E43" w:rsidRDefault="00123D1A" w:rsidP="007E0340">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5468A0"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0F90FA4C" w14:textId="2DA67238"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5468A0">
        <w:rPr>
          <w:rFonts w:asciiTheme="minorHAnsi" w:hAnsiTheme="minorHAnsi" w:cstheme="minorHAnsi"/>
          <w:szCs w:val="22"/>
        </w:rPr>
        <w:t xml:space="preserve">10% </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04562170"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L’avance doit être entièrement reversée lorsque le montant de ce cumul des paiements atteint </w:t>
      </w:r>
      <w:r w:rsidR="003B182A">
        <w:rPr>
          <w:rFonts w:asciiTheme="minorHAnsi" w:hAnsiTheme="minorHAnsi" w:cstheme="minorHAnsi"/>
          <w:szCs w:val="22"/>
        </w:rPr>
        <w:t>5</w:t>
      </w:r>
      <w:r w:rsidRPr="00A86E43">
        <w:rPr>
          <w:rFonts w:asciiTheme="minorHAnsi" w:hAnsiTheme="minorHAnsi" w:cstheme="minorHAnsi"/>
          <w:szCs w:val="22"/>
        </w:rPr>
        <w:t>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lastRenderedPageBreak/>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4FD2E91D" w:rsidR="00E637E0"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 xml:space="preserve">Expertise </w:t>
      </w:r>
      <w:r w:rsidR="00A413AB">
        <w:rPr>
          <w:rFonts w:asciiTheme="minorHAnsi" w:hAnsiTheme="minorHAnsi" w:cs="Arial"/>
          <w:smallCaps/>
          <w:szCs w:val="22"/>
        </w:rPr>
        <w:t>France</w:t>
      </w:r>
      <w:r w:rsidR="00A413AB">
        <w:rPr>
          <w:rFonts w:asciiTheme="minorHAnsi" w:hAnsiTheme="minorHAnsi" w:cs="Arial"/>
          <w:szCs w:val="22"/>
        </w:rPr>
        <w:t>. Selon le tableau suivant :</w:t>
      </w:r>
    </w:p>
    <w:tbl>
      <w:tblPr>
        <w:tblStyle w:val="Grilledutableau"/>
        <w:tblW w:w="0" w:type="auto"/>
        <w:tblInd w:w="561" w:type="dxa"/>
        <w:tblLook w:val="04A0" w:firstRow="1" w:lastRow="0" w:firstColumn="1" w:lastColumn="0" w:noHBand="0" w:noVBand="1"/>
      </w:tblPr>
      <w:tblGrid>
        <w:gridCol w:w="4579"/>
        <w:gridCol w:w="4596"/>
      </w:tblGrid>
      <w:tr w:rsidR="00A413AB" w14:paraId="1D9AA378" w14:textId="77777777" w:rsidTr="00A413AB">
        <w:tc>
          <w:tcPr>
            <w:tcW w:w="4579" w:type="dxa"/>
          </w:tcPr>
          <w:p w14:paraId="281D7C2D" w14:textId="6BDA5990" w:rsidR="00A413AB" w:rsidRDefault="00A413AB" w:rsidP="00D830F2">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Phase I</w:t>
            </w:r>
          </w:p>
        </w:tc>
        <w:tc>
          <w:tcPr>
            <w:tcW w:w="4596" w:type="dxa"/>
          </w:tcPr>
          <w:p w14:paraId="0E318A7D" w14:textId="0BDEA515" w:rsidR="00A413AB" w:rsidRDefault="00A413AB" w:rsidP="00D830F2">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Après validation des livrables de la phase I</w:t>
            </w:r>
          </w:p>
        </w:tc>
      </w:tr>
      <w:tr w:rsidR="00A413AB" w14:paraId="6C6A1A51" w14:textId="77777777" w:rsidTr="00A413AB">
        <w:tc>
          <w:tcPr>
            <w:tcW w:w="4579" w:type="dxa"/>
          </w:tcPr>
          <w:p w14:paraId="507E0610" w14:textId="66D31C38" w:rsidR="00A413AB" w:rsidRDefault="00A413AB" w:rsidP="00A413AB">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Phase II (- Avance de 10%)</w:t>
            </w:r>
          </w:p>
        </w:tc>
        <w:tc>
          <w:tcPr>
            <w:tcW w:w="4596" w:type="dxa"/>
          </w:tcPr>
          <w:p w14:paraId="0DBB7AFE" w14:textId="16BEE2F4" w:rsidR="00A413AB" w:rsidRDefault="00A413AB" w:rsidP="00A413AB">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Après validation des livrables</w:t>
            </w:r>
            <w:r>
              <w:rPr>
                <w:rFonts w:asciiTheme="minorHAnsi" w:hAnsiTheme="minorHAnsi" w:cs="Arial"/>
                <w:szCs w:val="22"/>
              </w:rPr>
              <w:t xml:space="preserve"> de la phase II</w:t>
            </w:r>
          </w:p>
        </w:tc>
      </w:tr>
      <w:tr w:rsidR="00A413AB" w14:paraId="0BAFA498" w14:textId="77777777" w:rsidTr="00A413AB">
        <w:tc>
          <w:tcPr>
            <w:tcW w:w="4579" w:type="dxa"/>
          </w:tcPr>
          <w:p w14:paraId="3D809089" w14:textId="755319C9" w:rsidR="00A413AB" w:rsidRDefault="00A413AB" w:rsidP="00A413AB">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Solde final</w:t>
            </w:r>
          </w:p>
        </w:tc>
        <w:tc>
          <w:tcPr>
            <w:tcW w:w="4596" w:type="dxa"/>
          </w:tcPr>
          <w:p w14:paraId="08359C08" w14:textId="73C94874" w:rsidR="00A413AB" w:rsidRDefault="00A413AB" w:rsidP="00A413AB">
            <w:pPr>
              <w:pStyle w:val="u"/>
              <w:widowControl w:val="0"/>
              <w:numPr>
                <w:ilvl w:val="12"/>
                <w:numId w:val="0"/>
              </w:numPr>
              <w:spacing w:after="120"/>
              <w:jc w:val="left"/>
              <w:rPr>
                <w:rFonts w:asciiTheme="minorHAnsi" w:hAnsiTheme="minorHAnsi" w:cs="Arial"/>
                <w:szCs w:val="22"/>
              </w:rPr>
            </w:pPr>
            <w:r>
              <w:rPr>
                <w:rFonts w:asciiTheme="minorHAnsi" w:hAnsiTheme="minorHAnsi" w:cs="Arial"/>
                <w:szCs w:val="22"/>
              </w:rPr>
              <w:t>Après validation du livrable de la phase III</w:t>
            </w:r>
          </w:p>
        </w:tc>
      </w:tr>
    </w:tbl>
    <w:p w14:paraId="36253DE7" w14:textId="77777777" w:rsidR="00A413AB" w:rsidRPr="00A86E43" w:rsidRDefault="00A413AB" w:rsidP="00D830F2">
      <w:pPr>
        <w:pStyle w:val="u"/>
        <w:widowControl w:val="0"/>
        <w:numPr>
          <w:ilvl w:val="12"/>
          <w:numId w:val="0"/>
        </w:numPr>
        <w:spacing w:after="120"/>
        <w:ind w:left="561"/>
        <w:jc w:val="left"/>
        <w:rPr>
          <w:rFonts w:asciiTheme="minorHAnsi" w:hAnsiTheme="minorHAnsi" w:cs="Arial"/>
          <w:szCs w:val="22"/>
        </w:rPr>
      </w:pPr>
    </w:p>
    <w:p w14:paraId="6E80FAE5" w14:textId="6798341A"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w:t>
      </w:r>
      <w:r w:rsidR="003B182A">
        <w:rPr>
          <w:rFonts w:asciiTheme="minorHAnsi" w:hAnsiTheme="minorHAnsi" w:cs="Arial"/>
          <w:szCs w:val="22"/>
        </w:rPr>
        <w:t>d</w:t>
      </w:r>
      <w:r w:rsidR="00D830F2" w:rsidRPr="00A86E43">
        <w:rPr>
          <w:rFonts w:asciiTheme="minorHAnsi" w:hAnsiTheme="minorHAnsi" w:cs="Arial"/>
          <w:szCs w:val="22"/>
        </w:rPr>
        <w:t>u contrat</w:t>
      </w:r>
      <w:r w:rsidR="003B182A">
        <w:rPr>
          <w:rFonts w:asciiTheme="minorHAnsi" w:hAnsiTheme="minorHAnsi" w:cs="Arial"/>
          <w:szCs w:val="22"/>
        </w:rPr>
        <w:t>.</w:t>
      </w:r>
    </w:p>
    <w:p w14:paraId="30D00A23" w14:textId="77777777" w:rsidR="003B182A" w:rsidRDefault="007B473C" w:rsidP="003B182A">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0E5F4C1E" w14:textId="6B3379AE" w:rsidR="00E637E0" w:rsidRPr="003B182A" w:rsidRDefault="00E637E0" w:rsidP="003B182A">
      <w:pPr>
        <w:pStyle w:val="u"/>
        <w:widowControl w:val="0"/>
        <w:numPr>
          <w:ilvl w:val="0"/>
          <w:numId w:val="54"/>
        </w:numPr>
        <w:spacing w:after="120"/>
        <w:ind w:left="567" w:hanging="283"/>
        <w:jc w:val="left"/>
        <w:rPr>
          <w:rFonts w:asciiTheme="minorHAnsi" w:hAnsiTheme="minorHAnsi" w:cs="Arial"/>
          <w:szCs w:val="22"/>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9257D8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3B182A"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w:t>
      </w:r>
      <w:r w:rsidR="001E311F" w:rsidRPr="00A86E43">
        <w:rPr>
          <w:rFonts w:asciiTheme="minorHAnsi" w:hAnsiTheme="minorHAnsi" w:cs="Arial"/>
          <w:szCs w:val="22"/>
        </w:rPr>
        <w:lastRenderedPageBreak/>
        <w:t>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CF77CA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75422492" w:rsidR="00D00B3A" w:rsidRPr="00A86E43" w:rsidRDefault="00A413AB"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Chef de projet – Réda Allal</w:t>
      </w:r>
    </w:p>
    <w:p w14:paraId="02136460" w14:textId="712FD64E" w:rsidR="00F766D6" w:rsidRPr="00A86E43" w:rsidRDefault="003B182A"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adjoint – Bertrand Cazalet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31D014CD"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6E1B741" w14:textId="1FA107E8" w:rsidR="003B182A" w:rsidRPr="00A86E43" w:rsidRDefault="00A413AB" w:rsidP="003B182A">
      <w:pPr>
        <w:pStyle w:val="u"/>
        <w:widowControl w:val="0"/>
        <w:numPr>
          <w:ilvl w:val="0"/>
          <w:numId w:val="11"/>
        </w:numPr>
        <w:rPr>
          <w:rFonts w:asciiTheme="minorHAnsi" w:hAnsiTheme="minorHAnsi" w:cstheme="minorHAnsi"/>
          <w:szCs w:val="22"/>
        </w:rPr>
      </w:pPr>
      <w:r>
        <w:rPr>
          <w:rFonts w:asciiTheme="minorHAnsi" w:hAnsiTheme="minorHAnsi" w:cstheme="minorHAnsi"/>
          <w:szCs w:val="22"/>
        </w:rPr>
        <w:t>Chef de projet – Réda Allal</w:t>
      </w:r>
    </w:p>
    <w:p w14:paraId="2C40178D" w14:textId="77777777" w:rsidR="003B182A" w:rsidRPr="00A86E43" w:rsidRDefault="003B182A" w:rsidP="003B182A">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adjoint – Bertrand Cazalet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W w:w="9206" w:type="dxa"/>
        <w:tblInd w:w="5"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00" w:firstRow="0" w:lastRow="0" w:firstColumn="0" w:lastColumn="0" w:noHBand="0" w:noVBand="1"/>
      </w:tblPr>
      <w:tblGrid>
        <w:gridCol w:w="1119"/>
        <w:gridCol w:w="5812"/>
        <w:gridCol w:w="996"/>
        <w:gridCol w:w="1279"/>
      </w:tblGrid>
      <w:tr w:rsidR="00A413AB" w:rsidRPr="00820B02" w14:paraId="07304533" w14:textId="77777777" w:rsidTr="00A46C63">
        <w:trPr>
          <w:trHeight w:val="182"/>
        </w:trPr>
        <w:tc>
          <w:tcPr>
            <w:tcW w:w="1119" w:type="dxa"/>
            <w:shd w:val="clear" w:color="auto" w:fill="0F243E"/>
            <w:vAlign w:val="center"/>
          </w:tcPr>
          <w:p w14:paraId="442206C6" w14:textId="77777777" w:rsidR="00A413AB" w:rsidRPr="00820B02" w:rsidRDefault="00A413AB" w:rsidP="00A46C63">
            <w:pPr>
              <w:jc w:val="center"/>
              <w:rPr>
                <w:rFonts w:ascii="Calibri" w:eastAsia="Calibri" w:hAnsi="Calibri" w:cs="Calibri"/>
                <w:b/>
                <w:color w:val="FFFFFF"/>
                <w:sz w:val="22"/>
                <w:szCs w:val="22"/>
              </w:rPr>
            </w:pPr>
            <w:r w:rsidRPr="00820B02">
              <w:rPr>
                <w:rFonts w:ascii="Calibri" w:eastAsia="Calibri" w:hAnsi="Calibri" w:cs="Calibri"/>
                <w:b/>
                <w:color w:val="FFFFFF"/>
                <w:sz w:val="22"/>
                <w:szCs w:val="22"/>
              </w:rPr>
              <w:t>Livrables</w:t>
            </w:r>
          </w:p>
        </w:tc>
        <w:tc>
          <w:tcPr>
            <w:tcW w:w="5812" w:type="dxa"/>
            <w:shd w:val="clear" w:color="auto" w:fill="0F243E"/>
            <w:vAlign w:val="center"/>
          </w:tcPr>
          <w:p w14:paraId="686AA77A" w14:textId="77777777" w:rsidR="00A413AB" w:rsidRPr="00820B02" w:rsidRDefault="00A413AB" w:rsidP="00A46C63">
            <w:pPr>
              <w:rPr>
                <w:rFonts w:ascii="Calibri" w:eastAsia="Calibri" w:hAnsi="Calibri" w:cs="Calibri"/>
                <w:b/>
                <w:color w:val="FFFFFF"/>
                <w:sz w:val="22"/>
                <w:szCs w:val="22"/>
              </w:rPr>
            </w:pPr>
            <w:r w:rsidRPr="00820B02">
              <w:rPr>
                <w:rFonts w:ascii="Calibri" w:eastAsia="Calibri" w:hAnsi="Calibri" w:cs="Calibri"/>
                <w:b/>
                <w:color w:val="FFFFFF"/>
                <w:sz w:val="22"/>
                <w:szCs w:val="22"/>
              </w:rPr>
              <w:t>Intitulé</w:t>
            </w:r>
          </w:p>
        </w:tc>
        <w:tc>
          <w:tcPr>
            <w:tcW w:w="996" w:type="dxa"/>
            <w:shd w:val="clear" w:color="auto" w:fill="0F243E"/>
            <w:vAlign w:val="center"/>
          </w:tcPr>
          <w:p w14:paraId="5EA7F372" w14:textId="77777777" w:rsidR="00A413AB" w:rsidRPr="00820B02" w:rsidRDefault="00A413AB" w:rsidP="00A46C63">
            <w:pPr>
              <w:jc w:val="center"/>
              <w:rPr>
                <w:rFonts w:ascii="Calibri" w:eastAsia="Calibri" w:hAnsi="Calibri" w:cs="Calibri"/>
                <w:b/>
                <w:color w:val="FFFFFF"/>
                <w:sz w:val="22"/>
                <w:szCs w:val="22"/>
              </w:rPr>
            </w:pPr>
            <w:r w:rsidRPr="00820B02">
              <w:rPr>
                <w:rFonts w:ascii="Calibri" w:eastAsia="Calibri" w:hAnsi="Calibri" w:cs="Calibri"/>
                <w:b/>
                <w:color w:val="FFFFFF"/>
                <w:sz w:val="22"/>
                <w:szCs w:val="22"/>
              </w:rPr>
              <w:t>Délais</w:t>
            </w:r>
          </w:p>
        </w:tc>
        <w:tc>
          <w:tcPr>
            <w:tcW w:w="1279" w:type="dxa"/>
            <w:shd w:val="clear" w:color="auto" w:fill="0F243E"/>
            <w:vAlign w:val="center"/>
          </w:tcPr>
          <w:p w14:paraId="6C334D7A" w14:textId="77777777" w:rsidR="00A413AB" w:rsidRPr="00820B02" w:rsidRDefault="00A413AB" w:rsidP="00A46C63">
            <w:pPr>
              <w:jc w:val="center"/>
              <w:rPr>
                <w:rFonts w:ascii="Calibri" w:eastAsia="Calibri" w:hAnsi="Calibri" w:cs="Calibri"/>
                <w:b/>
                <w:color w:val="FFFFFF"/>
                <w:sz w:val="22"/>
                <w:szCs w:val="22"/>
              </w:rPr>
            </w:pPr>
            <w:r w:rsidRPr="00820B02">
              <w:rPr>
                <w:rFonts w:ascii="Calibri" w:eastAsia="Calibri" w:hAnsi="Calibri" w:cs="Calibri"/>
                <w:b/>
                <w:color w:val="FFFFFF"/>
                <w:sz w:val="22"/>
                <w:szCs w:val="22"/>
              </w:rPr>
              <w:t>Échéance</w:t>
            </w:r>
            <w:r>
              <w:rPr>
                <w:rFonts w:ascii="Calibri" w:eastAsia="Calibri" w:hAnsi="Calibri" w:cs="Calibri"/>
                <w:b/>
                <w:color w:val="FFFFFF"/>
                <w:sz w:val="22"/>
                <w:szCs w:val="22"/>
              </w:rPr>
              <w:t>s</w:t>
            </w:r>
          </w:p>
        </w:tc>
      </w:tr>
      <w:tr w:rsidR="00A413AB" w:rsidRPr="00820B02" w14:paraId="319FF02E" w14:textId="77777777" w:rsidTr="00A46C63">
        <w:trPr>
          <w:trHeight w:val="320"/>
        </w:trPr>
        <w:tc>
          <w:tcPr>
            <w:tcW w:w="6931" w:type="dxa"/>
            <w:gridSpan w:val="2"/>
            <w:shd w:val="clear" w:color="auto" w:fill="auto"/>
            <w:vAlign w:val="center"/>
          </w:tcPr>
          <w:p w14:paraId="61DB5D03" w14:textId="77777777" w:rsidR="00A413AB" w:rsidRPr="00576EA5" w:rsidRDefault="00A413AB" w:rsidP="00A46C63">
            <w:pPr>
              <w:rPr>
                <w:rFonts w:ascii="Calibri" w:eastAsia="Calibri" w:hAnsi="Calibri" w:cs="Calibri"/>
                <w:color w:val="000000"/>
                <w:sz w:val="22"/>
                <w:szCs w:val="22"/>
              </w:rPr>
            </w:pPr>
            <w:r w:rsidRPr="00576EA5">
              <w:rPr>
                <w:rFonts w:ascii="Calibri" w:eastAsia="Calibri" w:hAnsi="Calibri" w:cs="Calibri"/>
                <w:color w:val="000000"/>
                <w:sz w:val="22"/>
                <w:szCs w:val="22"/>
              </w:rPr>
              <w:t xml:space="preserve">L1. </w:t>
            </w:r>
            <w:r w:rsidRPr="00576EA5">
              <w:rPr>
                <w:rFonts w:ascii="Calibri" w:eastAsia="Calibri" w:hAnsi="Calibri" w:cs="Calibri"/>
                <w:sz w:val="22"/>
                <w:szCs w:val="22"/>
              </w:rPr>
              <w:t xml:space="preserve">Élaboration d’une </w:t>
            </w:r>
            <w:r w:rsidRPr="00576EA5">
              <w:rPr>
                <w:rFonts w:ascii="Calibri" w:eastAsia="Calibri" w:hAnsi="Calibri" w:cs="Calibri"/>
                <w:b/>
                <w:bCs/>
                <w:sz w:val="22"/>
                <w:szCs w:val="22"/>
              </w:rPr>
              <w:t>fiche technique d’accompagnement pour le </w:t>
            </w:r>
            <w:r w:rsidRPr="00576EA5">
              <w:rPr>
                <w:rFonts w:asciiTheme="minorHAnsi" w:hAnsiTheme="minorHAnsi" w:cstheme="minorHAnsi"/>
                <w:b/>
                <w:bCs/>
                <w:sz w:val="22"/>
                <w:szCs w:val="22"/>
              </w:rPr>
              <w:t>She'BlueHack</w:t>
            </w:r>
          </w:p>
        </w:tc>
        <w:tc>
          <w:tcPr>
            <w:tcW w:w="996" w:type="dxa"/>
            <w:vAlign w:val="center"/>
          </w:tcPr>
          <w:p w14:paraId="378C31BA" w14:textId="77777777" w:rsidR="00A413AB" w:rsidRPr="00CE56C4" w:rsidRDefault="00A413AB" w:rsidP="00A46C63">
            <w:pPr>
              <w:jc w:val="center"/>
              <w:rPr>
                <w:rFonts w:ascii="Calibri" w:eastAsia="Calibri" w:hAnsi="Calibri" w:cs="Calibri"/>
                <w:bCs/>
                <w:color w:val="000000" w:themeColor="text1"/>
                <w:sz w:val="22"/>
                <w:szCs w:val="22"/>
              </w:rPr>
            </w:pPr>
            <w:r>
              <w:rPr>
                <w:rFonts w:ascii="Calibri" w:eastAsia="Calibri" w:hAnsi="Calibri" w:cs="Calibri"/>
                <w:bCs/>
                <w:color w:val="000000" w:themeColor="text1"/>
                <w:sz w:val="22"/>
                <w:szCs w:val="22"/>
              </w:rPr>
              <w:t>05</w:t>
            </w:r>
            <w:r w:rsidRPr="00CE56C4">
              <w:rPr>
                <w:rFonts w:ascii="Calibri" w:eastAsia="Calibri" w:hAnsi="Calibri" w:cs="Calibri"/>
                <w:bCs/>
                <w:color w:val="000000" w:themeColor="text1"/>
                <w:sz w:val="22"/>
                <w:szCs w:val="22"/>
              </w:rPr>
              <w:t xml:space="preserve"> jr</w:t>
            </w:r>
            <w:r>
              <w:rPr>
                <w:rFonts w:ascii="Calibri" w:eastAsia="Calibri" w:hAnsi="Calibri" w:cs="Calibri"/>
                <w:bCs/>
                <w:color w:val="000000" w:themeColor="text1"/>
                <w:sz w:val="22"/>
                <w:szCs w:val="22"/>
              </w:rPr>
              <w:t>s</w:t>
            </w:r>
          </w:p>
        </w:tc>
        <w:tc>
          <w:tcPr>
            <w:tcW w:w="1279" w:type="dxa"/>
            <w:shd w:val="clear" w:color="auto" w:fill="auto"/>
            <w:vAlign w:val="center"/>
          </w:tcPr>
          <w:p w14:paraId="185C8D28" w14:textId="77777777" w:rsidR="00A413AB" w:rsidRPr="00CE56C4" w:rsidRDefault="00A413AB" w:rsidP="00A46C63">
            <w:pPr>
              <w:jc w:val="center"/>
              <w:rPr>
                <w:rFonts w:ascii="Calibri" w:eastAsia="Calibri" w:hAnsi="Calibri" w:cs="Calibri"/>
                <w:bCs/>
                <w:color w:val="000000" w:themeColor="text1"/>
                <w:sz w:val="22"/>
                <w:szCs w:val="22"/>
              </w:rPr>
            </w:pPr>
            <w:r>
              <w:rPr>
                <w:rFonts w:ascii="Calibri" w:eastAsia="Calibri" w:hAnsi="Calibri" w:cs="Calibri"/>
                <w:bCs/>
                <w:color w:val="000000" w:themeColor="text1"/>
                <w:sz w:val="22"/>
                <w:szCs w:val="22"/>
              </w:rPr>
              <w:t>T0+05j</w:t>
            </w:r>
          </w:p>
        </w:tc>
      </w:tr>
      <w:tr w:rsidR="00A413AB" w:rsidRPr="00820B02" w14:paraId="560B05DE" w14:textId="77777777" w:rsidTr="00A46C63">
        <w:trPr>
          <w:trHeight w:val="320"/>
        </w:trPr>
        <w:tc>
          <w:tcPr>
            <w:tcW w:w="6931" w:type="dxa"/>
            <w:gridSpan w:val="2"/>
            <w:shd w:val="clear" w:color="auto" w:fill="auto"/>
            <w:vAlign w:val="center"/>
          </w:tcPr>
          <w:p w14:paraId="5FCDD479" w14:textId="77777777" w:rsidR="00A413AB" w:rsidRPr="00C51F39" w:rsidRDefault="00A413AB" w:rsidP="00A46C63">
            <w:pPr>
              <w:rPr>
                <w:rFonts w:ascii="Calibri" w:eastAsia="Calibri" w:hAnsi="Calibri" w:cs="Calibri"/>
                <w:i/>
                <w:iCs/>
                <w:color w:val="000000"/>
                <w:sz w:val="22"/>
                <w:szCs w:val="22"/>
              </w:rPr>
            </w:pPr>
            <w:r>
              <w:rPr>
                <w:rFonts w:ascii="Calibri" w:eastAsia="Calibri" w:hAnsi="Calibri" w:cs="Calibri"/>
                <w:color w:val="000000"/>
                <w:sz w:val="22"/>
                <w:szCs w:val="22"/>
              </w:rPr>
              <w:t xml:space="preserve">L2.  </w:t>
            </w:r>
            <w:r>
              <w:rPr>
                <w:rFonts w:ascii="Calibri" w:eastAsia="Calibri" w:hAnsi="Calibri" w:cs="Calibri"/>
                <w:b/>
                <w:bCs/>
                <w:sz w:val="22"/>
                <w:szCs w:val="22"/>
              </w:rPr>
              <w:t>C</w:t>
            </w:r>
            <w:r w:rsidRPr="00690663">
              <w:rPr>
                <w:rFonts w:ascii="Calibri" w:eastAsia="Calibri" w:hAnsi="Calibri" w:cs="Calibri"/>
                <w:b/>
                <w:bCs/>
                <w:sz w:val="22"/>
                <w:szCs w:val="22"/>
              </w:rPr>
              <w:t>ompte rendu</w:t>
            </w:r>
            <w:r w:rsidRPr="00935A42">
              <w:rPr>
                <w:rFonts w:ascii="Calibri" w:eastAsia="Calibri" w:hAnsi="Calibri" w:cs="Calibri"/>
                <w:sz w:val="22"/>
                <w:szCs w:val="22"/>
              </w:rPr>
              <w:t xml:space="preserve"> exhaustif du déroulement du</w:t>
            </w:r>
            <w:r>
              <w:rPr>
                <w:rFonts w:ascii="Calibri" w:eastAsia="Calibri" w:hAnsi="Calibri" w:cs="Calibri"/>
                <w:sz w:val="22"/>
                <w:szCs w:val="22"/>
              </w:rPr>
              <w:t> </w:t>
            </w:r>
            <w:r>
              <w:rPr>
                <w:rFonts w:ascii="Calibri" w:eastAsia="Calibri" w:hAnsi="Calibri" w:cs="Calibri"/>
                <w:b/>
                <w:bCs/>
                <w:i/>
                <w:iCs/>
                <w:sz w:val="22"/>
                <w:szCs w:val="22"/>
              </w:rPr>
              <w:t>She’</w:t>
            </w:r>
            <w:r w:rsidRPr="00277EF1">
              <w:rPr>
                <w:rFonts w:ascii="Calibri" w:eastAsia="Calibri" w:hAnsi="Calibri" w:cs="Calibri"/>
                <w:b/>
                <w:bCs/>
                <w:i/>
                <w:iCs/>
                <w:sz w:val="22"/>
                <w:szCs w:val="22"/>
              </w:rPr>
              <w:t>BlueHack</w:t>
            </w:r>
          </w:p>
        </w:tc>
        <w:tc>
          <w:tcPr>
            <w:tcW w:w="996" w:type="dxa"/>
            <w:vAlign w:val="center"/>
          </w:tcPr>
          <w:p w14:paraId="765D15E6" w14:textId="77777777" w:rsidR="00A413AB" w:rsidRDefault="00A413AB" w:rsidP="00A46C63">
            <w:pPr>
              <w:jc w:val="center"/>
              <w:rPr>
                <w:rFonts w:ascii="Calibri" w:eastAsia="Calibri" w:hAnsi="Calibri" w:cs="Calibri"/>
                <w:bCs/>
                <w:color w:val="000000" w:themeColor="text1"/>
                <w:sz w:val="22"/>
                <w:szCs w:val="22"/>
              </w:rPr>
            </w:pPr>
            <w:r>
              <w:rPr>
                <w:rFonts w:ascii="Calibri" w:eastAsia="Calibri" w:hAnsi="Calibri" w:cs="Calibri"/>
                <w:bCs/>
                <w:color w:val="000000" w:themeColor="text1"/>
                <w:sz w:val="22"/>
                <w:szCs w:val="22"/>
              </w:rPr>
              <w:t>2 mois</w:t>
            </w:r>
          </w:p>
        </w:tc>
        <w:tc>
          <w:tcPr>
            <w:tcW w:w="1279" w:type="dxa"/>
            <w:shd w:val="clear" w:color="auto" w:fill="auto"/>
            <w:vAlign w:val="center"/>
          </w:tcPr>
          <w:p w14:paraId="6C1E00A1" w14:textId="77777777" w:rsidR="00A413AB" w:rsidRDefault="00A413AB" w:rsidP="00A46C63">
            <w:pPr>
              <w:jc w:val="center"/>
              <w:rPr>
                <w:rFonts w:ascii="Calibri" w:eastAsia="Calibri" w:hAnsi="Calibri" w:cs="Calibri"/>
                <w:bCs/>
                <w:color w:val="000000" w:themeColor="text1"/>
                <w:sz w:val="22"/>
                <w:szCs w:val="22"/>
              </w:rPr>
            </w:pPr>
            <w:r>
              <w:rPr>
                <w:rFonts w:ascii="Calibri" w:eastAsia="Calibri" w:hAnsi="Calibri" w:cs="Calibri"/>
                <w:bCs/>
                <w:color w:val="000000" w:themeColor="text1"/>
                <w:sz w:val="22"/>
                <w:szCs w:val="22"/>
              </w:rPr>
              <w:t>T0+02mois et demi</w:t>
            </w:r>
          </w:p>
        </w:tc>
      </w:tr>
    </w:tbl>
    <w:p w14:paraId="58CBF4B7" w14:textId="77777777" w:rsidR="003B182A" w:rsidRPr="003B182A" w:rsidRDefault="003B182A" w:rsidP="003B182A">
      <w:bookmarkStart w:id="39" w:name="_Toc392669642"/>
      <w:bookmarkStart w:id="40" w:name="_Toc126921992"/>
      <w:bookmarkStart w:id="41" w:name="_Toc392669644"/>
      <w:bookmarkEnd w:id="38"/>
    </w:p>
    <w:p w14:paraId="15B70C93" w14:textId="6EAD3F52"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lastRenderedPageBreak/>
        <w:t>Lieu d’exécution</w:t>
      </w:r>
      <w:bookmarkEnd w:id="41"/>
      <w:bookmarkEnd w:id="42"/>
    </w:p>
    <w:p w14:paraId="211EA0ED" w14:textId="4443395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3B182A">
        <w:rPr>
          <w:rFonts w:asciiTheme="minorHAnsi" w:hAnsiTheme="minorHAnsi" w:cstheme="minorHAnsi"/>
          <w:szCs w:val="22"/>
        </w:rPr>
        <w:t>Algérie.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w:t>
      </w:r>
      <w:r w:rsidR="00E56ECB" w:rsidRPr="00A86E43">
        <w:rPr>
          <w:rFonts w:asciiTheme="minorHAnsi" w:hAnsiTheme="minorHAnsi" w:cstheme="minorHAnsi"/>
          <w:szCs w:val="22"/>
        </w:rPr>
        <w:lastRenderedPageBreak/>
        <w:t xml:space="preserve">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583C4D5B" w:rsidR="00122959" w:rsidRPr="003B182A" w:rsidRDefault="003B182A" w:rsidP="00A1761D">
      <w:pPr>
        <w:pStyle w:val="u"/>
        <w:widowControl w:val="0"/>
        <w:numPr>
          <w:ilvl w:val="0"/>
          <w:numId w:val="13"/>
        </w:numPr>
        <w:rPr>
          <w:rFonts w:asciiTheme="minorHAnsi" w:hAnsiTheme="minorHAnsi" w:cstheme="minorHAnsi"/>
          <w:szCs w:val="22"/>
        </w:rPr>
      </w:pPr>
      <w:r w:rsidRPr="003B182A">
        <w:rPr>
          <w:rFonts w:asciiTheme="minorHAnsi" w:hAnsiTheme="minorHAnsi" w:cstheme="minorHAnsi"/>
          <w:szCs w:val="22"/>
        </w:rPr>
        <w:t>Présentation du Programme</w:t>
      </w:r>
    </w:p>
    <w:p w14:paraId="332CA3C0" w14:textId="561C78E8" w:rsidR="00122959" w:rsidRPr="003B182A" w:rsidRDefault="003B182A" w:rsidP="00A1761D">
      <w:pPr>
        <w:pStyle w:val="u"/>
        <w:widowControl w:val="0"/>
        <w:numPr>
          <w:ilvl w:val="0"/>
          <w:numId w:val="13"/>
        </w:numPr>
        <w:rPr>
          <w:rFonts w:asciiTheme="minorHAnsi" w:hAnsiTheme="minorHAnsi" w:cstheme="minorHAnsi"/>
          <w:szCs w:val="22"/>
        </w:rPr>
      </w:pPr>
      <w:r w:rsidRPr="003B182A">
        <w:rPr>
          <w:rFonts w:asciiTheme="minorHAnsi" w:hAnsiTheme="minorHAnsi" w:cstheme="minorHAnsi"/>
          <w:szCs w:val="22"/>
        </w:rPr>
        <w:t>Travaux valorisations/transformations</w:t>
      </w:r>
      <w:r w:rsidR="004E68F7">
        <w:rPr>
          <w:rFonts w:asciiTheme="minorHAnsi" w:hAnsiTheme="minorHAnsi" w:cstheme="minorHAnsi"/>
          <w:szCs w:val="22"/>
        </w:rPr>
        <w:t xml:space="preserve"> après attribution du contrat.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DF1276E" w:rsidR="00D07897" w:rsidRPr="004E68F7" w:rsidRDefault="00A413AB"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Jennifer Jones Chapet</w:t>
            </w:r>
          </w:p>
          <w:p w14:paraId="38DD0932" w14:textId="0337FCA9" w:rsidR="00D07897" w:rsidRPr="004E68F7" w:rsidRDefault="00A413AB"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lastRenderedPageBreak/>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6B1A219" w:rsidR="009766DB" w:rsidRPr="004E68F7" w:rsidRDefault="009766DB" w:rsidP="0089576F">
      <w:pPr>
        <w:pStyle w:val="u"/>
        <w:widowControl w:val="0"/>
        <w:numPr>
          <w:ilvl w:val="0"/>
          <w:numId w:val="51"/>
        </w:numPr>
        <w:spacing w:before="120"/>
        <w:rPr>
          <w:rFonts w:asciiTheme="minorHAnsi" w:hAnsiTheme="minorHAnsi" w:cs="Arial"/>
          <w:szCs w:val="22"/>
        </w:rPr>
      </w:pPr>
      <w:r w:rsidRPr="004E68F7">
        <w:rPr>
          <w:rFonts w:asciiTheme="minorHAnsi" w:hAnsiTheme="minorHAnsi" w:cs="Arial"/>
          <w:szCs w:val="22"/>
        </w:rPr>
        <w:t>La mise à jour d’éléments techniques (précisions sur les livrables</w:t>
      </w:r>
      <w:r w:rsidR="004E68F7" w:rsidRPr="004E68F7">
        <w:rPr>
          <w:rFonts w:asciiTheme="minorHAnsi" w:hAnsiTheme="minorHAnsi" w:cs="Arial"/>
          <w:szCs w:val="22"/>
        </w:rPr>
        <w:t>,</w:t>
      </w:r>
      <w:r w:rsidRPr="004E68F7">
        <w:rPr>
          <w:rFonts w:asciiTheme="minorHAnsi" w:hAnsiTheme="minorHAnsi" w:cs="Arial"/>
          <w:szCs w:val="22"/>
        </w:rPr>
        <w:t xml:space="preserve"> évolution </w:t>
      </w:r>
      <w:r w:rsidR="004E68F7" w:rsidRPr="004E68F7">
        <w:rPr>
          <w:rFonts w:asciiTheme="minorHAnsi" w:hAnsiTheme="minorHAnsi" w:cs="Arial"/>
          <w:szCs w:val="22"/>
        </w:rPr>
        <w:t>de l’étude</w:t>
      </w:r>
      <w:r w:rsidRPr="004E68F7">
        <w:rPr>
          <w:rFonts w:asciiTheme="minorHAnsi" w:hAnsiTheme="minorHAnsi" w:cs="Arial"/>
          <w:szCs w:val="22"/>
        </w:rPr>
        <w:t>…).</w:t>
      </w:r>
    </w:p>
    <w:p w14:paraId="2AC74079" w14:textId="74840B02"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w:t>
      </w:r>
      <w:r w:rsidR="00047F71" w:rsidRPr="00047F71">
        <w:rPr>
          <w:rFonts w:asciiTheme="minorHAnsi" w:hAnsiTheme="minorHAnsi" w:cs="Arial"/>
          <w:szCs w:val="22"/>
        </w:rPr>
        <w:t>par tout moyen défini par EXPERTISE FRANCE et permettant de garantir la traçabilité des échanges</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32CD4477" w14:textId="0ED0281B" w:rsidR="00783DE8" w:rsidRPr="00A86E43" w:rsidRDefault="00197CF8" w:rsidP="004E68F7">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lastRenderedPageBreak/>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48A6E687" w:rsidR="0000635E" w:rsidRPr="004E68F7" w:rsidRDefault="0000635E" w:rsidP="00A1761D">
      <w:pPr>
        <w:spacing w:line="240" w:lineRule="auto"/>
        <w:ind w:left="567"/>
        <w:jc w:val="both"/>
        <w:rPr>
          <w:rFonts w:asciiTheme="minorHAnsi" w:hAnsiTheme="minorHAnsi" w:cstheme="minorHAnsi"/>
          <w:sz w:val="22"/>
          <w:szCs w:val="22"/>
        </w:rPr>
      </w:pPr>
      <w:r w:rsidRPr="004E68F7">
        <w:rPr>
          <w:rFonts w:asciiTheme="minorHAnsi" w:hAnsiTheme="minorHAnsi" w:cstheme="minorHAnsi"/>
          <w:sz w:val="22"/>
          <w:szCs w:val="22"/>
        </w:rPr>
        <w:t xml:space="preserve">Le présent </w:t>
      </w:r>
      <w:r w:rsidRPr="004E68F7">
        <w:rPr>
          <w:rFonts w:asciiTheme="minorHAnsi" w:hAnsiTheme="minorHAnsi" w:cstheme="minorHAnsi"/>
          <w:smallCaps/>
          <w:sz w:val="22"/>
          <w:szCs w:val="22"/>
        </w:rPr>
        <w:t>contrat</w:t>
      </w:r>
      <w:r w:rsidRPr="004E68F7">
        <w:rPr>
          <w:rFonts w:asciiTheme="minorHAnsi" w:hAnsiTheme="minorHAnsi" w:cstheme="minorHAnsi"/>
          <w:sz w:val="22"/>
          <w:szCs w:val="22"/>
        </w:rPr>
        <w:t xml:space="preserve"> est soumis aux clauses de résiliation telle que défini</w:t>
      </w:r>
      <w:r w:rsidR="00884FDC" w:rsidRPr="004E68F7">
        <w:rPr>
          <w:rFonts w:asciiTheme="minorHAnsi" w:hAnsiTheme="minorHAnsi" w:cstheme="minorHAnsi"/>
          <w:sz w:val="22"/>
          <w:szCs w:val="22"/>
        </w:rPr>
        <w:t xml:space="preserve">es aux articles </w:t>
      </w:r>
      <w:r w:rsidR="004E68F7" w:rsidRPr="004E68F7">
        <w:rPr>
          <w:rFonts w:asciiTheme="minorHAnsi" w:hAnsiTheme="minorHAnsi" w:cstheme="minorHAnsi"/>
          <w:sz w:val="22"/>
          <w:szCs w:val="22"/>
        </w:rPr>
        <w:t>36</w:t>
      </w:r>
      <w:r w:rsidR="00884FDC" w:rsidRPr="004E68F7">
        <w:rPr>
          <w:rFonts w:asciiTheme="minorHAnsi" w:hAnsiTheme="minorHAnsi" w:cstheme="minorHAnsi"/>
          <w:sz w:val="22"/>
          <w:szCs w:val="22"/>
        </w:rPr>
        <w:t xml:space="preserve"> à </w:t>
      </w:r>
      <w:r w:rsidR="004E68F7" w:rsidRPr="004E68F7">
        <w:rPr>
          <w:rFonts w:asciiTheme="minorHAnsi" w:hAnsiTheme="minorHAnsi" w:cstheme="minorHAnsi"/>
          <w:sz w:val="22"/>
          <w:szCs w:val="22"/>
        </w:rPr>
        <w:t>42</w:t>
      </w:r>
      <w:r w:rsidR="00884FDC" w:rsidRPr="004E68F7">
        <w:rPr>
          <w:rFonts w:asciiTheme="minorHAnsi" w:hAnsiTheme="minorHAnsi" w:cstheme="minorHAnsi"/>
          <w:sz w:val="22"/>
          <w:szCs w:val="22"/>
        </w:rPr>
        <w:t xml:space="preserve"> du CCAG</w:t>
      </w:r>
      <w:r w:rsidR="00B813FE" w:rsidRPr="004E68F7">
        <w:rPr>
          <w:rFonts w:asciiTheme="minorHAnsi" w:hAnsiTheme="minorHAnsi" w:cstheme="minorHAnsi"/>
          <w:sz w:val="22"/>
          <w:szCs w:val="22"/>
        </w:rPr>
        <w:t xml:space="preserve"> PI</w:t>
      </w:r>
      <w:r w:rsidRPr="004E68F7">
        <w:rPr>
          <w:rFonts w:asciiTheme="minorHAnsi" w:hAnsiTheme="minorHAnsi" w:cstheme="minorHAnsi"/>
          <w:sz w:val="22"/>
          <w:szCs w:val="22"/>
        </w:rPr>
        <w:t>.</w:t>
      </w:r>
    </w:p>
    <w:p w14:paraId="58C218A4" w14:textId="0294EF46" w:rsidR="00704355" w:rsidRPr="004E68F7" w:rsidRDefault="00704355" w:rsidP="00A1761D">
      <w:pPr>
        <w:spacing w:line="240" w:lineRule="auto"/>
        <w:ind w:left="567"/>
        <w:jc w:val="both"/>
        <w:rPr>
          <w:rFonts w:asciiTheme="minorHAnsi" w:hAnsiTheme="minorHAnsi" w:cstheme="minorHAnsi"/>
          <w:sz w:val="22"/>
          <w:szCs w:val="22"/>
        </w:rPr>
      </w:pPr>
    </w:p>
    <w:p w14:paraId="26AC07CE" w14:textId="132309EC" w:rsidR="00704355" w:rsidRPr="00A86E43" w:rsidRDefault="00912BFE" w:rsidP="00A1761D">
      <w:pPr>
        <w:spacing w:line="240" w:lineRule="auto"/>
        <w:ind w:left="567"/>
        <w:jc w:val="both"/>
        <w:rPr>
          <w:rFonts w:asciiTheme="minorHAnsi" w:hAnsiTheme="minorHAnsi" w:cstheme="minorHAnsi"/>
          <w:sz w:val="22"/>
          <w:szCs w:val="22"/>
        </w:rPr>
      </w:pPr>
      <w:r w:rsidRPr="004E68F7">
        <w:rPr>
          <w:rFonts w:asciiTheme="minorHAnsi" w:hAnsiTheme="minorHAnsi" w:cstheme="minorHAnsi"/>
          <w:sz w:val="22"/>
          <w:szCs w:val="22"/>
        </w:rPr>
        <w:t>Par dérogation à l’article 40 du CCAG PI,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3BBC0A52"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4E68F7">
        <w:rPr>
          <w:rFonts w:asciiTheme="minorHAnsi" w:hAnsiTheme="minorHAnsi" w:cstheme="minorHAnsi"/>
          <w:sz w:val="22"/>
          <w:szCs w:val="22"/>
        </w:rPr>
        <w:t>2</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02EA39B7" w14:textId="7A2BE056"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w:t>
      </w:r>
      <w:r w:rsidRPr="00A86E43">
        <w:rPr>
          <w:rFonts w:asciiTheme="minorHAnsi" w:eastAsia="Times New Roman" w:hAnsiTheme="minorHAnsi" w:cstheme="minorHAnsi"/>
          <w:sz w:val="22"/>
        </w:rPr>
        <w:lastRenderedPageBreak/>
        <w:t xml:space="preserve">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w:t>
      </w:r>
      <w:r w:rsidR="00226D8C">
        <w:rPr>
          <w:rFonts w:ascii="Calibri" w:hAnsi="Calibri"/>
          <w:sz w:val="22"/>
        </w:rPr>
        <w:lastRenderedPageBreak/>
        <w:t xml:space="preserve">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77CDE" w14:textId="77777777" w:rsidR="00ED49D4" w:rsidRDefault="00ED49D4">
      <w:r>
        <w:separator/>
      </w:r>
    </w:p>
  </w:endnote>
  <w:endnote w:type="continuationSeparator" w:id="0">
    <w:p w14:paraId="12A700CD" w14:textId="77777777" w:rsidR="00ED49D4" w:rsidRDefault="00ED4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04C0E" w:rsidRDefault="00004C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004C0E" w:rsidRDefault="00004C0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A8A5900" w:rsidR="00004C0E" w:rsidRDefault="00004C0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7F71">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7F71">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004C0E"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004C0E" w:rsidRDefault="00004C0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0A922B1" w:rsidR="00004C0E" w:rsidRDefault="00004C0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4530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45300">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004C0E" w:rsidRDefault="00004C0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04C0E" w:rsidRDefault="00004C0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04C0E" w:rsidRPr="00065565" w:rsidRDefault="00004C0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004C0E" w:rsidRDefault="00004C0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004C0E" w:rsidRPr="00EE0FDD" w:rsidRDefault="00004C0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49E1E9A" w:rsidR="00004C0E" w:rsidRPr="00FF1F8E" w:rsidRDefault="00004C0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47F71">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47F71">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0C0D8" w14:textId="77777777" w:rsidR="00ED49D4" w:rsidRDefault="00ED49D4">
      <w:r>
        <w:separator/>
      </w:r>
    </w:p>
  </w:footnote>
  <w:footnote w:type="continuationSeparator" w:id="0">
    <w:p w14:paraId="258D895F" w14:textId="77777777" w:rsidR="00ED49D4" w:rsidRDefault="00ED49D4">
      <w:r>
        <w:continuationSeparator/>
      </w:r>
    </w:p>
  </w:footnote>
  <w:footnote w:id="1">
    <w:p w14:paraId="3C25A372" w14:textId="77777777" w:rsidR="00004C0E" w:rsidRPr="005E2563" w:rsidRDefault="00004C0E"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04C0E" w:rsidRPr="00A86E43" w:rsidRDefault="00004C0E"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004C0E" w:rsidRPr="00B21564" w:rsidRDefault="00004C0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04C0E" w:rsidRPr="00A86E43" w:rsidRDefault="00004C0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04C0E" w:rsidRDefault="00004C0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04C0E" w:rsidRDefault="00004C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004C0E" w:rsidRPr="00707B69" w:rsidRDefault="00004C0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04C0E" w:rsidRPr="00AC48DD" w:rsidRDefault="00004C0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04C0E" w:rsidRDefault="00004C0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04C0E" w:rsidRPr="00AC48DD" w:rsidRDefault="00004C0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004C0E" w:rsidRDefault="00004C0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04C0E" w:rsidRDefault="00004C0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004C0E" w:rsidRPr="00707B69" w:rsidRDefault="00004C0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04C0E" w:rsidRPr="00AC48DD" w:rsidRDefault="00004C0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04C0E" w:rsidRDefault="00004C0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04C0E" w:rsidRPr="00AC48DD" w:rsidRDefault="00004C0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004C0E" w:rsidRPr="00707B69" w:rsidRDefault="00004C0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04C0E" w:rsidRPr="00AC48DD" w:rsidRDefault="00004C0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04C0E" w:rsidRDefault="00004C0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04C0E" w:rsidRPr="00996FEA" w:rsidRDefault="00004C0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60409FC"/>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310332575">
    <w:abstractNumId w:val="0"/>
  </w:num>
  <w:num w:numId="2" w16cid:durableId="402266354">
    <w:abstractNumId w:val="10"/>
  </w:num>
  <w:num w:numId="3" w16cid:durableId="849374873">
    <w:abstractNumId w:val="7"/>
  </w:num>
  <w:num w:numId="4" w16cid:durableId="1508010937">
    <w:abstractNumId w:val="40"/>
  </w:num>
  <w:num w:numId="5" w16cid:durableId="1872841070">
    <w:abstractNumId w:val="6"/>
  </w:num>
  <w:num w:numId="6" w16cid:durableId="1127553127">
    <w:abstractNumId w:val="46"/>
  </w:num>
  <w:num w:numId="7" w16cid:durableId="354305094">
    <w:abstractNumId w:val="17"/>
  </w:num>
  <w:num w:numId="8" w16cid:durableId="952590036">
    <w:abstractNumId w:val="29"/>
  </w:num>
  <w:num w:numId="9" w16cid:durableId="1043289708">
    <w:abstractNumId w:val="14"/>
  </w:num>
  <w:num w:numId="10" w16cid:durableId="1908758965">
    <w:abstractNumId w:val="20"/>
  </w:num>
  <w:num w:numId="11" w16cid:durableId="184251856">
    <w:abstractNumId w:val="24"/>
  </w:num>
  <w:num w:numId="12" w16cid:durableId="413283601">
    <w:abstractNumId w:val="19"/>
  </w:num>
  <w:num w:numId="13" w16cid:durableId="523902275">
    <w:abstractNumId w:val="45"/>
  </w:num>
  <w:num w:numId="14" w16cid:durableId="1695155560">
    <w:abstractNumId w:val="11"/>
  </w:num>
  <w:num w:numId="15" w16cid:durableId="208104096">
    <w:abstractNumId w:val="49"/>
  </w:num>
  <w:num w:numId="16" w16cid:durableId="1206137669">
    <w:abstractNumId w:val="32"/>
  </w:num>
  <w:num w:numId="17" w16cid:durableId="527334168">
    <w:abstractNumId w:val="54"/>
  </w:num>
  <w:num w:numId="18" w16cid:durableId="1978294952">
    <w:abstractNumId w:val="0"/>
    <w:lvlOverride w:ilvl="0">
      <w:startOverride w:val="1"/>
    </w:lvlOverride>
  </w:num>
  <w:num w:numId="19" w16cid:durableId="942691353">
    <w:abstractNumId w:val="34"/>
  </w:num>
  <w:num w:numId="20" w16cid:durableId="1899705274">
    <w:abstractNumId w:val="1"/>
  </w:num>
  <w:num w:numId="21" w16cid:durableId="252276558">
    <w:abstractNumId w:val="56"/>
  </w:num>
  <w:num w:numId="22" w16cid:durableId="1280525414">
    <w:abstractNumId w:val="55"/>
  </w:num>
  <w:num w:numId="23" w16cid:durableId="979966760">
    <w:abstractNumId w:val="35"/>
  </w:num>
  <w:num w:numId="24" w16cid:durableId="615218839">
    <w:abstractNumId w:val="43"/>
  </w:num>
  <w:num w:numId="25" w16cid:durableId="1766533562">
    <w:abstractNumId w:val="16"/>
  </w:num>
  <w:num w:numId="26" w16cid:durableId="1547254262">
    <w:abstractNumId w:val="33"/>
  </w:num>
  <w:num w:numId="27" w16cid:durableId="1756322741">
    <w:abstractNumId w:val="53"/>
  </w:num>
  <w:num w:numId="28" w16cid:durableId="1137534005">
    <w:abstractNumId w:val="13"/>
  </w:num>
  <w:num w:numId="29" w16cid:durableId="1084835682">
    <w:abstractNumId w:val="10"/>
  </w:num>
  <w:num w:numId="30" w16cid:durableId="164368924">
    <w:abstractNumId w:val="12"/>
  </w:num>
  <w:num w:numId="31" w16cid:durableId="678972499">
    <w:abstractNumId w:val="2"/>
  </w:num>
  <w:num w:numId="32" w16cid:durableId="824325002">
    <w:abstractNumId w:val="21"/>
  </w:num>
  <w:num w:numId="33" w16cid:durableId="603536705">
    <w:abstractNumId w:val="22"/>
  </w:num>
  <w:num w:numId="34" w16cid:durableId="1086149225">
    <w:abstractNumId w:val="26"/>
  </w:num>
  <w:num w:numId="35" w16cid:durableId="585501927">
    <w:abstractNumId w:val="44"/>
  </w:num>
  <w:num w:numId="36" w16cid:durableId="1601907691">
    <w:abstractNumId w:val="18"/>
  </w:num>
  <w:num w:numId="37" w16cid:durableId="503014084">
    <w:abstractNumId w:val="38"/>
  </w:num>
  <w:num w:numId="38" w16cid:durableId="1309743666">
    <w:abstractNumId w:val="4"/>
  </w:num>
  <w:num w:numId="39" w16cid:durableId="757097922">
    <w:abstractNumId w:val="52"/>
  </w:num>
  <w:num w:numId="40" w16cid:durableId="746223219">
    <w:abstractNumId w:val="50"/>
  </w:num>
  <w:num w:numId="41" w16cid:durableId="1816024599">
    <w:abstractNumId w:val="47"/>
  </w:num>
  <w:num w:numId="42" w16cid:durableId="140657060">
    <w:abstractNumId w:val="36"/>
  </w:num>
  <w:num w:numId="43" w16cid:durableId="1438255336">
    <w:abstractNumId w:val="9"/>
  </w:num>
  <w:num w:numId="44" w16cid:durableId="1009483289">
    <w:abstractNumId w:val="41"/>
  </w:num>
  <w:num w:numId="45" w16cid:durableId="1417479273">
    <w:abstractNumId w:val="10"/>
  </w:num>
  <w:num w:numId="46" w16cid:durableId="921059658">
    <w:abstractNumId w:val="10"/>
  </w:num>
  <w:num w:numId="47" w16cid:durableId="187986271">
    <w:abstractNumId w:val="42"/>
  </w:num>
  <w:num w:numId="48" w16cid:durableId="1706248707">
    <w:abstractNumId w:val="3"/>
  </w:num>
  <w:num w:numId="49" w16cid:durableId="481234745">
    <w:abstractNumId w:val="31"/>
  </w:num>
  <w:num w:numId="50" w16cid:durableId="346250838">
    <w:abstractNumId w:val="37"/>
  </w:num>
  <w:num w:numId="51" w16cid:durableId="191573694">
    <w:abstractNumId w:val="15"/>
  </w:num>
  <w:num w:numId="52" w16cid:durableId="142308685">
    <w:abstractNumId w:val="8"/>
  </w:num>
  <w:num w:numId="53" w16cid:durableId="1078333056">
    <w:abstractNumId w:val="27"/>
  </w:num>
  <w:num w:numId="54" w16cid:durableId="1406877074">
    <w:abstractNumId w:val="48"/>
  </w:num>
  <w:num w:numId="55" w16cid:durableId="1038704774">
    <w:abstractNumId w:val="23"/>
  </w:num>
  <w:num w:numId="56" w16cid:durableId="1124419640">
    <w:abstractNumId w:val="28"/>
  </w:num>
  <w:num w:numId="57" w16cid:durableId="1209999780">
    <w:abstractNumId w:val="30"/>
  </w:num>
  <w:num w:numId="58" w16cid:durableId="391583478">
    <w:abstractNumId w:val="23"/>
  </w:num>
  <w:num w:numId="59" w16cid:durableId="653141496">
    <w:abstractNumId w:val="25"/>
  </w:num>
  <w:num w:numId="60" w16cid:durableId="13314968">
    <w:abstractNumId w:val="23"/>
  </w:num>
  <w:num w:numId="61" w16cid:durableId="1481533103">
    <w:abstractNumId w:val="39"/>
  </w:num>
  <w:num w:numId="62" w16cid:durableId="360597108">
    <w:abstractNumId w:val="51"/>
  </w:num>
  <w:num w:numId="63" w16cid:durableId="637875819">
    <w:abstractNumId w:val="5"/>
  </w:num>
  <w:num w:numId="64" w16cid:durableId="507209002">
    <w:abstractNumId w:val="56"/>
  </w:num>
  <w:num w:numId="65" w16cid:durableId="668368116">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4C0E"/>
    <w:rsid w:val="0000635E"/>
    <w:rsid w:val="000243D6"/>
    <w:rsid w:val="00024709"/>
    <w:rsid w:val="0003445A"/>
    <w:rsid w:val="00037915"/>
    <w:rsid w:val="00043222"/>
    <w:rsid w:val="000455A6"/>
    <w:rsid w:val="000458C9"/>
    <w:rsid w:val="000461BD"/>
    <w:rsid w:val="00047F71"/>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6200"/>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3C5E"/>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300"/>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182A"/>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299A"/>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68F7"/>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17A5"/>
    <w:rsid w:val="00540DA7"/>
    <w:rsid w:val="005436FE"/>
    <w:rsid w:val="005468A0"/>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5F7BBE"/>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585C"/>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4C3"/>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0B0A"/>
    <w:rsid w:val="007C42D8"/>
    <w:rsid w:val="007C47E8"/>
    <w:rsid w:val="007D3A12"/>
    <w:rsid w:val="007E01AA"/>
    <w:rsid w:val="007E0340"/>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3AB"/>
    <w:rsid w:val="00A41F8A"/>
    <w:rsid w:val="00A50B8E"/>
    <w:rsid w:val="00A53B86"/>
    <w:rsid w:val="00A544EF"/>
    <w:rsid w:val="00A57D85"/>
    <w:rsid w:val="00A630E1"/>
    <w:rsid w:val="00A65758"/>
    <w:rsid w:val="00A67C9E"/>
    <w:rsid w:val="00A70C1C"/>
    <w:rsid w:val="00A718E2"/>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A04"/>
    <w:rsid w:val="00C05CC0"/>
    <w:rsid w:val="00C136A7"/>
    <w:rsid w:val="00C13716"/>
    <w:rsid w:val="00C162E1"/>
    <w:rsid w:val="00C20435"/>
    <w:rsid w:val="00C21011"/>
    <w:rsid w:val="00C2145A"/>
    <w:rsid w:val="00C249E5"/>
    <w:rsid w:val="00C25BF9"/>
    <w:rsid w:val="00C27993"/>
    <w:rsid w:val="00C32092"/>
    <w:rsid w:val="00C3308A"/>
    <w:rsid w:val="00C34D26"/>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07A76"/>
    <w:rsid w:val="00D10387"/>
    <w:rsid w:val="00D1129B"/>
    <w:rsid w:val="00D11F49"/>
    <w:rsid w:val="00D127A4"/>
    <w:rsid w:val="00D143FE"/>
    <w:rsid w:val="00D23E07"/>
    <w:rsid w:val="00D25794"/>
    <w:rsid w:val="00D26361"/>
    <w:rsid w:val="00D3064E"/>
    <w:rsid w:val="00D307D0"/>
    <w:rsid w:val="00D3292F"/>
    <w:rsid w:val="00D3650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3F0"/>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4EAE"/>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6C90"/>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49D4"/>
    <w:rsid w:val="00ED6301"/>
    <w:rsid w:val="00EE1C0C"/>
    <w:rsid w:val="00EF1BFA"/>
    <w:rsid w:val="00EF3027"/>
    <w:rsid w:val="00EF395A"/>
    <w:rsid w:val="00EF3F15"/>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F3C3C-E91F-4074-B784-D3943B8E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16</TotalTime>
  <Pages>21</Pages>
  <Words>6905</Words>
  <Characters>37979</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44795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8</cp:revision>
  <cp:lastPrinted>2014-11-19T14:39:00Z</cp:lastPrinted>
  <dcterms:created xsi:type="dcterms:W3CDTF">2024-10-24T12:58:00Z</dcterms:created>
  <dcterms:modified xsi:type="dcterms:W3CDTF">2024-12-22T15:05:00Z</dcterms:modified>
</cp:coreProperties>
</file>