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DF" w:rsidRPr="008455DF" w:rsidRDefault="008455DF" w:rsidP="008455DF">
      <w:pPr>
        <w:shd w:val="clear" w:color="auto" w:fill="E7E6E6" w:themeFill="background2"/>
        <w:spacing w:before="240"/>
        <w:jc w:val="center"/>
        <w:rPr>
          <w:b/>
          <w:bCs/>
          <w:sz w:val="28"/>
        </w:rPr>
      </w:pPr>
      <w:bookmarkStart w:id="0" w:name="_Toc303151466"/>
      <w:r w:rsidRPr="008455DF">
        <w:rPr>
          <w:b/>
          <w:bCs/>
          <w:sz w:val="28"/>
        </w:rPr>
        <w:t>ANNEXE 3 A L’ACTE D’ENGAGEMENT</w:t>
      </w:r>
      <w:r>
        <w:rPr>
          <w:b/>
          <w:bCs/>
          <w:sz w:val="28"/>
        </w:rPr>
        <w:t xml:space="preserve"> </w:t>
      </w:r>
      <w:r w:rsidRPr="008455DF">
        <w:rPr>
          <w:b/>
          <w:bCs/>
          <w:sz w:val="28"/>
        </w:rPr>
        <w:t>CONCERNANT LE TAUX D’ESCOMPTE</w:t>
      </w:r>
    </w:p>
    <w:p w:rsidR="008455DF" w:rsidRPr="008455DF" w:rsidRDefault="008455DF" w:rsidP="008455DF">
      <w:pPr>
        <w:spacing w:before="240"/>
        <w:ind w:firstLine="708"/>
        <w:rPr>
          <w:b/>
          <w:bCs/>
        </w:rPr>
      </w:pPr>
      <w:r w:rsidRPr="008455DF">
        <w:rPr>
          <w:b/>
          <w:bCs/>
        </w:rPr>
        <w:t>Mode de règlement – Escomptes</w:t>
      </w:r>
      <w:bookmarkEnd w:id="0"/>
    </w:p>
    <w:p w:rsidR="008455DF" w:rsidRPr="008455DF" w:rsidRDefault="008455DF" w:rsidP="008455DF">
      <w:pPr>
        <w:jc w:val="both"/>
      </w:pPr>
      <w:r w:rsidRPr="008455DF">
        <w:t>Le délai global de paiement ne pourra excéder 50 jours selon les dispositions de l'article R2192-11 du Code de la commande publique.</w:t>
      </w:r>
    </w:p>
    <w:p w:rsidR="008455DF" w:rsidRPr="008455DF" w:rsidRDefault="008455DF" w:rsidP="008455DF">
      <w:pPr>
        <w:jc w:val="both"/>
      </w:pPr>
      <w:r w:rsidRPr="008455DF">
        <w:t>Le point de départ du délai de paiement est la date de réception de la facture par un établissement partie au GHT Somme Littoral Sud.</w:t>
      </w:r>
    </w:p>
    <w:p w:rsidR="008455DF" w:rsidRPr="008455DF" w:rsidRDefault="008455DF" w:rsidP="008455DF">
      <w:pPr>
        <w:jc w:val="both"/>
      </w:pPr>
      <w:r w:rsidRPr="008455DF">
        <w:t>Toutefois, le point de départ du délai global de paiement est la date d’exécution des prestations lorsque celle-ci est postérieure à la date de réception de la demande de paiement (R2192-13 Code de la commande publique).</w:t>
      </w:r>
    </w:p>
    <w:p w:rsidR="008455DF" w:rsidRDefault="008455DF" w:rsidP="008455DF">
      <w:pPr>
        <w:jc w:val="both"/>
        <w:rPr>
          <w:b/>
        </w:rPr>
      </w:pPr>
      <w:r w:rsidRPr="008455DF">
        <w:rPr>
          <w:b/>
        </w:rPr>
        <w:t>Les candidats préciseront dans leur offre financière, les conditions, exprimées sous forme de taux d’escompte, des escomptes éventuels qu’ils sont disposés à appliquer pour des règlements intervenant sous un délai inférieur ou égal à 50 jours calendaires. Plusieurs taux d’escompte pourront être avancés, variables par tranches de délai suivants :</w:t>
      </w:r>
    </w:p>
    <w:p w:rsidR="008455DF" w:rsidRPr="008455DF" w:rsidRDefault="008455DF" w:rsidP="008455DF">
      <w:pPr>
        <w:jc w:val="both"/>
        <w:rPr>
          <w:b/>
        </w:rPr>
      </w:pPr>
    </w:p>
    <w:p w:rsidR="008455DF" w:rsidRDefault="008455DF" w:rsidP="008455DF">
      <w:pPr>
        <w:numPr>
          <w:ilvl w:val="0"/>
          <w:numId w:val="6"/>
        </w:numPr>
        <w:rPr>
          <w:b/>
        </w:rPr>
      </w:pPr>
      <w:r w:rsidRPr="008455DF">
        <w:rPr>
          <w:b/>
        </w:rPr>
        <w:t>Paiement à 40 jours : ……… %</w:t>
      </w:r>
    </w:p>
    <w:p w:rsidR="008455DF" w:rsidRPr="008455DF" w:rsidRDefault="008455DF" w:rsidP="008455DF">
      <w:pPr>
        <w:rPr>
          <w:b/>
        </w:rPr>
      </w:pPr>
    </w:p>
    <w:p w:rsidR="008455DF" w:rsidRDefault="008455DF" w:rsidP="008455DF">
      <w:pPr>
        <w:numPr>
          <w:ilvl w:val="0"/>
          <w:numId w:val="6"/>
        </w:numPr>
        <w:rPr>
          <w:b/>
        </w:rPr>
      </w:pPr>
      <w:r w:rsidRPr="008455DF">
        <w:rPr>
          <w:b/>
        </w:rPr>
        <w:t>Paiement à 30 jours : ……… %</w:t>
      </w:r>
    </w:p>
    <w:p w:rsidR="008455DF" w:rsidRPr="008455DF" w:rsidRDefault="008455DF" w:rsidP="008455DF">
      <w:pPr>
        <w:rPr>
          <w:b/>
        </w:rPr>
      </w:pPr>
    </w:p>
    <w:p w:rsidR="008455DF" w:rsidRPr="008455DF" w:rsidRDefault="008455DF" w:rsidP="008455DF">
      <w:pPr>
        <w:numPr>
          <w:ilvl w:val="0"/>
          <w:numId w:val="6"/>
        </w:numPr>
        <w:rPr>
          <w:b/>
        </w:rPr>
      </w:pPr>
      <w:r w:rsidRPr="008455DF">
        <w:rPr>
          <w:b/>
        </w:rPr>
        <w:t>Paiement à 20 jours : ……… %</w:t>
      </w:r>
    </w:p>
    <w:p w:rsidR="008455DF" w:rsidRDefault="008455DF" w:rsidP="008455DF"/>
    <w:p w:rsidR="008455DF" w:rsidRPr="008455DF" w:rsidRDefault="008455DF" w:rsidP="008455DF">
      <w:r w:rsidRPr="008455DF">
        <w:t>Ces conditions contractuelles, s’appliqueront chaque fois que l’établissement concerné au GHT Somme Littoral Sud honorera les paiements sous le délai susvisé ou plus court. Elles n’emportent pas obligation pour les établissements concernés au GHT Somme Littoral Sud de respecter ce(s) délai(s) dérogatoire(s) même s’il s’y efforcera.</w:t>
      </w:r>
    </w:p>
    <w:p w:rsidR="008455DF" w:rsidRPr="008455DF" w:rsidRDefault="008455DF" w:rsidP="008455DF">
      <w:pPr>
        <w:rPr>
          <w:b/>
          <w:bCs/>
        </w:rPr>
      </w:pPr>
    </w:p>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1878C6" w:rsidRDefault="001878C6">
      <w:bookmarkStart w:id="1" w:name="_GoBack"/>
      <w:bookmarkEnd w:id="1"/>
    </w:p>
    <w:sectPr w:rsidR="001878C6" w:rsidSect="003968D0">
      <w:headerReference w:type="default" r:id="rId7"/>
      <w:footerReference w:type="default" r:id="rId8"/>
      <w:pgSz w:w="11906" w:h="16838" w:code="9"/>
      <w:pgMar w:top="567" w:right="1133" w:bottom="425"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1B" w:rsidRDefault="0072011B" w:rsidP="008455DF">
      <w:pPr>
        <w:spacing w:after="0" w:line="240" w:lineRule="auto"/>
      </w:pPr>
      <w:r>
        <w:separator/>
      </w:r>
    </w:p>
  </w:endnote>
  <w:endnote w:type="continuationSeparator" w:id="0">
    <w:p w:rsidR="0072011B" w:rsidRDefault="0072011B" w:rsidP="0084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351" w:type="dxa"/>
      <w:tblInd w:w="-5" w:type="dxa"/>
      <w:tblCellMar>
        <w:top w:w="57" w:type="dxa"/>
        <w:bottom w:w="57" w:type="dxa"/>
      </w:tblCellMar>
      <w:tblLook w:val="04A0" w:firstRow="1" w:lastRow="0" w:firstColumn="1" w:lastColumn="0" w:noHBand="0" w:noVBand="1"/>
    </w:tblPr>
    <w:tblGrid>
      <w:gridCol w:w="1046"/>
      <w:gridCol w:w="7454"/>
      <w:gridCol w:w="851"/>
    </w:tblGrid>
    <w:tr w:rsidR="008455DF" w:rsidRPr="008455DF" w:rsidTr="008455DF">
      <w:tc>
        <w:tcPr>
          <w:tcW w:w="1046" w:type="dxa"/>
          <w:vAlign w:val="center"/>
        </w:tcPr>
        <w:p w:rsidR="008455DF" w:rsidRPr="008455DF" w:rsidRDefault="00F51FD5" w:rsidP="008455DF">
          <w:pPr>
            <w:widowControl w:val="0"/>
            <w:autoSpaceDE w:val="0"/>
            <w:autoSpaceDN w:val="0"/>
            <w:adjustRightInd w:val="0"/>
            <w:jc w:val="center"/>
            <w:rPr>
              <w:rFonts w:cs="Calibri"/>
              <w:color w:val="000000"/>
              <w:sz w:val="16"/>
              <w:szCs w:val="24"/>
            </w:rPr>
          </w:pPr>
          <w:r>
            <w:rPr>
              <w:rFonts w:cs="Calibri"/>
              <w:color w:val="000000"/>
              <w:sz w:val="16"/>
              <w:szCs w:val="24"/>
            </w:rPr>
            <w:t>Affaire n° 24TE0116</w:t>
          </w:r>
        </w:p>
      </w:tc>
      <w:tc>
        <w:tcPr>
          <w:tcW w:w="7454"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Annexe</w:t>
          </w:r>
          <w:r>
            <w:rPr>
              <w:rFonts w:cs="Calibri"/>
              <w:color w:val="000000"/>
              <w:sz w:val="16"/>
              <w:szCs w:val="24"/>
            </w:rPr>
            <w:t xml:space="preserve"> 3 </w:t>
          </w:r>
          <w:r w:rsidRPr="008455DF">
            <w:rPr>
              <w:rFonts w:cs="Calibri"/>
              <w:color w:val="000000"/>
              <w:sz w:val="16"/>
              <w:szCs w:val="24"/>
            </w:rPr>
            <w:t xml:space="preserve"> – Taux d’escompte</w:t>
          </w:r>
        </w:p>
      </w:tc>
      <w:tc>
        <w:tcPr>
          <w:tcW w:w="851"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 xml:space="preserve">Page </w:t>
          </w:r>
          <w:r w:rsidRPr="008455DF">
            <w:rPr>
              <w:rFonts w:cs="Calibri"/>
              <w:b/>
              <w:bCs/>
              <w:color w:val="000000"/>
              <w:sz w:val="16"/>
              <w:szCs w:val="24"/>
            </w:rPr>
            <w:fldChar w:fldCharType="begin"/>
          </w:r>
          <w:r w:rsidRPr="008455DF">
            <w:rPr>
              <w:rFonts w:cs="Calibri"/>
              <w:b/>
              <w:bCs/>
              <w:color w:val="000000"/>
              <w:sz w:val="16"/>
              <w:szCs w:val="24"/>
            </w:rPr>
            <w:instrText>PAGE  \* Arabic  \* MERGEFORMAT</w:instrText>
          </w:r>
          <w:r w:rsidRPr="008455DF">
            <w:rPr>
              <w:rFonts w:cs="Calibri"/>
              <w:b/>
              <w:bCs/>
              <w:color w:val="000000"/>
              <w:sz w:val="16"/>
              <w:szCs w:val="24"/>
            </w:rPr>
            <w:fldChar w:fldCharType="separate"/>
          </w:r>
          <w:r w:rsidR="00F51FD5">
            <w:rPr>
              <w:rFonts w:cs="Calibri"/>
              <w:b/>
              <w:bCs/>
              <w:noProof/>
              <w:color w:val="000000"/>
              <w:sz w:val="16"/>
              <w:szCs w:val="24"/>
            </w:rPr>
            <w:t>1</w:t>
          </w:r>
          <w:r w:rsidRPr="008455DF">
            <w:rPr>
              <w:rFonts w:cs="Calibri"/>
              <w:b/>
              <w:bCs/>
              <w:color w:val="000000"/>
              <w:sz w:val="16"/>
              <w:szCs w:val="24"/>
            </w:rPr>
            <w:fldChar w:fldCharType="end"/>
          </w:r>
          <w:r w:rsidRPr="008455DF">
            <w:rPr>
              <w:rFonts w:cs="Calibri"/>
              <w:color w:val="000000"/>
              <w:sz w:val="16"/>
              <w:szCs w:val="24"/>
            </w:rPr>
            <w:t xml:space="preserve"> sur </w:t>
          </w:r>
          <w:r w:rsidRPr="008455DF">
            <w:rPr>
              <w:rFonts w:cs="Calibri"/>
              <w:b/>
              <w:bCs/>
              <w:color w:val="000000"/>
              <w:sz w:val="16"/>
              <w:szCs w:val="24"/>
            </w:rPr>
            <w:fldChar w:fldCharType="begin"/>
          </w:r>
          <w:r w:rsidRPr="008455DF">
            <w:rPr>
              <w:rFonts w:cs="Calibri"/>
              <w:b/>
              <w:bCs/>
              <w:color w:val="000000"/>
              <w:sz w:val="16"/>
              <w:szCs w:val="24"/>
            </w:rPr>
            <w:instrText>NUMPAGES  \* Arabic  \* MERGEFORMAT</w:instrText>
          </w:r>
          <w:r w:rsidRPr="008455DF">
            <w:rPr>
              <w:rFonts w:cs="Calibri"/>
              <w:b/>
              <w:bCs/>
              <w:color w:val="000000"/>
              <w:sz w:val="16"/>
              <w:szCs w:val="24"/>
            </w:rPr>
            <w:fldChar w:fldCharType="separate"/>
          </w:r>
          <w:r w:rsidR="00F51FD5">
            <w:rPr>
              <w:rFonts w:cs="Calibri"/>
              <w:b/>
              <w:bCs/>
              <w:noProof/>
              <w:color w:val="000000"/>
              <w:sz w:val="16"/>
              <w:szCs w:val="24"/>
            </w:rPr>
            <w:t>1</w:t>
          </w:r>
          <w:r w:rsidRPr="008455DF">
            <w:rPr>
              <w:rFonts w:cs="Calibri"/>
              <w:b/>
              <w:bCs/>
              <w:color w:val="000000"/>
              <w:sz w:val="16"/>
              <w:szCs w:val="24"/>
            </w:rPr>
            <w:fldChar w:fldCharType="end"/>
          </w:r>
        </w:p>
      </w:tc>
    </w:tr>
  </w:tbl>
  <w:p w:rsidR="009723CD" w:rsidRPr="00EB68D0" w:rsidRDefault="00F51FD5" w:rsidP="00845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1B" w:rsidRDefault="0072011B" w:rsidP="008455DF">
      <w:pPr>
        <w:spacing w:after="0" w:line="240" w:lineRule="auto"/>
      </w:pPr>
      <w:r>
        <w:separator/>
      </w:r>
    </w:p>
  </w:footnote>
  <w:footnote w:type="continuationSeparator" w:id="0">
    <w:p w:rsidR="0072011B" w:rsidRDefault="0072011B" w:rsidP="0084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DF" w:rsidRDefault="008455DF" w:rsidP="008455DF">
    <w:pPr>
      <w:pStyle w:val="En-tte"/>
      <w:jc w:val="center"/>
    </w:pPr>
    <w:r>
      <w:rPr>
        <w:noProof/>
        <w:lang w:eastAsia="fr-FR"/>
      </w:rPr>
      <w:drawing>
        <wp:inline distT="0" distB="0" distL="0" distR="0">
          <wp:extent cx="5940425" cy="49784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940425" cy="497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D4F9F"/>
    <w:multiLevelType w:val="hybridMultilevel"/>
    <w:tmpl w:val="88B2A160"/>
    <w:lvl w:ilvl="0" w:tplc="EBDE2A8E">
      <w:start w:val="1"/>
      <w:numFmt w:val="upperRoman"/>
      <w:lvlText w:val="%1."/>
      <w:lvlJc w:val="left"/>
      <w:pPr>
        <w:ind w:left="720" w:hanging="360"/>
      </w:pPr>
      <w:rPr>
        <w:rFonts w:ascii="Calibri" w:hAnsi="Calibri" w:hint="default"/>
        <w:b/>
        <w:i w:val="0"/>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DA6083"/>
    <w:multiLevelType w:val="multilevel"/>
    <w:tmpl w:val="7BD2A812"/>
    <w:styleLink w:val="PucesGHT"/>
    <w:lvl w:ilvl="0">
      <w:start w:val="1"/>
      <w:numFmt w:val="upperRoman"/>
      <w:lvlText w:val="%1."/>
      <w:lvlJc w:val="left"/>
      <w:pPr>
        <w:ind w:left="1288" w:hanging="360"/>
      </w:pPr>
    </w:lvl>
    <w:lvl w:ilvl="1">
      <w:start w:val="1"/>
      <w:numFmt w:val="decimal"/>
      <w:lvlText w:val="%2."/>
      <w:lvlJc w:val="left"/>
      <w:pPr>
        <w:ind w:left="2008" w:hanging="360"/>
      </w:pPr>
    </w:lvl>
    <w:lvl w:ilvl="2">
      <w:start w:val="1"/>
      <w:numFmt w:val="upperLetter"/>
      <w:lvlText w:val="%3."/>
      <w:lvlJc w:val="right"/>
      <w:pPr>
        <w:ind w:left="2728" w:hanging="180"/>
      </w:pPr>
    </w:lvl>
    <w:lvl w:ilvl="3">
      <w:start w:val="1"/>
      <w:numFmt w:val="lowerLetter"/>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 w15:restartNumberingAfterBreak="0">
    <w:nsid w:val="2B342ED3"/>
    <w:multiLevelType w:val="hybridMultilevel"/>
    <w:tmpl w:val="6B088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84EE2"/>
    <w:multiLevelType w:val="multilevel"/>
    <w:tmpl w:val="16F89D92"/>
    <w:lvl w:ilvl="0">
      <w:start w:val="1"/>
      <w:numFmt w:val="decimal"/>
      <w:pStyle w:val="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5F1859"/>
    <w:multiLevelType w:val="hybridMultilevel"/>
    <w:tmpl w:val="D8C45862"/>
    <w:lvl w:ilvl="0" w:tplc="7D86027C">
      <w:start w:val="1"/>
      <w:numFmt w:val="upperRoman"/>
      <w:pStyle w:val="Titr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1B"/>
    <w:rsid w:val="001878C6"/>
    <w:rsid w:val="001F4248"/>
    <w:rsid w:val="0066219D"/>
    <w:rsid w:val="00703A34"/>
    <w:rsid w:val="0072011B"/>
    <w:rsid w:val="00805183"/>
    <w:rsid w:val="008455DF"/>
    <w:rsid w:val="00E87521"/>
    <w:rsid w:val="00F51F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AEE03"/>
  <w15:chartTrackingRefBased/>
  <w15:docId w15:val="{E1B5757F-DA4A-4D35-AA00-AFD9561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183"/>
    <w:rPr>
      <w:sz w:val="20"/>
    </w:rPr>
  </w:style>
  <w:style w:type="paragraph" w:styleId="Titre1">
    <w:name w:val="heading 1"/>
    <w:basedOn w:val="Normal"/>
    <w:next w:val="Normal"/>
    <w:link w:val="Titre1Car"/>
    <w:autoRedefine/>
    <w:qFormat/>
    <w:rsid w:val="00805183"/>
    <w:pPr>
      <w:keepNext/>
      <w:widowControl w:val="0"/>
      <w:numPr>
        <w:numId w:val="1"/>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outlineLvl w:val="0"/>
    </w:pPr>
    <w:rPr>
      <w:rFonts w:eastAsiaTheme="majorEastAsia" w:cstheme="majorBidi"/>
      <w:b/>
      <w:bCs/>
      <w:kern w:val="32"/>
      <w:szCs w:val="32"/>
    </w:rPr>
  </w:style>
  <w:style w:type="paragraph" w:styleId="Titre2">
    <w:name w:val="heading 2"/>
    <w:basedOn w:val="Normal"/>
    <w:next w:val="Normal"/>
    <w:link w:val="Titre2Car"/>
    <w:autoRedefine/>
    <w:uiPriority w:val="9"/>
    <w:unhideWhenUsed/>
    <w:qFormat/>
    <w:rsid w:val="00805183"/>
    <w:pPr>
      <w:keepNext/>
      <w:keepLines/>
      <w:widowControl w:val="0"/>
      <w:tabs>
        <w:tab w:val="center" w:pos="567"/>
        <w:tab w:val="center" w:pos="851"/>
        <w:tab w:val="center" w:pos="1134"/>
        <w:tab w:val="center" w:pos="2089"/>
        <w:tab w:val="left" w:pos="2500"/>
      </w:tabs>
      <w:autoSpaceDE w:val="0"/>
      <w:autoSpaceDN w:val="0"/>
      <w:adjustRightInd w:val="0"/>
      <w:spacing w:before="120" w:after="120" w:line="240" w:lineRule="auto"/>
      <w:ind w:left="567"/>
      <w:outlineLvl w:val="1"/>
    </w:pPr>
    <w:rPr>
      <w:b/>
      <w:bCs/>
    </w:rPr>
  </w:style>
  <w:style w:type="paragraph" w:styleId="Titre3">
    <w:name w:val="heading 3"/>
    <w:basedOn w:val="Normal"/>
    <w:next w:val="Normal"/>
    <w:link w:val="Titre3Car"/>
    <w:autoRedefine/>
    <w:uiPriority w:val="9"/>
    <w:unhideWhenUsed/>
    <w:qFormat/>
    <w:rsid w:val="00805183"/>
    <w:pPr>
      <w:keepNext/>
      <w:keepLines/>
      <w:widowControl w:val="0"/>
      <w:tabs>
        <w:tab w:val="left" w:pos="851"/>
      </w:tabs>
      <w:autoSpaceDE w:val="0"/>
      <w:autoSpaceDN w:val="0"/>
      <w:adjustRightInd w:val="0"/>
      <w:spacing w:before="120" w:after="120" w:line="240" w:lineRule="auto"/>
      <w:ind w:left="851"/>
      <w:outlineLvl w:val="2"/>
    </w:pPr>
    <w:rPr>
      <w:rFonts w:eastAsiaTheme="majorEastAsia" w:cstheme="majorBidi"/>
      <w:b/>
      <w:bCs/>
      <w:lang w:eastAsia="fr-FR"/>
    </w:rPr>
  </w:style>
  <w:style w:type="paragraph" w:styleId="Titre4">
    <w:name w:val="heading 4"/>
    <w:basedOn w:val="Normal"/>
    <w:next w:val="Normal"/>
    <w:link w:val="Titre4Car"/>
    <w:autoRedefine/>
    <w:uiPriority w:val="9"/>
    <w:unhideWhenUsed/>
    <w:qFormat/>
    <w:rsid w:val="0066219D"/>
    <w:pPr>
      <w:keepNext/>
      <w:keepLines/>
      <w:widowControl w:val="0"/>
      <w:autoSpaceDE w:val="0"/>
      <w:autoSpaceDN w:val="0"/>
      <w:adjustRightInd w:val="0"/>
      <w:spacing w:before="120" w:after="120" w:line="240" w:lineRule="auto"/>
      <w:ind w:left="1418"/>
      <w:outlineLvl w:val="3"/>
    </w:pPr>
    <w:rPr>
      <w:rFonts w:ascii="Book Antiqua" w:eastAsiaTheme="majorEastAsia" w:hAnsi="Book Antiqua" w:cstheme="majorBidi"/>
      <w:b/>
      <w:bCs/>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5183"/>
    <w:rPr>
      <w:rFonts w:eastAsiaTheme="majorEastAsia" w:cstheme="majorBidi"/>
      <w:b/>
      <w:bCs/>
      <w:kern w:val="32"/>
      <w:sz w:val="20"/>
      <w:szCs w:val="32"/>
    </w:rPr>
  </w:style>
  <w:style w:type="character" w:customStyle="1" w:styleId="Titre2Car">
    <w:name w:val="Titre 2 Car"/>
    <w:basedOn w:val="Policepardfaut"/>
    <w:link w:val="Titre2"/>
    <w:uiPriority w:val="9"/>
    <w:rsid w:val="00805183"/>
    <w:rPr>
      <w:b/>
      <w:bCs/>
      <w:sz w:val="20"/>
    </w:rPr>
  </w:style>
  <w:style w:type="character" w:customStyle="1" w:styleId="Titre3Car">
    <w:name w:val="Titre 3 Car"/>
    <w:basedOn w:val="Policepardfaut"/>
    <w:link w:val="Titre3"/>
    <w:uiPriority w:val="9"/>
    <w:rsid w:val="00805183"/>
    <w:rPr>
      <w:rFonts w:eastAsiaTheme="majorEastAsia" w:cstheme="majorBidi"/>
      <w:b/>
      <w:bCs/>
      <w:sz w:val="20"/>
      <w:lang w:eastAsia="fr-FR"/>
    </w:rPr>
  </w:style>
  <w:style w:type="character" w:customStyle="1" w:styleId="Titre4Car">
    <w:name w:val="Titre 4 Car"/>
    <w:basedOn w:val="Policepardfaut"/>
    <w:link w:val="Titre4"/>
    <w:uiPriority w:val="9"/>
    <w:rsid w:val="0066219D"/>
    <w:rPr>
      <w:rFonts w:ascii="Book Antiqua" w:eastAsiaTheme="majorEastAsia" w:hAnsi="Book Antiqua" w:cstheme="majorBidi"/>
      <w:b/>
      <w:bCs/>
      <w:i/>
      <w:iCs/>
      <w:sz w:val="20"/>
      <w:lang w:eastAsia="fr-FR"/>
    </w:rPr>
  </w:style>
  <w:style w:type="paragraph" w:styleId="Sansinterligne">
    <w:name w:val="No Spacing"/>
    <w:autoRedefine/>
    <w:uiPriority w:val="1"/>
    <w:qFormat/>
    <w:rsid w:val="00805183"/>
    <w:pPr>
      <w:spacing w:after="0" w:line="240" w:lineRule="auto"/>
    </w:pPr>
    <w:rPr>
      <w:sz w:val="20"/>
    </w:rPr>
  </w:style>
  <w:style w:type="numbering" w:customStyle="1" w:styleId="PucesGHT">
    <w:name w:val="Puces GHT"/>
    <w:uiPriority w:val="99"/>
    <w:rsid w:val="00805183"/>
    <w:pPr>
      <w:numPr>
        <w:numId w:val="3"/>
      </w:numPr>
    </w:pPr>
  </w:style>
  <w:style w:type="paragraph" w:styleId="Titre">
    <w:name w:val="Title"/>
    <w:basedOn w:val="Normal"/>
    <w:next w:val="Normal"/>
    <w:link w:val="TitreCar"/>
    <w:autoRedefine/>
    <w:uiPriority w:val="10"/>
    <w:qFormat/>
    <w:rsid w:val="001F4248"/>
    <w:pPr>
      <w:widowControl w:val="0"/>
      <w:numPr>
        <w:numId w:val="5"/>
      </w:numPr>
      <w:pBdr>
        <w:top w:val="single" w:sz="4" w:space="1" w:color="44546A" w:themeColor="text2"/>
        <w:left w:val="single" w:sz="4" w:space="4" w:color="44546A" w:themeColor="text2"/>
        <w:bottom w:val="single" w:sz="4" w:space="1" w:color="44546A" w:themeColor="text2"/>
        <w:right w:val="single" w:sz="4" w:space="4" w:color="44546A" w:themeColor="text2"/>
      </w:pBdr>
      <w:autoSpaceDE w:val="0"/>
      <w:autoSpaceDN w:val="0"/>
      <w:adjustRightInd w:val="0"/>
      <w:spacing w:before="120" w:after="120" w:line="240" w:lineRule="auto"/>
      <w:ind w:left="360" w:hanging="360"/>
      <w:contextualSpacing/>
      <w:jc w:val="both"/>
    </w:pPr>
    <w:rPr>
      <w:rFonts w:ascii="Calibri" w:eastAsiaTheme="majorEastAsia" w:hAnsi="Calibri" w:cstheme="majorBidi"/>
      <w:b/>
      <w:caps/>
      <w:spacing w:val="-20"/>
      <w:kern w:val="28"/>
      <w:sz w:val="32"/>
      <w:szCs w:val="56"/>
    </w:rPr>
  </w:style>
  <w:style w:type="character" w:customStyle="1" w:styleId="TitreCar">
    <w:name w:val="Titre Car"/>
    <w:basedOn w:val="Policepardfaut"/>
    <w:link w:val="Titre"/>
    <w:uiPriority w:val="10"/>
    <w:rsid w:val="001F4248"/>
    <w:rPr>
      <w:rFonts w:ascii="Calibri" w:eastAsiaTheme="majorEastAsia" w:hAnsi="Calibri" w:cstheme="majorBidi"/>
      <w:b/>
      <w:caps/>
      <w:spacing w:val="-20"/>
      <w:kern w:val="28"/>
      <w:sz w:val="32"/>
      <w:szCs w:val="56"/>
    </w:rPr>
  </w:style>
  <w:style w:type="paragraph" w:styleId="Pieddepage">
    <w:name w:val="footer"/>
    <w:basedOn w:val="Normal"/>
    <w:link w:val="PieddepageCar"/>
    <w:uiPriority w:val="99"/>
    <w:unhideWhenUsed/>
    <w:rsid w:val="00845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5DF"/>
    <w:rPr>
      <w:sz w:val="20"/>
    </w:rPr>
  </w:style>
  <w:style w:type="paragraph" w:styleId="En-tte">
    <w:name w:val="header"/>
    <w:basedOn w:val="Normal"/>
    <w:link w:val="En-tteCar"/>
    <w:uiPriority w:val="99"/>
    <w:unhideWhenUsed/>
    <w:rsid w:val="008455DF"/>
    <w:pPr>
      <w:tabs>
        <w:tab w:val="center" w:pos="4536"/>
        <w:tab w:val="right" w:pos="9072"/>
      </w:tabs>
      <w:spacing w:after="0" w:line="240" w:lineRule="auto"/>
    </w:pPr>
  </w:style>
  <w:style w:type="character" w:customStyle="1" w:styleId="En-tteCar">
    <w:name w:val="En-tête Car"/>
    <w:basedOn w:val="Policepardfaut"/>
    <w:link w:val="En-tte"/>
    <w:uiPriority w:val="99"/>
    <w:rsid w:val="008455DF"/>
    <w:rPr>
      <w:sz w:val="20"/>
    </w:rPr>
  </w:style>
  <w:style w:type="paragraph" w:styleId="Paragraphedeliste">
    <w:name w:val="List Paragraph"/>
    <w:basedOn w:val="Normal"/>
    <w:uiPriority w:val="34"/>
    <w:qFormat/>
    <w:rsid w:val="008455DF"/>
    <w:pPr>
      <w:ind w:left="720"/>
      <w:contextualSpacing/>
    </w:pPr>
  </w:style>
  <w:style w:type="table" w:customStyle="1" w:styleId="Grilledutableau1">
    <w:name w:val="Grille du tableau1"/>
    <w:basedOn w:val="TableauNormal"/>
    <w:next w:val="Grilledutableau"/>
    <w:uiPriority w:val="39"/>
    <w:rsid w:val="008455DF"/>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RECTION%20DES%20ACHATS$\09.SN\5%20Outils\01.3%20Annexe%203%20AE%20-%20Taux%20d'escomp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01.3 Annexe 3 AE - Taux d'escompte</Template>
  <TotalTime>0</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3</cp:revision>
  <dcterms:created xsi:type="dcterms:W3CDTF">2024-12-18T15:26:00Z</dcterms:created>
  <dcterms:modified xsi:type="dcterms:W3CDTF">2024-12-18T15:26:00Z</dcterms:modified>
</cp:coreProperties>
</file>