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487B7CD0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TECHNIQUE</w:t>
      </w:r>
    </w:p>
    <w:p w14:paraId="1B5CD83C" w14:textId="77777777" w:rsidR="00497531" w:rsidRPr="00497531" w:rsidRDefault="00497531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4"/>
          <w:szCs w:val="24"/>
        </w:rPr>
      </w:pPr>
      <w:bookmarkStart w:id="3" w:name="_Hlk13576870"/>
    </w:p>
    <w:p w14:paraId="4368817B" w14:textId="0369748F" w:rsidR="00497531" w:rsidRDefault="00A1436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  <w:r>
        <w:rPr>
          <w:rFonts w:ascii="Arial Gras" w:hAnsi="Arial Gras" w:cs="Arial"/>
          <w:b/>
          <w:caps/>
          <w:sz w:val="28"/>
          <w:szCs w:val="28"/>
        </w:rPr>
        <w:t>UCANSS_24AC71</w:t>
      </w:r>
    </w:p>
    <w:p w14:paraId="19101F59" w14:textId="77777777" w:rsidR="00D9388C" w:rsidRDefault="00D9388C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</w:p>
    <w:p w14:paraId="2E763BBF" w14:textId="6F98319C" w:rsidR="00A14366" w:rsidRDefault="00A1436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  <w:r>
        <w:rPr>
          <w:rFonts w:ascii="Arial Gras" w:hAnsi="Arial Gras" w:cs="Arial"/>
          <w:b/>
          <w:caps/>
          <w:sz w:val="28"/>
          <w:szCs w:val="28"/>
        </w:rPr>
        <w:t>pRESTATIONS DE SERVICES D’IMPRESSION, DE STOCKAGE ET DE LIVRAISON D</w:t>
      </w:r>
      <w:r w:rsidR="00F026AD">
        <w:rPr>
          <w:rFonts w:ascii="Arial Gras" w:hAnsi="Arial Gras" w:cs="Arial"/>
          <w:b/>
          <w:caps/>
          <w:sz w:val="28"/>
          <w:szCs w:val="28"/>
        </w:rPr>
        <w:t xml:space="preserve">ES </w:t>
      </w:r>
      <w:r>
        <w:rPr>
          <w:rFonts w:ascii="Arial Gras" w:hAnsi="Arial Gras" w:cs="Arial"/>
          <w:b/>
          <w:caps/>
          <w:sz w:val="28"/>
          <w:szCs w:val="28"/>
        </w:rPr>
        <w:t>IMPRIMES</w:t>
      </w:r>
      <w:r w:rsidR="00D9388C">
        <w:rPr>
          <w:rFonts w:ascii="Arial Gras" w:hAnsi="Arial Gras" w:cs="Arial"/>
          <w:b/>
          <w:caps/>
          <w:sz w:val="28"/>
          <w:szCs w:val="28"/>
        </w:rPr>
        <w:t xml:space="preserve"> VIERGES SECURISES</w:t>
      </w:r>
    </w:p>
    <w:p w14:paraId="50FFE0DD" w14:textId="0601D9D1" w:rsidR="00A14366" w:rsidRPr="00F875C6" w:rsidRDefault="00A1436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  <w:r>
        <w:rPr>
          <w:rFonts w:ascii="Arial Gras" w:hAnsi="Arial Gras" w:cs="Arial"/>
          <w:b/>
          <w:caps/>
          <w:sz w:val="28"/>
          <w:szCs w:val="28"/>
        </w:rPr>
        <w:t>S3116 « AVIS D’ARRET DE TRAVAIL SECURISE » ET S3118 « AVIS D’ARRET DE TRAVAIL SANS CARENCE SECURISE »</w:t>
      </w:r>
    </w:p>
    <w:bookmarkEnd w:id="3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1E0A9210" w14:textId="77777777" w:rsidR="00F979D9" w:rsidRDefault="00F979D9" w:rsidP="00F979D9">
      <w:pPr>
        <w:rPr>
          <w:rFonts w:ascii="Arial" w:hAnsi="Arial"/>
        </w:rPr>
      </w:pPr>
    </w:p>
    <w:p w14:paraId="2848834A" w14:textId="77777777" w:rsidR="00F979D9" w:rsidRDefault="00F979D9" w:rsidP="00F979D9">
      <w:pPr>
        <w:rPr>
          <w:rFonts w:ascii="Arial" w:hAnsi="Arial"/>
        </w:rPr>
      </w:pPr>
    </w:p>
    <w:p w14:paraId="00E182A2" w14:textId="77777777" w:rsidR="00F979D9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7DC4E776" w14:textId="77777777" w:rsidR="00F979D9" w:rsidRPr="00502C79" w:rsidRDefault="00F979D9" w:rsidP="00F979D9">
      <w:pPr>
        <w:rPr>
          <w:rFonts w:ascii="Arial" w:hAnsi="Arial"/>
        </w:rPr>
      </w:pPr>
    </w:p>
    <w:p w14:paraId="05F0919B" w14:textId="77777777" w:rsidR="00F979D9" w:rsidRPr="00502C79" w:rsidRDefault="00F979D9" w:rsidP="00F979D9">
      <w:pPr>
        <w:rPr>
          <w:rFonts w:ascii="Arial" w:hAnsi="Arial"/>
        </w:rPr>
      </w:pPr>
    </w:p>
    <w:p w14:paraId="790EA4F9" w14:textId="77777777" w:rsidR="00F979D9" w:rsidRPr="00502C79" w:rsidRDefault="00F979D9" w:rsidP="00F979D9">
      <w:pPr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41DBD11A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820683">
      <w:pPr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820683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E65FF9">
      <w:pPr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E65FF9">
      <w:pPr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3A89E53B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en indiquant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679B3B9C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 xml:space="preserve"> : les outils employés dans le cadre de l’exécution des prestations (sur </w:t>
      </w:r>
      <w:r w:rsidR="00BB1DDA">
        <w:rPr>
          <w:rFonts w:ascii="Calibri Light" w:hAnsi="Calibri Light" w:cs="Calibri Light"/>
          <w:b/>
          <w:bCs/>
          <w:color w:val="0070C0"/>
        </w:rPr>
        <w:t>5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 xml:space="preserve">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5227834F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4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4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BB1DDA">
        <w:rPr>
          <w:rFonts w:ascii="Calibri Light" w:hAnsi="Calibri Light" w:cs="Calibri Light"/>
          <w:b/>
          <w:bCs/>
          <w:color w:val="0070C0"/>
        </w:rPr>
        <w:t>1</w:t>
      </w:r>
      <w:r w:rsidR="0013783F">
        <w:rPr>
          <w:rFonts w:ascii="Calibri Light" w:hAnsi="Calibri Light" w:cs="Calibri Light"/>
          <w:b/>
          <w:bCs/>
          <w:color w:val="0070C0"/>
        </w:rPr>
        <w:t>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511D63F6" w14:textId="6E008E32" w:rsidR="002B7A71" w:rsidRPr="00CF6E7B" w:rsidRDefault="00125A4A" w:rsidP="00CF6E7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e</w:t>
      </w:r>
      <w:proofErr w:type="gramEnd"/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test du site de commande en ligne : le candidat devra communiquer dans son offre un accès en test pour l’UCANSS et la CNAM qui permettra à l’acheteur de vérifier la sécurisation du site (fournir un </w:t>
      </w:r>
      <w:r w:rsidR="00BB1DDA">
        <w:rPr>
          <w:rFonts w:asciiTheme="majorHAnsi" w:eastAsia="Times New Roman" w:hAnsiTheme="majorHAnsi" w:cstheme="majorHAnsi"/>
          <w:bCs/>
          <w:lang w:eastAsia="fr-FR"/>
        </w:rPr>
        <w:t>Plan d’Assurance Sécurité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du site de commande en ligne) et de valider la concordance avec le C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77CEDC09" w14:textId="67FD113D" w:rsidR="00820683" w:rsidRPr="00820683" w:rsidRDefault="00B55444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e</w:t>
      </w:r>
      <w:proofErr w:type="gramEnd"/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planning de mise en place du site de commande en </w:t>
      </w:r>
      <w:r w:rsidR="00820683" w:rsidRPr="004719AC">
        <w:rPr>
          <w:rFonts w:asciiTheme="majorHAnsi" w:eastAsia="Times New Roman" w:hAnsiTheme="majorHAnsi" w:cstheme="majorHAnsi"/>
          <w:bCs/>
          <w:lang w:eastAsia="fr-FR"/>
        </w:rPr>
        <w:t>fonction</w:t>
      </w:r>
      <w:r w:rsidR="008C2071" w:rsidRPr="004719AC">
        <w:rPr>
          <w:rFonts w:asciiTheme="majorHAnsi" w:eastAsia="Times New Roman" w:hAnsiTheme="majorHAnsi" w:cstheme="majorHAnsi"/>
          <w:bCs/>
          <w:lang w:eastAsia="fr-FR"/>
        </w:rPr>
        <w:t xml:space="preserve"> des </w:t>
      </w:r>
      <w:r w:rsidR="004719AC" w:rsidRPr="004719AC">
        <w:rPr>
          <w:rFonts w:asciiTheme="majorHAnsi" w:eastAsia="Times New Roman" w:hAnsiTheme="majorHAnsi" w:cstheme="majorHAnsi"/>
          <w:bCs/>
          <w:lang w:eastAsia="fr-FR"/>
        </w:rPr>
        <w:t>stipulations</w:t>
      </w:r>
      <w:r w:rsidR="004719AC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 w:rsidR="004719AC">
        <w:rPr>
          <w:rFonts w:asciiTheme="majorHAnsi" w:eastAsia="Times New Roman" w:hAnsiTheme="majorHAnsi" w:cstheme="majorHAnsi"/>
          <w:bCs/>
          <w:lang w:eastAsia="fr-FR"/>
        </w:rPr>
        <w:t>u</w:t>
      </w:r>
      <w:r w:rsidR="008E200E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735BBE"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DC3151" w14:textId="40BF7E2D" w:rsidR="00820683" w:rsidRPr="00820683" w:rsidRDefault="008C2071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es</w:t>
      </w:r>
      <w:proofErr w:type="gramEnd"/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délais de résolution des pannes mineures/majeures du site de commande en ligne </w:t>
      </w:r>
      <w:r w:rsidR="008E200E"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3160E908" w14:textId="24A2113B" w:rsidR="00820683" w:rsidRDefault="008E200E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a</w:t>
      </w:r>
      <w:proofErr w:type="gramEnd"/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 w:rsidR="002B7115"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0EB99783" w14:textId="74B358BC" w:rsidR="002B7115" w:rsidRPr="00820683" w:rsidRDefault="002B7115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le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traitement des statistiques</w:t>
      </w:r>
      <w:r w:rsidR="00755753">
        <w:rPr>
          <w:rFonts w:asciiTheme="majorHAnsi" w:eastAsia="Times New Roman" w:hAnsiTheme="majorHAnsi" w:cstheme="majorHAnsi"/>
          <w:bCs/>
          <w:lang w:eastAsia="fr-FR"/>
        </w:rPr>
        <w:t> : la facilité d’</w:t>
      </w:r>
      <w:r w:rsidR="00347C45">
        <w:rPr>
          <w:rFonts w:asciiTheme="majorHAnsi" w:eastAsia="Times New Roman" w:hAnsiTheme="majorHAnsi" w:cstheme="majorHAnsi"/>
          <w:bCs/>
          <w:lang w:eastAsia="fr-FR"/>
        </w:rPr>
        <w:t>extraction</w:t>
      </w:r>
      <w:r w:rsidR="00755753">
        <w:rPr>
          <w:rFonts w:asciiTheme="majorHAnsi" w:eastAsia="Times New Roman" w:hAnsiTheme="majorHAnsi" w:cstheme="majorHAnsi"/>
          <w:bCs/>
          <w:lang w:eastAsia="fr-FR"/>
        </w:rPr>
        <w:t xml:space="preserve"> et respect du format </w:t>
      </w:r>
      <w:r w:rsidR="00347C45">
        <w:rPr>
          <w:rFonts w:asciiTheme="majorHAnsi" w:eastAsia="Times New Roman" w:hAnsiTheme="majorHAnsi" w:cstheme="majorHAnsi"/>
          <w:bCs/>
          <w:lang w:eastAsia="fr-FR"/>
        </w:rPr>
        <w:t>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709007A2" w14:textId="77777777" w:rsidR="009A6DF5" w:rsidRDefault="009A6DF5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3CA82B5F" w14:textId="77777777" w:rsidR="009A6DF5" w:rsidRDefault="009A6DF5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650F7153" w14:textId="77777777" w:rsidR="009A6DF5" w:rsidRDefault="009A6DF5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F345760" w:rsidR="002B7A71" w:rsidRPr="007C1A30" w:rsidRDefault="00BB1DDA" w:rsidP="00347C45">
      <w:pPr>
        <w:jc w:val="both"/>
        <w:rPr>
          <w:rFonts w:ascii="Calibri Light" w:hAnsi="Calibri Light" w:cs="Calibri Light"/>
          <w:b/>
          <w:bCs/>
          <w:color w:val="0070C0"/>
        </w:rPr>
      </w:pPr>
      <w:r w:rsidRPr="007C1A30">
        <w:rPr>
          <w:rFonts w:ascii="Calibri Light" w:hAnsi="Calibri Light" w:cs="Calibri Light"/>
          <w:b/>
          <w:bCs/>
          <w:color w:val="0070C0"/>
        </w:rPr>
        <w:t xml:space="preserve">Sous-critère 5 : </w:t>
      </w:r>
      <w:r w:rsidR="007C1A30" w:rsidRPr="007C1A30">
        <w:rPr>
          <w:rFonts w:ascii="Calibri Light" w:hAnsi="Calibri Light" w:cs="Calibri Light"/>
          <w:b/>
          <w:bCs/>
          <w:color w:val="0070C0"/>
        </w:rPr>
        <w:t>les modalités mises en œuvre par le candidat en vue de la s</w:t>
      </w:r>
      <w:r w:rsidRPr="007C1A30">
        <w:rPr>
          <w:rFonts w:ascii="Calibri Light" w:hAnsi="Calibri Light" w:cs="Calibri Light"/>
          <w:b/>
          <w:bCs/>
          <w:color w:val="0070C0"/>
        </w:rPr>
        <w:t>écurisation de</w:t>
      </w:r>
      <w:r w:rsidR="00D9388C" w:rsidRPr="007C1A30">
        <w:rPr>
          <w:rFonts w:ascii="Calibri Light" w:hAnsi="Calibri Light" w:cs="Calibri Light"/>
          <w:b/>
          <w:bCs/>
          <w:color w:val="0070C0"/>
        </w:rPr>
        <w:t xml:space="preserve">s </w:t>
      </w:r>
      <w:r w:rsidRPr="007C1A30">
        <w:rPr>
          <w:rFonts w:ascii="Calibri Light" w:hAnsi="Calibri Light" w:cs="Calibri Light"/>
          <w:b/>
          <w:bCs/>
          <w:color w:val="0070C0"/>
        </w:rPr>
        <w:t>imprimé</w:t>
      </w:r>
      <w:r w:rsidR="00D9388C" w:rsidRPr="007C1A30">
        <w:rPr>
          <w:rFonts w:ascii="Calibri Light" w:hAnsi="Calibri Light" w:cs="Calibri Light"/>
          <w:b/>
          <w:bCs/>
          <w:color w:val="0070C0"/>
        </w:rPr>
        <w:t>s</w:t>
      </w:r>
      <w:r w:rsidRPr="007C1A30">
        <w:rPr>
          <w:rFonts w:ascii="Calibri Light" w:hAnsi="Calibri Light" w:cs="Calibri Light"/>
          <w:b/>
          <w:bCs/>
          <w:color w:val="0070C0"/>
        </w:rPr>
        <w:t xml:space="preserve"> (sur 15%)</w:t>
      </w:r>
    </w:p>
    <w:p w14:paraId="6AECA5DF" w14:textId="5541BA10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4719AC">
      <w:pPr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4719AC">
      <w:pPr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4719AC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4719AC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4719AC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4719AC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4719AC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>a</w:t>
      </w:r>
      <w:proofErr w:type="gramEnd"/>
      <w:r w:rsidR="004719AC" w:rsidRPr="00C22C2A">
        <w:rPr>
          <w:rFonts w:ascii="Calibri Light" w:eastAsia="Times New Roman" w:hAnsi="Calibri Light" w:cs="Calibri Light"/>
          <w:bCs/>
          <w:lang w:eastAsia="fr-FR"/>
        </w:rPr>
        <w:t xml:space="preserve"> politique de gestion des déchets (éliminations de déchets toxiques, emballages recyclables, tri sélectif,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C22C2A">
        <w:rPr>
          <w:rFonts w:ascii="Calibri Light" w:eastAsia="Times New Roman" w:hAnsi="Calibri Light" w:cs="Calibri Light"/>
          <w:bCs/>
          <w:lang w:eastAsia="fr-FR"/>
        </w:rPr>
        <w:t>les</w:t>
      </w:r>
      <w:proofErr w:type="gramEnd"/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2E7C01C0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1A61A0">
        <w:rPr>
          <w:rFonts w:ascii="Calibri Light" w:eastAsia="Times New Roman" w:hAnsi="Calibri Light" w:cs="Calibri Light"/>
          <w:bCs/>
          <w:lang w:eastAsia="fr-FR"/>
        </w:rPr>
        <w:t>les</w:t>
      </w:r>
      <w:proofErr w:type="gramEnd"/>
      <w:r w:rsidRPr="001A61A0">
        <w:rPr>
          <w:rFonts w:ascii="Calibri Light" w:eastAsia="Times New Roman" w:hAnsi="Calibri Light" w:cs="Calibri Light"/>
          <w:bCs/>
          <w:lang w:eastAsia="fr-FR"/>
        </w:rPr>
        <w:t xml:space="preserve"> mesures mises en place en termes d’égalité professionnelle femmes-hommes</w:t>
      </w:r>
      <w:r w:rsidR="00A14366">
        <w:rPr>
          <w:rFonts w:ascii="Calibri Light" w:eastAsia="Times New Roman" w:hAnsi="Calibri Light" w:cs="Calibri Light"/>
          <w:bCs/>
          <w:lang w:eastAsia="fr-FR"/>
        </w:rPr>
        <w:t xml:space="preserve"> dans le cadre de l’exécution des prestations</w:t>
      </w:r>
      <w:r w:rsidRPr="001A61A0">
        <w:rPr>
          <w:rFonts w:ascii="Calibri Light" w:eastAsia="Times New Roman" w:hAnsi="Calibri Light" w:cs="Calibri Light"/>
          <w:bCs/>
          <w:lang w:eastAsia="fr-FR"/>
        </w:rPr>
        <w:t>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1A61A0">
        <w:rPr>
          <w:rFonts w:ascii="Calibri Light" w:eastAsia="Times New Roman" w:hAnsi="Calibri Light" w:cs="Calibri Light"/>
          <w:bCs/>
          <w:lang w:eastAsia="fr-FR"/>
        </w:rPr>
        <w:t>l’ensemble</w:t>
      </w:r>
      <w:proofErr w:type="gramEnd"/>
      <w:r w:rsidRPr="001A61A0">
        <w:rPr>
          <w:rFonts w:ascii="Calibri Light" w:eastAsia="Times New Roman" w:hAnsi="Calibri Light" w:cs="Calibri Light"/>
          <w:bCs/>
          <w:lang w:eastAsia="fr-FR"/>
        </w:rPr>
        <w:t xml:space="preserve">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5" w:name="_Hlk173492734"/>
      <w:bookmarkEnd w:id="5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6C33E" w14:textId="77777777" w:rsidR="00754EF3" w:rsidRDefault="00754EF3" w:rsidP="00F979D9">
      <w:r>
        <w:separator/>
      </w:r>
    </w:p>
  </w:endnote>
  <w:endnote w:type="continuationSeparator" w:id="0">
    <w:p w14:paraId="1AFD7406" w14:textId="77777777" w:rsidR="00754EF3" w:rsidRDefault="00754EF3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4FBA4C4E" w:rsidR="00820767" w:rsidRDefault="008108E5">
    <w:pPr>
      <w:pStyle w:val="Pieddepage"/>
    </w:pPr>
    <w:r>
      <w:t xml:space="preserve">CRT </w:t>
    </w:r>
    <w:r w:rsidR="000A1CFB">
      <w:t>UCANSS_</w:t>
    </w:r>
    <w:r w:rsidR="007A1FEC">
      <w:t>2</w:t>
    </w:r>
    <w:r w:rsidR="00497531">
      <w:t>4</w:t>
    </w:r>
    <w:r w:rsidR="008718B1">
      <w:t xml:space="preserve"> </w:t>
    </w:r>
    <w:r>
      <w:t>AC</w:t>
    </w:r>
    <w:r w:rsidR="008718B1">
      <w:t xml:space="preserve"> </w:t>
    </w:r>
    <w:r w:rsidR="00866004">
      <w:t>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BB456" w14:textId="77777777" w:rsidR="00754EF3" w:rsidRDefault="00754EF3" w:rsidP="00F979D9">
      <w:r>
        <w:separator/>
      </w:r>
    </w:p>
  </w:footnote>
  <w:footnote w:type="continuationSeparator" w:id="0">
    <w:p w14:paraId="060C0B02" w14:textId="77777777" w:rsidR="00754EF3" w:rsidRDefault="00754EF3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A0183"/>
    <w:rsid w:val="000A14B8"/>
    <w:rsid w:val="000A1CFB"/>
    <w:rsid w:val="000B6309"/>
    <w:rsid w:val="000C76C4"/>
    <w:rsid w:val="00112001"/>
    <w:rsid w:val="00125A4A"/>
    <w:rsid w:val="0013783F"/>
    <w:rsid w:val="001469AD"/>
    <w:rsid w:val="00152323"/>
    <w:rsid w:val="001535B4"/>
    <w:rsid w:val="001656C6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E769A"/>
    <w:rsid w:val="00300550"/>
    <w:rsid w:val="0030443B"/>
    <w:rsid w:val="00323A75"/>
    <w:rsid w:val="00347C45"/>
    <w:rsid w:val="00350F59"/>
    <w:rsid w:val="0036384F"/>
    <w:rsid w:val="003655F8"/>
    <w:rsid w:val="00367FFB"/>
    <w:rsid w:val="00385A27"/>
    <w:rsid w:val="003F6FB7"/>
    <w:rsid w:val="00411114"/>
    <w:rsid w:val="00411652"/>
    <w:rsid w:val="00425125"/>
    <w:rsid w:val="00456668"/>
    <w:rsid w:val="004719AC"/>
    <w:rsid w:val="00497531"/>
    <w:rsid w:val="004A3615"/>
    <w:rsid w:val="004D1DC6"/>
    <w:rsid w:val="004D6823"/>
    <w:rsid w:val="004D7824"/>
    <w:rsid w:val="004E0200"/>
    <w:rsid w:val="004F39A3"/>
    <w:rsid w:val="005238E9"/>
    <w:rsid w:val="005661F0"/>
    <w:rsid w:val="005A681B"/>
    <w:rsid w:val="005D2EDB"/>
    <w:rsid w:val="00611C70"/>
    <w:rsid w:val="00675C8D"/>
    <w:rsid w:val="006A44E7"/>
    <w:rsid w:val="006B31D7"/>
    <w:rsid w:val="006B7122"/>
    <w:rsid w:val="006C26F7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1A30"/>
    <w:rsid w:val="007C3DFB"/>
    <w:rsid w:val="007D48D3"/>
    <w:rsid w:val="008108E5"/>
    <w:rsid w:val="00820683"/>
    <w:rsid w:val="00820767"/>
    <w:rsid w:val="00823670"/>
    <w:rsid w:val="00865D6C"/>
    <w:rsid w:val="00866004"/>
    <w:rsid w:val="008718B1"/>
    <w:rsid w:val="008831EA"/>
    <w:rsid w:val="008C2071"/>
    <w:rsid w:val="008E200E"/>
    <w:rsid w:val="008F003D"/>
    <w:rsid w:val="008F2ED2"/>
    <w:rsid w:val="008F658C"/>
    <w:rsid w:val="00921D6C"/>
    <w:rsid w:val="00926056"/>
    <w:rsid w:val="0092744F"/>
    <w:rsid w:val="009501BF"/>
    <w:rsid w:val="009754C2"/>
    <w:rsid w:val="009A6DF5"/>
    <w:rsid w:val="009F0650"/>
    <w:rsid w:val="00A0090E"/>
    <w:rsid w:val="00A00E75"/>
    <w:rsid w:val="00A14366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5003"/>
    <w:rsid w:val="00AB5A25"/>
    <w:rsid w:val="00AC4074"/>
    <w:rsid w:val="00AC5BFD"/>
    <w:rsid w:val="00AD0434"/>
    <w:rsid w:val="00B04E93"/>
    <w:rsid w:val="00B33D6A"/>
    <w:rsid w:val="00B35F1D"/>
    <w:rsid w:val="00B544CE"/>
    <w:rsid w:val="00B55444"/>
    <w:rsid w:val="00B8307C"/>
    <w:rsid w:val="00B86331"/>
    <w:rsid w:val="00BB1DDA"/>
    <w:rsid w:val="00BB275D"/>
    <w:rsid w:val="00BB73A9"/>
    <w:rsid w:val="00BF0319"/>
    <w:rsid w:val="00BF402D"/>
    <w:rsid w:val="00C03ACD"/>
    <w:rsid w:val="00C14A0D"/>
    <w:rsid w:val="00C22C2A"/>
    <w:rsid w:val="00C33E41"/>
    <w:rsid w:val="00C50AD1"/>
    <w:rsid w:val="00C57109"/>
    <w:rsid w:val="00C6105C"/>
    <w:rsid w:val="00C72766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649A"/>
    <w:rsid w:val="00D80F95"/>
    <w:rsid w:val="00D85493"/>
    <w:rsid w:val="00D9388C"/>
    <w:rsid w:val="00D94972"/>
    <w:rsid w:val="00D95D28"/>
    <w:rsid w:val="00D969E5"/>
    <w:rsid w:val="00DB2848"/>
    <w:rsid w:val="00DC0105"/>
    <w:rsid w:val="00DD3E20"/>
    <w:rsid w:val="00DF6C5D"/>
    <w:rsid w:val="00E22BA4"/>
    <w:rsid w:val="00E24425"/>
    <w:rsid w:val="00E24F87"/>
    <w:rsid w:val="00E44B4D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EF4AB0"/>
    <w:rsid w:val="00F026AD"/>
    <w:rsid w:val="00F14ED0"/>
    <w:rsid w:val="00F30E8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Pascal ROBICHON</cp:lastModifiedBy>
  <cp:revision>11</cp:revision>
  <cp:lastPrinted>2022-09-06T14:44:00Z</cp:lastPrinted>
  <dcterms:created xsi:type="dcterms:W3CDTF">2025-01-14T10:23:00Z</dcterms:created>
  <dcterms:modified xsi:type="dcterms:W3CDTF">2025-01-16T12:22:00Z</dcterms:modified>
</cp:coreProperties>
</file>