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33B75" w14:textId="77777777" w:rsidR="00B3398C" w:rsidRDefault="00B3398C">
      <w:pPr>
        <w:widowControl w:val="0"/>
        <w:autoSpaceDE w:val="0"/>
        <w:autoSpaceDN w:val="0"/>
        <w:adjustRightInd w:val="0"/>
        <w:spacing w:before="14" w:line="240" w:lineRule="exact"/>
        <w:ind w:left="120"/>
        <w:rPr>
          <w:b/>
          <w:bCs/>
        </w:rPr>
      </w:pPr>
    </w:p>
    <w:p w14:paraId="4B4CD730" w14:textId="77777777" w:rsidR="00B3398C" w:rsidRDefault="00B3398C">
      <w:pPr>
        <w:widowControl w:val="0"/>
        <w:autoSpaceDE w:val="0"/>
        <w:autoSpaceDN w:val="0"/>
        <w:adjustRightInd w:val="0"/>
        <w:spacing w:before="14" w:line="240" w:lineRule="exact"/>
        <w:ind w:left="120"/>
        <w:rPr>
          <w:b/>
          <w:bCs/>
        </w:rPr>
      </w:pPr>
    </w:p>
    <w:p w14:paraId="5DE8248D" w14:textId="77777777" w:rsidR="00B3398C" w:rsidRDefault="00B3398C">
      <w:pPr>
        <w:widowControl w:val="0"/>
        <w:autoSpaceDE w:val="0"/>
        <w:autoSpaceDN w:val="0"/>
        <w:adjustRightInd w:val="0"/>
        <w:spacing w:before="14" w:line="240" w:lineRule="exact"/>
        <w:ind w:left="120"/>
        <w:rPr>
          <w:b/>
          <w:bCs/>
        </w:rPr>
      </w:pPr>
    </w:p>
    <w:p w14:paraId="2DCF2671" w14:textId="77777777" w:rsidR="00B3398C" w:rsidRDefault="00B3398C">
      <w:pPr>
        <w:widowControl w:val="0"/>
        <w:autoSpaceDE w:val="0"/>
        <w:autoSpaceDN w:val="0"/>
        <w:adjustRightInd w:val="0"/>
        <w:spacing w:before="14" w:line="240" w:lineRule="exact"/>
        <w:ind w:left="120"/>
        <w:rPr>
          <w:b/>
          <w:bCs/>
        </w:rPr>
      </w:pPr>
    </w:p>
    <w:p w14:paraId="7F028222" w14:textId="77777777" w:rsidR="00B3398C" w:rsidRDefault="00B3398C">
      <w:pPr>
        <w:widowControl w:val="0"/>
        <w:autoSpaceDE w:val="0"/>
        <w:autoSpaceDN w:val="0"/>
        <w:adjustRightInd w:val="0"/>
        <w:spacing w:before="14" w:line="240" w:lineRule="exact"/>
        <w:ind w:left="120"/>
        <w:rPr>
          <w:b/>
          <w:bCs/>
        </w:rPr>
      </w:pPr>
    </w:p>
    <w:p w14:paraId="1E473E53" w14:textId="77777777" w:rsidR="00B3398C" w:rsidRDefault="00B3398C">
      <w:pPr>
        <w:widowControl w:val="0"/>
        <w:autoSpaceDE w:val="0"/>
        <w:autoSpaceDN w:val="0"/>
        <w:adjustRightInd w:val="0"/>
        <w:spacing w:before="14" w:line="240" w:lineRule="exact"/>
        <w:ind w:left="120"/>
        <w:rPr>
          <w:b/>
          <w:bCs/>
        </w:rPr>
      </w:pPr>
    </w:p>
    <w:p w14:paraId="2E2EC641" w14:textId="77777777" w:rsidR="00B3398C" w:rsidRDefault="00B1466D" w:rsidP="00C649C5">
      <w:pPr>
        <w:jc w:val="center"/>
      </w:pPr>
      <w:r>
        <w:rPr>
          <w:noProof/>
          <w:lang w:eastAsia="fr-FR"/>
        </w:rPr>
        <w:drawing>
          <wp:inline distT="0" distB="0" distL="0" distR="0" wp14:anchorId="20A3BCDF" wp14:editId="44916D09">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537865C2" w14:textId="77777777" w:rsidR="00632595" w:rsidRDefault="00632595"/>
    <w:p w14:paraId="4CE49B84" w14:textId="77777777" w:rsidR="00B3398C" w:rsidRDefault="00B3398C"/>
    <w:p w14:paraId="792F0133" w14:textId="77777777" w:rsidR="00B3398C" w:rsidRDefault="00B3398C" w:rsidP="00B1466D">
      <w:pPr>
        <w:rPr>
          <w:rFonts w:ascii="Arial" w:hAnsi="Arial" w:cs="Arial"/>
          <w:sz w:val="36"/>
          <w:szCs w:val="36"/>
        </w:rPr>
      </w:pPr>
    </w:p>
    <w:p w14:paraId="1B4DF119"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18271165" w14:textId="77777777" w:rsidR="00B3398C" w:rsidRPr="00707B79"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9F0C4E" w:rsidRPr="00707B79">
        <w:rPr>
          <w:rFonts w:ascii="Arial" w:hAnsi="Arial" w:cs="Arial"/>
          <w:b/>
          <w:color w:val="C00000"/>
          <w:sz w:val="36"/>
          <w:szCs w:val="36"/>
        </w:rPr>
        <w:t>………………</w:t>
      </w:r>
      <w:proofErr w:type="gramStart"/>
      <w:r w:rsidR="009F0C4E" w:rsidRPr="00707B79">
        <w:rPr>
          <w:rFonts w:ascii="Arial" w:hAnsi="Arial" w:cs="Arial"/>
          <w:b/>
          <w:color w:val="C00000"/>
          <w:sz w:val="36"/>
          <w:szCs w:val="36"/>
        </w:rPr>
        <w:t>…….</w:t>
      </w:r>
      <w:proofErr w:type="gramEnd"/>
      <w:r w:rsidR="009F0C4E" w:rsidRPr="00707B79">
        <w:rPr>
          <w:rFonts w:ascii="Arial" w:hAnsi="Arial" w:cs="Arial"/>
          <w:b/>
          <w:color w:val="C00000"/>
          <w:sz w:val="36"/>
          <w:szCs w:val="36"/>
        </w:rPr>
        <w:t>.</w:t>
      </w:r>
    </w:p>
    <w:p w14:paraId="2DD303D8" w14:textId="77777777" w:rsidR="009F0C4E" w:rsidRDefault="009F0C4E"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13473922" w14:textId="77777777" w:rsidR="00B3398C" w:rsidRDefault="00B3398C">
      <w:pPr>
        <w:widowControl w:val="0"/>
        <w:autoSpaceDE w:val="0"/>
        <w:autoSpaceDN w:val="0"/>
        <w:adjustRightInd w:val="0"/>
        <w:spacing w:before="14" w:line="240" w:lineRule="exact"/>
        <w:ind w:left="120"/>
        <w:rPr>
          <w:b/>
          <w:bCs/>
        </w:rPr>
      </w:pPr>
    </w:p>
    <w:p w14:paraId="2E6781A7" w14:textId="77777777" w:rsidR="00B3398C" w:rsidRDefault="00B3398C">
      <w:pPr>
        <w:widowControl w:val="0"/>
        <w:autoSpaceDE w:val="0"/>
        <w:autoSpaceDN w:val="0"/>
        <w:adjustRightInd w:val="0"/>
        <w:spacing w:before="14" w:line="240" w:lineRule="exact"/>
        <w:rPr>
          <w:b/>
          <w:bCs/>
        </w:rPr>
      </w:pPr>
    </w:p>
    <w:p w14:paraId="53E5B544" w14:textId="77777777" w:rsidR="00B3398C" w:rsidRDefault="00B3398C">
      <w:pPr>
        <w:widowControl w:val="0"/>
        <w:autoSpaceDE w:val="0"/>
        <w:autoSpaceDN w:val="0"/>
        <w:adjustRightInd w:val="0"/>
        <w:spacing w:before="14" w:line="240" w:lineRule="exact"/>
        <w:rPr>
          <w:b/>
          <w:bCs/>
        </w:rPr>
      </w:pPr>
    </w:p>
    <w:p w14:paraId="2E67C420" w14:textId="77777777" w:rsidR="00B3398C" w:rsidRDefault="00B3398C">
      <w:pPr>
        <w:widowControl w:val="0"/>
        <w:autoSpaceDE w:val="0"/>
        <w:autoSpaceDN w:val="0"/>
        <w:adjustRightInd w:val="0"/>
        <w:spacing w:before="14" w:line="240" w:lineRule="exact"/>
        <w:rPr>
          <w:b/>
          <w:bCs/>
        </w:rPr>
      </w:pPr>
    </w:p>
    <w:p w14:paraId="5DDBD1F8"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5646C93D"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74A31EA5"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30DB98F4" w14:textId="77777777" w:rsidR="00B3398C" w:rsidRDefault="00B3398C" w:rsidP="008630D8">
      <w:pPr>
        <w:jc w:val="center"/>
      </w:pPr>
    </w:p>
    <w:p w14:paraId="7387899A" w14:textId="77777777" w:rsidR="00B3398C" w:rsidRDefault="00B3398C" w:rsidP="00972FD9">
      <w:pPr>
        <w:pBdr>
          <w:top w:val="single" w:sz="4" w:space="1" w:color="auto"/>
          <w:left w:val="single" w:sz="4" w:space="4" w:color="auto"/>
          <w:bottom w:val="single" w:sz="4" w:space="1" w:color="auto"/>
          <w:right w:val="single" w:sz="4" w:space="4" w:color="auto"/>
        </w:pBdr>
        <w:spacing w:before="0" w:after="0"/>
        <w:jc w:val="center"/>
      </w:pPr>
      <w:r>
        <w:t>Pouvoir Adjudicateur</w:t>
      </w:r>
      <w:r w:rsidRPr="00535101">
        <w:t xml:space="preserve"> : </w:t>
      </w:r>
      <w:r w:rsidR="00972FD9">
        <w:t>INRAE PACA</w:t>
      </w:r>
    </w:p>
    <w:p w14:paraId="31B6C54B" w14:textId="77777777" w:rsidR="00972FD9" w:rsidRDefault="004570A5" w:rsidP="00972FD9">
      <w:pPr>
        <w:pBdr>
          <w:top w:val="single" w:sz="4" w:space="1" w:color="auto"/>
          <w:left w:val="single" w:sz="4" w:space="4" w:color="auto"/>
          <w:bottom w:val="single" w:sz="4" w:space="1" w:color="auto"/>
          <w:right w:val="single" w:sz="4" w:space="4" w:color="auto"/>
        </w:pBdr>
        <w:spacing w:before="0" w:after="0"/>
        <w:jc w:val="center"/>
      </w:pPr>
      <w:r>
        <w:t>Unité ISA (codique 1355</w:t>
      </w:r>
      <w:r w:rsidR="00972FD9">
        <w:t>)</w:t>
      </w:r>
    </w:p>
    <w:p w14:paraId="4BBB9AE6" w14:textId="77777777" w:rsidR="00972FD9" w:rsidRPr="004570A5" w:rsidRDefault="004570A5" w:rsidP="00972FD9">
      <w:pPr>
        <w:pBdr>
          <w:top w:val="single" w:sz="4" w:space="1" w:color="auto"/>
          <w:left w:val="single" w:sz="4" w:space="4" w:color="auto"/>
          <w:bottom w:val="single" w:sz="4" w:space="1" w:color="auto"/>
          <w:right w:val="single" w:sz="4" w:space="4" w:color="auto"/>
        </w:pBdr>
        <w:spacing w:before="0" w:after="0"/>
        <w:jc w:val="center"/>
      </w:pPr>
      <w:r w:rsidRPr="004570A5">
        <w:t xml:space="preserve">400 route des </w:t>
      </w:r>
      <w:proofErr w:type="spellStart"/>
      <w:r w:rsidRPr="004570A5">
        <w:t>Chappes</w:t>
      </w:r>
      <w:proofErr w:type="spellEnd"/>
    </w:p>
    <w:p w14:paraId="77323C6C" w14:textId="77777777" w:rsidR="004570A5" w:rsidRPr="004570A5" w:rsidRDefault="004570A5" w:rsidP="00972FD9">
      <w:pPr>
        <w:pBdr>
          <w:top w:val="single" w:sz="4" w:space="1" w:color="auto"/>
          <w:left w:val="single" w:sz="4" w:space="4" w:color="auto"/>
          <w:bottom w:val="single" w:sz="4" w:space="1" w:color="auto"/>
          <w:right w:val="single" w:sz="4" w:space="4" w:color="auto"/>
        </w:pBdr>
        <w:spacing w:before="0" w:after="0"/>
        <w:jc w:val="center"/>
      </w:pPr>
      <w:r w:rsidRPr="004570A5">
        <w:t>06903 SOPHIA ANTIPOLIS</w:t>
      </w:r>
    </w:p>
    <w:p w14:paraId="5D44F764" w14:textId="73901510" w:rsidR="00B3398C" w:rsidRPr="00972FD9" w:rsidRDefault="002258B6" w:rsidP="00972FD9">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after="0"/>
        <w:jc w:val="center"/>
        <w:rPr>
          <w:rFonts w:cs="Arial"/>
          <w:bCs/>
        </w:rPr>
      </w:pPr>
      <w:r w:rsidRPr="00972FD9">
        <w:rPr>
          <w:rFonts w:cs="Arial"/>
          <w:bCs/>
        </w:rPr>
        <w:t xml:space="preserve">N° SIRET </w:t>
      </w:r>
      <w:r w:rsidR="00972FD9">
        <w:rPr>
          <w:rFonts w:cs="Arial"/>
          <w:bCs/>
        </w:rPr>
        <w:t>:</w:t>
      </w:r>
      <w:r w:rsidR="00972FD9" w:rsidRPr="00972FD9">
        <w:rPr>
          <w:rFonts w:cs="Arial"/>
          <w:bCs/>
        </w:rPr>
        <w:t xml:space="preserve"> 180070</w:t>
      </w:r>
      <w:r w:rsidR="00972FD9">
        <w:rPr>
          <w:rFonts w:cs="Arial"/>
          <w:bCs/>
        </w:rPr>
        <w:t>039</w:t>
      </w:r>
      <w:r w:rsidR="004570A5">
        <w:rPr>
          <w:rFonts w:cs="Arial"/>
          <w:bCs/>
        </w:rPr>
        <w:t>0</w:t>
      </w:r>
      <w:r w:rsidR="00C85973">
        <w:rPr>
          <w:rFonts w:cs="Arial"/>
          <w:bCs/>
        </w:rPr>
        <w:t>063</w:t>
      </w:r>
      <w:r w:rsidR="0089044C">
        <w:rPr>
          <w:rFonts w:cs="Arial"/>
          <w:bCs/>
        </w:rPr>
        <w:t>1</w:t>
      </w:r>
    </w:p>
    <w:p w14:paraId="39D3906B"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04583197" w14:textId="77777777" w:rsidR="00B3398C" w:rsidRPr="008630D8" w:rsidRDefault="00460E17" w:rsidP="008630D8">
      <w:pPr>
        <w:rPr>
          <w:b/>
          <w:bCs/>
        </w:rPr>
      </w:pPr>
      <w:r>
        <w:br w:type="page"/>
      </w:r>
      <w:r w:rsidR="00B3398C" w:rsidRPr="008630D8">
        <w:rPr>
          <w:b/>
        </w:rPr>
        <w:lastRenderedPageBreak/>
        <w:t>Le Titulaire</w:t>
      </w:r>
    </w:p>
    <w:p w14:paraId="467323BB"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4A2E8769" w14:textId="77777777" w:rsidR="00B3398C" w:rsidRPr="003C2E90" w:rsidRDefault="00B3398C" w:rsidP="008630D8">
      <w:r w:rsidRPr="003C2E90">
        <w:t xml:space="preserve">Agissant pour le compte de : </w:t>
      </w:r>
      <w:r w:rsidR="00260443">
        <w:t>……………………</w:t>
      </w:r>
    </w:p>
    <w:p w14:paraId="760DB61C" w14:textId="77777777" w:rsidR="00B3398C" w:rsidRPr="003C2E90" w:rsidRDefault="00B3398C" w:rsidP="008630D8">
      <w:r w:rsidRPr="003C2E90">
        <w:t xml:space="preserve">Forme juridique : </w:t>
      </w:r>
      <w:r w:rsidR="00260443">
        <w:t>………………………………….</w:t>
      </w:r>
    </w:p>
    <w:p w14:paraId="071050C1" w14:textId="77777777" w:rsidR="00B3398C" w:rsidRPr="003C2E90" w:rsidRDefault="00B3398C" w:rsidP="008630D8">
      <w:r w:rsidRPr="003C2E90">
        <w:t xml:space="preserve">Capital social : </w:t>
      </w:r>
      <w:r w:rsidR="00260443">
        <w:t>…………………………………….</w:t>
      </w:r>
    </w:p>
    <w:p w14:paraId="17F6A3E7"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6BFA99B3" w14:textId="77777777" w:rsidR="00B3398C" w:rsidRPr="003C2E90" w:rsidRDefault="00B3398C" w:rsidP="008630D8">
      <w:r w:rsidRPr="003C2E90">
        <w:t xml:space="preserve">Tél. : </w:t>
      </w:r>
      <w:r w:rsidR="00260443">
        <w:t>………………………</w:t>
      </w:r>
    </w:p>
    <w:p w14:paraId="07E75E7E" w14:textId="77777777" w:rsidR="008630D8" w:rsidRDefault="008630D8" w:rsidP="008630D8"/>
    <w:p w14:paraId="5220C1FE" w14:textId="77777777" w:rsidR="00B3398C" w:rsidRPr="003C2E90" w:rsidRDefault="00B3398C" w:rsidP="008630D8">
      <w:r w:rsidRPr="003C2E90">
        <w:t>Immatriculation à l’INSEE</w:t>
      </w:r>
    </w:p>
    <w:p w14:paraId="4DBF0C48"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35470C49"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01AF161A"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34EFA529" w14:textId="77777777" w:rsidR="00B3398C" w:rsidRPr="003C2E90" w:rsidRDefault="00B3398C" w:rsidP="008630D8"/>
    <w:p w14:paraId="689FD4D6"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56B4F666"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775D8D07" w14:textId="77777777" w:rsidR="00B3398C" w:rsidRPr="003C2E90" w:rsidRDefault="00B3398C" w:rsidP="008630D8"/>
    <w:p w14:paraId="5AF84DE9" w14:textId="77777777" w:rsidR="00B3398C" w:rsidRPr="008630D8" w:rsidRDefault="00B3398C" w:rsidP="008630D8">
      <w:r w:rsidRPr="003C2E90">
        <w:t xml:space="preserve">L’offre, ainsi présentée ne me lie toutefois que si son acceptation m’est notifiée dans le délai de </w:t>
      </w:r>
      <w:r w:rsidR="0051404B">
        <w:t>5</w:t>
      </w:r>
      <w:r w:rsidR="009F4AF6">
        <w:t xml:space="preserve">0 jours à </w:t>
      </w:r>
      <w:r w:rsidRPr="008630D8">
        <w:t xml:space="preserve">compter de la date </w:t>
      </w:r>
      <w:r w:rsidR="00B152C6" w:rsidRPr="008630D8">
        <w:t>limite de remise des</w:t>
      </w:r>
      <w:r w:rsidR="00B152C6">
        <w:t xml:space="preserve"> plis</w:t>
      </w:r>
      <w:r w:rsidR="00391DB4">
        <w:t xml:space="preserve">.  </w:t>
      </w:r>
    </w:p>
    <w:p w14:paraId="02D1D3F7" w14:textId="77777777" w:rsidR="008630D8" w:rsidRDefault="008630D8" w:rsidP="008630D8">
      <w:pPr>
        <w:rPr>
          <w:rFonts w:cs="Arial"/>
          <w:b/>
        </w:rPr>
      </w:pPr>
    </w:p>
    <w:p w14:paraId="46BD68EC" w14:textId="77777777" w:rsidR="00B3398C" w:rsidRDefault="00B3398C" w:rsidP="008630D8">
      <w:pPr>
        <w:rPr>
          <w:rFonts w:cs="Arial"/>
          <w:b/>
        </w:rPr>
      </w:pPr>
      <w:r w:rsidRPr="008630D8">
        <w:rPr>
          <w:rFonts w:cs="Arial"/>
          <w:b/>
        </w:rPr>
        <w:t>Fait à ………………… le …………………..</w:t>
      </w:r>
      <w:r w:rsidRPr="008630D8">
        <w:rPr>
          <w:rStyle w:val="Appelnotedebasdep"/>
          <w:rFonts w:cs="Arial"/>
          <w:b/>
          <w:color w:val="000000"/>
        </w:rPr>
        <w:footnoteReference w:id="1"/>
      </w:r>
    </w:p>
    <w:p w14:paraId="6B6EF66F" w14:textId="77777777" w:rsidR="00E37210" w:rsidRDefault="00E37210" w:rsidP="008630D8">
      <w:r w:rsidRPr="00E37210">
        <w:t>Le titulaire</w:t>
      </w:r>
      <w:r w:rsidRPr="00E37210">
        <w:rPr>
          <w:rStyle w:val="Appelnotedebasdep"/>
          <w:rFonts w:ascii="Arial" w:hAnsi="Arial" w:cs="Arial"/>
        </w:rPr>
        <w:footnoteReference w:id="2"/>
      </w:r>
    </w:p>
    <w:p w14:paraId="1AF0E2DC" w14:textId="77777777" w:rsidR="009F4AF6" w:rsidRDefault="009F4AF6" w:rsidP="008630D8"/>
    <w:p w14:paraId="263BC001" w14:textId="77777777" w:rsidR="003067F2" w:rsidRDefault="003067F2" w:rsidP="008630D8"/>
    <w:p w14:paraId="5D41B509" w14:textId="77777777" w:rsidR="009F4AF6" w:rsidRPr="00E37210" w:rsidRDefault="009F4AF6" w:rsidP="008630D8"/>
    <w:p w14:paraId="3CCB0FD5" w14:textId="77777777" w:rsidR="008630D8" w:rsidRPr="00E37210" w:rsidRDefault="008630D8" w:rsidP="008630D8">
      <w:pPr>
        <w:pBdr>
          <w:bottom w:val="single" w:sz="12" w:space="1" w:color="auto"/>
        </w:pBdr>
      </w:pPr>
    </w:p>
    <w:p w14:paraId="552B37FE" w14:textId="77777777" w:rsidR="008630D8" w:rsidRPr="003C2E90" w:rsidRDefault="008630D8" w:rsidP="008630D8"/>
    <w:p w14:paraId="760FEE67" w14:textId="77777777" w:rsidR="00DA08FD" w:rsidRPr="00696EE2" w:rsidRDefault="00B3398C" w:rsidP="008630D8">
      <w:pPr>
        <w:rPr>
          <w:b/>
        </w:rPr>
      </w:pPr>
      <w:r w:rsidRPr="00696EE2">
        <w:rPr>
          <w:b/>
        </w:rPr>
        <w:t>L’</w:t>
      </w:r>
      <w:r w:rsidR="00E4467E" w:rsidRPr="00696EE2">
        <w:rPr>
          <w:b/>
        </w:rPr>
        <w:t>INRAE</w:t>
      </w:r>
      <w:r w:rsidRPr="00696EE2">
        <w:rPr>
          <w:b/>
        </w:rPr>
        <w:t>,</w:t>
      </w:r>
      <w:r w:rsidR="00911DB8" w:rsidRPr="00696EE2">
        <w:rPr>
          <w:b/>
        </w:rPr>
        <w:t xml:space="preserve"> </w:t>
      </w:r>
      <w:r w:rsidR="00DA08FD" w:rsidRPr="00696EE2">
        <w:t xml:space="preserve">Unité </w:t>
      </w:r>
      <w:r w:rsidR="004570A5">
        <w:t>ISA</w:t>
      </w:r>
      <w:r w:rsidR="00972FD9" w:rsidRPr="00696EE2">
        <w:tab/>
      </w:r>
      <w:r w:rsidR="00972FD9" w:rsidRPr="00696EE2">
        <w:tab/>
      </w:r>
      <w:r w:rsidR="00972FD9" w:rsidRPr="00696EE2">
        <w:tab/>
      </w:r>
      <w:r w:rsidR="00972FD9" w:rsidRPr="00696EE2">
        <w:tab/>
      </w:r>
      <w:r w:rsidR="00972FD9" w:rsidRPr="00696EE2">
        <w:tab/>
        <w:t>le : …………………………</w:t>
      </w:r>
      <w:proofErr w:type="gramStart"/>
      <w:r w:rsidR="00972FD9" w:rsidRPr="00696EE2">
        <w:t>…….</w:t>
      </w:r>
      <w:proofErr w:type="gramEnd"/>
      <w:r w:rsidR="00972FD9" w:rsidRPr="00696EE2">
        <w:t>.</w:t>
      </w:r>
    </w:p>
    <w:p w14:paraId="5C39CB2B" w14:textId="77777777" w:rsidR="00B3398C" w:rsidRPr="003C2E90" w:rsidRDefault="00B3398C" w:rsidP="008630D8">
      <w:r w:rsidRPr="003C2E90">
        <w:t xml:space="preserve">Est acceptée la présente offre </w:t>
      </w:r>
      <w:r w:rsidR="00911DB8">
        <w:t>pour valoir Acte d’Engagement.</w:t>
      </w:r>
    </w:p>
    <w:p w14:paraId="3034243D" w14:textId="4B602F2C" w:rsidR="00B3398C" w:rsidRPr="003C2E90" w:rsidRDefault="00765B2A" w:rsidP="008630D8">
      <w:r>
        <w:t>Le</w:t>
      </w:r>
      <w:r w:rsidR="00B3398C" w:rsidRPr="003C2E90">
        <w:t xml:space="preserve"> </w:t>
      </w:r>
      <w:r w:rsidR="001B75C4">
        <w:t>Représentant du Pouvoir Adjudicateur</w:t>
      </w:r>
    </w:p>
    <w:p w14:paraId="5B5EF60D" w14:textId="416C537A" w:rsidR="003067F2" w:rsidRDefault="00765B2A" w:rsidP="009F4AF6">
      <w:r>
        <w:t>Directeur</w:t>
      </w:r>
      <w:r w:rsidR="00DA08FD" w:rsidRPr="001B75C4">
        <w:t xml:space="preserve"> de l’unité</w:t>
      </w:r>
      <w:r>
        <w:t>, Philippe CASTAGNONE</w:t>
      </w:r>
    </w:p>
    <w:p w14:paraId="65122BE9" w14:textId="77777777" w:rsidR="0051404B" w:rsidRDefault="00DA08FD" w:rsidP="009F4AF6">
      <w:pPr>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052B65A9" w14:textId="5AB565FA"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2" w:history="1">
        <w:r w:rsidR="0051404B" w:rsidRPr="007E4775">
          <w:rPr>
            <w:rStyle w:val="Lienhypertexte"/>
            <w:b/>
            <w:i/>
            <w:iCs/>
            <w:noProof/>
          </w:rPr>
          <w:t>1.</w:t>
        </w:r>
        <w:r w:rsidR="0051404B">
          <w:rPr>
            <w:rFonts w:asciiTheme="minorHAnsi" w:eastAsiaTheme="minorEastAsia" w:hAnsiTheme="minorHAnsi"/>
            <w:noProof/>
            <w:lang w:eastAsia="fr-FR"/>
          </w:rPr>
          <w:tab/>
        </w:r>
        <w:r w:rsidR="0051404B" w:rsidRPr="007E4775">
          <w:rPr>
            <w:rStyle w:val="Lienhypertexte"/>
            <w:noProof/>
          </w:rPr>
          <w:t>OBJET</w:t>
        </w:r>
        <w:r w:rsidR="0051404B">
          <w:rPr>
            <w:noProof/>
            <w:webHidden/>
          </w:rPr>
          <w:tab/>
        </w:r>
        <w:r w:rsidR="0051404B">
          <w:rPr>
            <w:noProof/>
            <w:webHidden/>
          </w:rPr>
          <w:fldChar w:fldCharType="begin"/>
        </w:r>
        <w:r w:rsidR="0051404B">
          <w:rPr>
            <w:noProof/>
            <w:webHidden/>
          </w:rPr>
          <w:instrText xml:space="preserve"> PAGEREF _Toc179551552 \h </w:instrText>
        </w:r>
        <w:r w:rsidR="0051404B">
          <w:rPr>
            <w:noProof/>
            <w:webHidden/>
          </w:rPr>
        </w:r>
        <w:r w:rsidR="0051404B">
          <w:rPr>
            <w:noProof/>
            <w:webHidden/>
          </w:rPr>
          <w:fldChar w:fldCharType="separate"/>
        </w:r>
        <w:r w:rsidR="004D1111">
          <w:rPr>
            <w:noProof/>
            <w:webHidden/>
          </w:rPr>
          <w:t>4</w:t>
        </w:r>
        <w:r w:rsidR="0051404B">
          <w:rPr>
            <w:noProof/>
            <w:webHidden/>
          </w:rPr>
          <w:fldChar w:fldCharType="end"/>
        </w:r>
      </w:hyperlink>
    </w:p>
    <w:p w14:paraId="6CE7B9F7" w14:textId="3535CEA5"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3" w:history="1">
        <w:r w:rsidR="0051404B" w:rsidRPr="007E4775">
          <w:rPr>
            <w:rStyle w:val="Lienhypertexte"/>
            <w:b/>
            <w:i/>
            <w:iCs/>
            <w:noProof/>
          </w:rPr>
          <w:t>2.</w:t>
        </w:r>
        <w:r w:rsidR="0051404B">
          <w:rPr>
            <w:rFonts w:asciiTheme="minorHAnsi" w:eastAsiaTheme="minorEastAsia" w:hAnsiTheme="minorHAnsi"/>
            <w:noProof/>
            <w:lang w:eastAsia="fr-FR"/>
          </w:rPr>
          <w:tab/>
        </w:r>
        <w:r w:rsidR="0051404B" w:rsidRPr="007E4775">
          <w:rPr>
            <w:rStyle w:val="Lienhypertexte"/>
            <w:noProof/>
          </w:rPr>
          <w:t>PIÈCES CONTRACTUELLES DU MARCHÉ</w:t>
        </w:r>
        <w:r w:rsidR="0051404B">
          <w:rPr>
            <w:noProof/>
            <w:webHidden/>
          </w:rPr>
          <w:tab/>
        </w:r>
        <w:r w:rsidR="0051404B">
          <w:rPr>
            <w:noProof/>
            <w:webHidden/>
          </w:rPr>
          <w:fldChar w:fldCharType="begin"/>
        </w:r>
        <w:r w:rsidR="0051404B">
          <w:rPr>
            <w:noProof/>
            <w:webHidden/>
          </w:rPr>
          <w:instrText xml:space="preserve"> PAGEREF _Toc179551553 \h </w:instrText>
        </w:r>
        <w:r w:rsidR="0051404B">
          <w:rPr>
            <w:noProof/>
            <w:webHidden/>
          </w:rPr>
        </w:r>
        <w:r w:rsidR="0051404B">
          <w:rPr>
            <w:noProof/>
            <w:webHidden/>
          </w:rPr>
          <w:fldChar w:fldCharType="separate"/>
        </w:r>
        <w:r w:rsidR="004D1111">
          <w:rPr>
            <w:noProof/>
            <w:webHidden/>
          </w:rPr>
          <w:t>4</w:t>
        </w:r>
        <w:r w:rsidR="0051404B">
          <w:rPr>
            <w:noProof/>
            <w:webHidden/>
          </w:rPr>
          <w:fldChar w:fldCharType="end"/>
        </w:r>
      </w:hyperlink>
    </w:p>
    <w:p w14:paraId="10D63411" w14:textId="3A4919BF"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4" w:history="1">
        <w:r w:rsidR="0051404B" w:rsidRPr="007E4775">
          <w:rPr>
            <w:rStyle w:val="Lienhypertexte"/>
            <w:b/>
            <w:i/>
            <w:iCs/>
            <w:noProof/>
          </w:rPr>
          <w:t>3.</w:t>
        </w:r>
        <w:r w:rsidR="0051404B">
          <w:rPr>
            <w:rFonts w:asciiTheme="minorHAnsi" w:eastAsiaTheme="minorEastAsia" w:hAnsiTheme="minorHAnsi"/>
            <w:noProof/>
            <w:lang w:eastAsia="fr-FR"/>
          </w:rPr>
          <w:tab/>
        </w:r>
        <w:r w:rsidR="0051404B" w:rsidRPr="007E4775">
          <w:rPr>
            <w:rStyle w:val="Lienhypertexte"/>
            <w:noProof/>
          </w:rPr>
          <w:t>CONTENU DES PRESTATIONS</w:t>
        </w:r>
        <w:r w:rsidR="0051404B">
          <w:rPr>
            <w:noProof/>
            <w:webHidden/>
          </w:rPr>
          <w:tab/>
        </w:r>
        <w:r w:rsidR="0051404B">
          <w:rPr>
            <w:noProof/>
            <w:webHidden/>
          </w:rPr>
          <w:fldChar w:fldCharType="begin"/>
        </w:r>
        <w:r w:rsidR="0051404B">
          <w:rPr>
            <w:noProof/>
            <w:webHidden/>
          </w:rPr>
          <w:instrText xml:space="preserve"> PAGEREF _Toc179551554 \h </w:instrText>
        </w:r>
        <w:r w:rsidR="0051404B">
          <w:rPr>
            <w:noProof/>
            <w:webHidden/>
          </w:rPr>
        </w:r>
        <w:r w:rsidR="0051404B">
          <w:rPr>
            <w:noProof/>
            <w:webHidden/>
          </w:rPr>
          <w:fldChar w:fldCharType="separate"/>
        </w:r>
        <w:r w:rsidR="004D1111">
          <w:rPr>
            <w:noProof/>
            <w:webHidden/>
          </w:rPr>
          <w:t>4</w:t>
        </w:r>
        <w:r w:rsidR="0051404B">
          <w:rPr>
            <w:noProof/>
            <w:webHidden/>
          </w:rPr>
          <w:fldChar w:fldCharType="end"/>
        </w:r>
      </w:hyperlink>
    </w:p>
    <w:p w14:paraId="0498230E" w14:textId="044389BF"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5" w:history="1">
        <w:r w:rsidR="0051404B" w:rsidRPr="007E4775">
          <w:rPr>
            <w:rStyle w:val="Lienhypertexte"/>
            <w:b/>
            <w:i/>
            <w:iCs/>
            <w:noProof/>
          </w:rPr>
          <w:t>4.</w:t>
        </w:r>
        <w:r w:rsidR="0051404B">
          <w:rPr>
            <w:rFonts w:asciiTheme="minorHAnsi" w:eastAsiaTheme="minorEastAsia" w:hAnsiTheme="minorHAnsi"/>
            <w:noProof/>
            <w:lang w:eastAsia="fr-FR"/>
          </w:rPr>
          <w:tab/>
        </w:r>
        <w:r w:rsidR="0051404B" w:rsidRPr="007E4775">
          <w:rPr>
            <w:rStyle w:val="Lienhypertexte"/>
            <w:noProof/>
          </w:rPr>
          <w:t>DURÉE DU MARCHÉ (OU DÉLAI(S) D’EXÉCUTION DU MARCHÉ)</w:t>
        </w:r>
        <w:r w:rsidR="0051404B">
          <w:rPr>
            <w:noProof/>
            <w:webHidden/>
          </w:rPr>
          <w:tab/>
        </w:r>
        <w:r w:rsidR="0051404B">
          <w:rPr>
            <w:noProof/>
            <w:webHidden/>
          </w:rPr>
          <w:fldChar w:fldCharType="begin"/>
        </w:r>
        <w:r w:rsidR="0051404B">
          <w:rPr>
            <w:noProof/>
            <w:webHidden/>
          </w:rPr>
          <w:instrText xml:space="preserve"> PAGEREF _Toc179551555 \h </w:instrText>
        </w:r>
        <w:r w:rsidR="0051404B">
          <w:rPr>
            <w:noProof/>
            <w:webHidden/>
          </w:rPr>
        </w:r>
        <w:r w:rsidR="0051404B">
          <w:rPr>
            <w:noProof/>
            <w:webHidden/>
          </w:rPr>
          <w:fldChar w:fldCharType="separate"/>
        </w:r>
        <w:r w:rsidR="004D1111">
          <w:rPr>
            <w:noProof/>
            <w:webHidden/>
          </w:rPr>
          <w:t>4</w:t>
        </w:r>
        <w:r w:rsidR="0051404B">
          <w:rPr>
            <w:noProof/>
            <w:webHidden/>
          </w:rPr>
          <w:fldChar w:fldCharType="end"/>
        </w:r>
      </w:hyperlink>
    </w:p>
    <w:p w14:paraId="5B859060" w14:textId="04D0AA42"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6" w:history="1">
        <w:r w:rsidR="0051404B" w:rsidRPr="007E4775">
          <w:rPr>
            <w:rStyle w:val="Lienhypertexte"/>
            <w:b/>
            <w:noProof/>
          </w:rPr>
          <w:t>5.</w:t>
        </w:r>
        <w:r w:rsidR="0051404B">
          <w:rPr>
            <w:rFonts w:asciiTheme="minorHAnsi" w:eastAsiaTheme="minorEastAsia" w:hAnsiTheme="minorHAnsi"/>
            <w:noProof/>
            <w:lang w:eastAsia="fr-FR"/>
          </w:rPr>
          <w:tab/>
        </w:r>
        <w:r w:rsidR="0051404B" w:rsidRPr="007E4775">
          <w:rPr>
            <w:rStyle w:val="Lienhypertexte"/>
            <w:noProof/>
          </w:rPr>
          <w:t>VÉRIFICATION ET ADMISSION DES FOURNITURES OU DES PRESTATIONS</w:t>
        </w:r>
        <w:r w:rsidR="0051404B">
          <w:rPr>
            <w:noProof/>
            <w:webHidden/>
          </w:rPr>
          <w:tab/>
        </w:r>
        <w:r w:rsidR="0051404B">
          <w:rPr>
            <w:noProof/>
            <w:webHidden/>
          </w:rPr>
          <w:fldChar w:fldCharType="begin"/>
        </w:r>
        <w:r w:rsidR="0051404B">
          <w:rPr>
            <w:noProof/>
            <w:webHidden/>
          </w:rPr>
          <w:instrText xml:space="preserve"> PAGEREF _Toc179551556 \h </w:instrText>
        </w:r>
        <w:r w:rsidR="0051404B">
          <w:rPr>
            <w:noProof/>
            <w:webHidden/>
          </w:rPr>
        </w:r>
        <w:r w:rsidR="0051404B">
          <w:rPr>
            <w:noProof/>
            <w:webHidden/>
          </w:rPr>
          <w:fldChar w:fldCharType="separate"/>
        </w:r>
        <w:r w:rsidR="004D1111">
          <w:rPr>
            <w:noProof/>
            <w:webHidden/>
          </w:rPr>
          <w:t>5</w:t>
        </w:r>
        <w:r w:rsidR="0051404B">
          <w:rPr>
            <w:noProof/>
            <w:webHidden/>
          </w:rPr>
          <w:fldChar w:fldCharType="end"/>
        </w:r>
      </w:hyperlink>
    </w:p>
    <w:p w14:paraId="2E0086DF" w14:textId="77FD89D8"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7" w:history="1">
        <w:r w:rsidR="0051404B" w:rsidRPr="007E4775">
          <w:rPr>
            <w:rStyle w:val="Lienhypertexte"/>
            <w:b/>
            <w:noProof/>
          </w:rPr>
          <w:t>6.</w:t>
        </w:r>
        <w:r w:rsidR="0051404B">
          <w:rPr>
            <w:rFonts w:asciiTheme="minorHAnsi" w:eastAsiaTheme="minorEastAsia" w:hAnsiTheme="minorHAnsi"/>
            <w:noProof/>
            <w:lang w:eastAsia="fr-FR"/>
          </w:rPr>
          <w:tab/>
        </w:r>
        <w:r w:rsidR="0051404B" w:rsidRPr="007E4775">
          <w:rPr>
            <w:rStyle w:val="Lienhypertexte"/>
            <w:noProof/>
          </w:rPr>
          <w:t>ZONES A REGIME RESTRICTIF (ZRR)</w:t>
        </w:r>
        <w:r w:rsidR="0051404B">
          <w:rPr>
            <w:noProof/>
            <w:webHidden/>
          </w:rPr>
          <w:tab/>
        </w:r>
        <w:r w:rsidR="0051404B">
          <w:rPr>
            <w:noProof/>
            <w:webHidden/>
          </w:rPr>
          <w:fldChar w:fldCharType="begin"/>
        </w:r>
        <w:r w:rsidR="0051404B">
          <w:rPr>
            <w:noProof/>
            <w:webHidden/>
          </w:rPr>
          <w:instrText xml:space="preserve"> PAGEREF _Toc179551557 \h </w:instrText>
        </w:r>
        <w:r w:rsidR="0051404B">
          <w:rPr>
            <w:noProof/>
            <w:webHidden/>
          </w:rPr>
        </w:r>
        <w:r w:rsidR="0051404B">
          <w:rPr>
            <w:noProof/>
            <w:webHidden/>
          </w:rPr>
          <w:fldChar w:fldCharType="separate"/>
        </w:r>
        <w:r w:rsidR="004D1111">
          <w:rPr>
            <w:noProof/>
            <w:webHidden/>
          </w:rPr>
          <w:t>5</w:t>
        </w:r>
        <w:r w:rsidR="0051404B">
          <w:rPr>
            <w:noProof/>
            <w:webHidden/>
          </w:rPr>
          <w:fldChar w:fldCharType="end"/>
        </w:r>
      </w:hyperlink>
    </w:p>
    <w:p w14:paraId="6542E43D" w14:textId="50EB1951"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58" w:history="1">
        <w:r w:rsidR="0051404B" w:rsidRPr="007E4775">
          <w:rPr>
            <w:rStyle w:val="Lienhypertexte"/>
            <w:b/>
            <w:i/>
            <w:iCs/>
            <w:noProof/>
          </w:rPr>
          <w:t>7.</w:t>
        </w:r>
        <w:r w:rsidR="0051404B">
          <w:rPr>
            <w:rFonts w:asciiTheme="minorHAnsi" w:eastAsiaTheme="minorEastAsia" w:hAnsiTheme="minorHAnsi"/>
            <w:noProof/>
            <w:lang w:eastAsia="fr-FR"/>
          </w:rPr>
          <w:tab/>
        </w:r>
        <w:r w:rsidR="0051404B" w:rsidRPr="007E4775">
          <w:rPr>
            <w:rStyle w:val="Lienhypertexte"/>
            <w:noProof/>
          </w:rPr>
          <w:t>PRIX ET MODALITÉS DE PAIEMENTS</w:t>
        </w:r>
        <w:r w:rsidR="0051404B">
          <w:rPr>
            <w:noProof/>
            <w:webHidden/>
          </w:rPr>
          <w:tab/>
        </w:r>
        <w:r w:rsidR="0051404B">
          <w:rPr>
            <w:noProof/>
            <w:webHidden/>
          </w:rPr>
          <w:fldChar w:fldCharType="begin"/>
        </w:r>
        <w:r w:rsidR="0051404B">
          <w:rPr>
            <w:noProof/>
            <w:webHidden/>
          </w:rPr>
          <w:instrText xml:space="preserve"> PAGEREF _Toc179551558 \h </w:instrText>
        </w:r>
        <w:r w:rsidR="0051404B">
          <w:rPr>
            <w:noProof/>
            <w:webHidden/>
          </w:rPr>
        </w:r>
        <w:r w:rsidR="0051404B">
          <w:rPr>
            <w:noProof/>
            <w:webHidden/>
          </w:rPr>
          <w:fldChar w:fldCharType="separate"/>
        </w:r>
        <w:r w:rsidR="004D1111">
          <w:rPr>
            <w:noProof/>
            <w:webHidden/>
          </w:rPr>
          <w:t>5</w:t>
        </w:r>
        <w:r w:rsidR="0051404B">
          <w:rPr>
            <w:noProof/>
            <w:webHidden/>
          </w:rPr>
          <w:fldChar w:fldCharType="end"/>
        </w:r>
      </w:hyperlink>
    </w:p>
    <w:p w14:paraId="523AE016" w14:textId="6CEC4808" w:rsidR="0051404B" w:rsidRDefault="000B0AE9">
      <w:pPr>
        <w:pStyle w:val="TM2"/>
        <w:tabs>
          <w:tab w:val="left" w:pos="660"/>
        </w:tabs>
        <w:rPr>
          <w:rFonts w:asciiTheme="minorHAnsi" w:eastAsiaTheme="minorEastAsia" w:hAnsiTheme="minorHAnsi" w:cstheme="minorBidi"/>
          <w:noProof/>
          <w:lang w:eastAsia="fr-FR"/>
        </w:rPr>
      </w:pPr>
      <w:hyperlink w:anchor="_Toc179551559" w:history="1">
        <w:r w:rsidR="0051404B" w:rsidRPr="007E4775">
          <w:rPr>
            <w:rStyle w:val="Lienhypertexte"/>
            <w:noProof/>
          </w:rPr>
          <w:t>7.1.</w:t>
        </w:r>
        <w:r w:rsidR="0051404B">
          <w:rPr>
            <w:rFonts w:asciiTheme="minorHAnsi" w:eastAsiaTheme="minorEastAsia" w:hAnsiTheme="minorHAnsi" w:cstheme="minorBidi"/>
            <w:noProof/>
            <w:lang w:eastAsia="fr-FR"/>
          </w:rPr>
          <w:tab/>
        </w:r>
        <w:r w:rsidR="0051404B" w:rsidRPr="007E4775">
          <w:rPr>
            <w:rStyle w:val="Lienhypertexte"/>
            <w:noProof/>
          </w:rPr>
          <w:t>Prix du marché</w:t>
        </w:r>
        <w:r w:rsidR="0051404B">
          <w:rPr>
            <w:noProof/>
            <w:webHidden/>
          </w:rPr>
          <w:tab/>
        </w:r>
        <w:r w:rsidR="0051404B">
          <w:rPr>
            <w:noProof/>
            <w:webHidden/>
          </w:rPr>
          <w:fldChar w:fldCharType="begin"/>
        </w:r>
        <w:r w:rsidR="0051404B">
          <w:rPr>
            <w:noProof/>
            <w:webHidden/>
          </w:rPr>
          <w:instrText xml:space="preserve"> PAGEREF _Toc179551559 \h </w:instrText>
        </w:r>
        <w:r w:rsidR="0051404B">
          <w:rPr>
            <w:noProof/>
            <w:webHidden/>
          </w:rPr>
        </w:r>
        <w:r w:rsidR="0051404B">
          <w:rPr>
            <w:noProof/>
            <w:webHidden/>
          </w:rPr>
          <w:fldChar w:fldCharType="separate"/>
        </w:r>
        <w:r w:rsidR="004D1111">
          <w:rPr>
            <w:noProof/>
            <w:webHidden/>
          </w:rPr>
          <w:t>5</w:t>
        </w:r>
        <w:r w:rsidR="0051404B">
          <w:rPr>
            <w:noProof/>
            <w:webHidden/>
          </w:rPr>
          <w:fldChar w:fldCharType="end"/>
        </w:r>
      </w:hyperlink>
    </w:p>
    <w:p w14:paraId="37B3835C" w14:textId="3855C00E" w:rsidR="0051404B" w:rsidRDefault="000B0AE9">
      <w:pPr>
        <w:pStyle w:val="TM2"/>
        <w:tabs>
          <w:tab w:val="left" w:pos="660"/>
        </w:tabs>
        <w:rPr>
          <w:rFonts w:asciiTheme="minorHAnsi" w:eastAsiaTheme="minorEastAsia" w:hAnsiTheme="minorHAnsi" w:cstheme="minorBidi"/>
          <w:noProof/>
          <w:lang w:eastAsia="fr-FR"/>
        </w:rPr>
      </w:pPr>
      <w:hyperlink w:anchor="_Toc179551560" w:history="1">
        <w:r w:rsidR="0051404B" w:rsidRPr="007E4775">
          <w:rPr>
            <w:rStyle w:val="Lienhypertexte"/>
            <w:noProof/>
          </w:rPr>
          <w:t>7.2.</w:t>
        </w:r>
        <w:r w:rsidR="0051404B">
          <w:rPr>
            <w:rFonts w:asciiTheme="minorHAnsi" w:eastAsiaTheme="minorEastAsia" w:hAnsiTheme="minorHAnsi" w:cstheme="minorBidi"/>
            <w:noProof/>
            <w:lang w:eastAsia="fr-FR"/>
          </w:rPr>
          <w:tab/>
        </w:r>
        <w:r w:rsidR="0051404B" w:rsidRPr="007E4775">
          <w:rPr>
            <w:rStyle w:val="Lienhypertexte"/>
            <w:noProof/>
          </w:rPr>
          <w:t>Echéancier de paiement</w:t>
        </w:r>
        <w:r w:rsidR="0051404B">
          <w:rPr>
            <w:noProof/>
            <w:webHidden/>
          </w:rPr>
          <w:tab/>
        </w:r>
        <w:r w:rsidR="0051404B">
          <w:rPr>
            <w:noProof/>
            <w:webHidden/>
          </w:rPr>
          <w:fldChar w:fldCharType="begin"/>
        </w:r>
        <w:r w:rsidR="0051404B">
          <w:rPr>
            <w:noProof/>
            <w:webHidden/>
          </w:rPr>
          <w:instrText xml:space="preserve"> PAGEREF _Toc179551560 \h </w:instrText>
        </w:r>
        <w:r w:rsidR="0051404B">
          <w:rPr>
            <w:noProof/>
            <w:webHidden/>
          </w:rPr>
        </w:r>
        <w:r w:rsidR="0051404B">
          <w:rPr>
            <w:noProof/>
            <w:webHidden/>
          </w:rPr>
          <w:fldChar w:fldCharType="separate"/>
        </w:r>
        <w:r w:rsidR="004D1111">
          <w:rPr>
            <w:noProof/>
            <w:webHidden/>
          </w:rPr>
          <w:t>5</w:t>
        </w:r>
        <w:r w:rsidR="0051404B">
          <w:rPr>
            <w:noProof/>
            <w:webHidden/>
          </w:rPr>
          <w:fldChar w:fldCharType="end"/>
        </w:r>
      </w:hyperlink>
    </w:p>
    <w:p w14:paraId="7CC33251" w14:textId="72C61272" w:rsidR="0051404B" w:rsidRDefault="000B0AE9">
      <w:pPr>
        <w:pStyle w:val="TM2"/>
        <w:tabs>
          <w:tab w:val="left" w:pos="660"/>
        </w:tabs>
        <w:rPr>
          <w:rFonts w:asciiTheme="minorHAnsi" w:eastAsiaTheme="minorEastAsia" w:hAnsiTheme="minorHAnsi" w:cstheme="minorBidi"/>
          <w:noProof/>
          <w:lang w:eastAsia="fr-FR"/>
        </w:rPr>
      </w:pPr>
      <w:hyperlink w:anchor="_Toc179551561" w:history="1">
        <w:r w:rsidR="0051404B" w:rsidRPr="007E4775">
          <w:rPr>
            <w:rStyle w:val="Lienhypertexte"/>
            <w:noProof/>
          </w:rPr>
          <w:t>7.3.</w:t>
        </w:r>
        <w:r w:rsidR="0051404B">
          <w:rPr>
            <w:rFonts w:asciiTheme="minorHAnsi" w:eastAsiaTheme="minorEastAsia" w:hAnsiTheme="minorHAnsi" w:cstheme="minorBidi"/>
            <w:noProof/>
            <w:lang w:eastAsia="fr-FR"/>
          </w:rPr>
          <w:tab/>
        </w:r>
        <w:r w:rsidR="0051404B" w:rsidRPr="007E4775">
          <w:rPr>
            <w:rStyle w:val="Lienhypertexte"/>
            <w:noProof/>
          </w:rPr>
          <w:t>Modalités de paiement</w:t>
        </w:r>
        <w:r w:rsidR="0051404B">
          <w:rPr>
            <w:noProof/>
            <w:webHidden/>
          </w:rPr>
          <w:tab/>
        </w:r>
        <w:r w:rsidR="0051404B">
          <w:rPr>
            <w:noProof/>
            <w:webHidden/>
          </w:rPr>
          <w:fldChar w:fldCharType="begin"/>
        </w:r>
        <w:r w:rsidR="0051404B">
          <w:rPr>
            <w:noProof/>
            <w:webHidden/>
          </w:rPr>
          <w:instrText xml:space="preserve"> PAGEREF _Toc179551561 \h </w:instrText>
        </w:r>
        <w:r w:rsidR="0051404B">
          <w:rPr>
            <w:noProof/>
            <w:webHidden/>
          </w:rPr>
        </w:r>
        <w:r w:rsidR="0051404B">
          <w:rPr>
            <w:noProof/>
            <w:webHidden/>
          </w:rPr>
          <w:fldChar w:fldCharType="separate"/>
        </w:r>
        <w:r w:rsidR="004D1111">
          <w:rPr>
            <w:noProof/>
            <w:webHidden/>
          </w:rPr>
          <w:t>5</w:t>
        </w:r>
        <w:r w:rsidR="0051404B">
          <w:rPr>
            <w:noProof/>
            <w:webHidden/>
          </w:rPr>
          <w:fldChar w:fldCharType="end"/>
        </w:r>
      </w:hyperlink>
    </w:p>
    <w:p w14:paraId="676E3BB8" w14:textId="328E271D"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62" w:history="1">
        <w:r w:rsidR="0051404B" w:rsidRPr="007E4775">
          <w:rPr>
            <w:rStyle w:val="Lienhypertexte"/>
            <w:b/>
            <w:noProof/>
          </w:rPr>
          <w:t>8.</w:t>
        </w:r>
        <w:r w:rsidR="0051404B">
          <w:rPr>
            <w:rFonts w:asciiTheme="minorHAnsi" w:eastAsiaTheme="minorEastAsia" w:hAnsiTheme="minorHAnsi"/>
            <w:noProof/>
            <w:lang w:eastAsia="fr-FR"/>
          </w:rPr>
          <w:tab/>
        </w:r>
        <w:r w:rsidR="0051404B" w:rsidRPr="007E4775">
          <w:rPr>
            <w:rStyle w:val="Lienhypertexte"/>
            <w:noProof/>
          </w:rPr>
          <w:t>AVANCE</w:t>
        </w:r>
        <w:r w:rsidR="0051404B">
          <w:rPr>
            <w:noProof/>
            <w:webHidden/>
          </w:rPr>
          <w:tab/>
        </w:r>
        <w:r w:rsidR="0051404B">
          <w:rPr>
            <w:noProof/>
            <w:webHidden/>
          </w:rPr>
          <w:fldChar w:fldCharType="begin"/>
        </w:r>
        <w:r w:rsidR="0051404B">
          <w:rPr>
            <w:noProof/>
            <w:webHidden/>
          </w:rPr>
          <w:instrText xml:space="preserve"> PAGEREF _Toc179551562 \h </w:instrText>
        </w:r>
        <w:r w:rsidR="0051404B">
          <w:rPr>
            <w:noProof/>
            <w:webHidden/>
          </w:rPr>
        </w:r>
        <w:r w:rsidR="0051404B">
          <w:rPr>
            <w:noProof/>
            <w:webHidden/>
          </w:rPr>
          <w:fldChar w:fldCharType="separate"/>
        </w:r>
        <w:r w:rsidR="004D1111">
          <w:rPr>
            <w:noProof/>
            <w:webHidden/>
          </w:rPr>
          <w:t>6</w:t>
        </w:r>
        <w:r w:rsidR="0051404B">
          <w:rPr>
            <w:noProof/>
            <w:webHidden/>
          </w:rPr>
          <w:fldChar w:fldCharType="end"/>
        </w:r>
      </w:hyperlink>
    </w:p>
    <w:p w14:paraId="0AF5EA13" w14:textId="3C3391C7" w:rsidR="0051404B" w:rsidRDefault="000B0AE9">
      <w:pPr>
        <w:pStyle w:val="TM1"/>
        <w:tabs>
          <w:tab w:val="left" w:pos="480"/>
          <w:tab w:val="right" w:leader="dot" w:pos="9054"/>
        </w:tabs>
        <w:rPr>
          <w:rFonts w:asciiTheme="minorHAnsi" w:eastAsiaTheme="minorEastAsia" w:hAnsiTheme="minorHAnsi"/>
          <w:noProof/>
          <w:lang w:eastAsia="fr-FR"/>
        </w:rPr>
      </w:pPr>
      <w:hyperlink w:anchor="_Toc179551563" w:history="1">
        <w:r w:rsidR="0051404B" w:rsidRPr="007E4775">
          <w:rPr>
            <w:rStyle w:val="Lienhypertexte"/>
            <w:b/>
            <w:noProof/>
          </w:rPr>
          <w:t>9.</w:t>
        </w:r>
        <w:r w:rsidR="0051404B">
          <w:rPr>
            <w:rFonts w:asciiTheme="minorHAnsi" w:eastAsiaTheme="minorEastAsia" w:hAnsiTheme="minorHAnsi"/>
            <w:noProof/>
            <w:lang w:eastAsia="fr-FR"/>
          </w:rPr>
          <w:tab/>
        </w:r>
        <w:r w:rsidR="0051404B" w:rsidRPr="007E4775">
          <w:rPr>
            <w:rStyle w:val="Lienhypertexte"/>
            <w:noProof/>
          </w:rPr>
          <w:t>PENALITES DE RETARD</w:t>
        </w:r>
        <w:r w:rsidR="0051404B">
          <w:rPr>
            <w:noProof/>
            <w:webHidden/>
          </w:rPr>
          <w:tab/>
        </w:r>
        <w:r w:rsidR="0051404B">
          <w:rPr>
            <w:noProof/>
            <w:webHidden/>
          </w:rPr>
          <w:fldChar w:fldCharType="begin"/>
        </w:r>
        <w:r w:rsidR="0051404B">
          <w:rPr>
            <w:noProof/>
            <w:webHidden/>
          </w:rPr>
          <w:instrText xml:space="preserve"> PAGEREF _Toc179551563 \h </w:instrText>
        </w:r>
        <w:r w:rsidR="0051404B">
          <w:rPr>
            <w:noProof/>
            <w:webHidden/>
          </w:rPr>
        </w:r>
        <w:r w:rsidR="0051404B">
          <w:rPr>
            <w:noProof/>
            <w:webHidden/>
          </w:rPr>
          <w:fldChar w:fldCharType="separate"/>
        </w:r>
        <w:r w:rsidR="004D1111">
          <w:rPr>
            <w:noProof/>
            <w:webHidden/>
          </w:rPr>
          <w:t>6</w:t>
        </w:r>
        <w:r w:rsidR="0051404B">
          <w:rPr>
            <w:noProof/>
            <w:webHidden/>
          </w:rPr>
          <w:fldChar w:fldCharType="end"/>
        </w:r>
      </w:hyperlink>
    </w:p>
    <w:p w14:paraId="1721816B" w14:textId="55DD90ED" w:rsidR="0051404B" w:rsidRDefault="000B0AE9">
      <w:pPr>
        <w:pStyle w:val="TM1"/>
        <w:tabs>
          <w:tab w:val="left" w:pos="660"/>
          <w:tab w:val="right" w:leader="dot" w:pos="9054"/>
        </w:tabs>
        <w:rPr>
          <w:rFonts w:asciiTheme="minorHAnsi" w:eastAsiaTheme="minorEastAsia" w:hAnsiTheme="minorHAnsi"/>
          <w:noProof/>
          <w:lang w:eastAsia="fr-FR"/>
        </w:rPr>
      </w:pPr>
      <w:hyperlink w:anchor="_Toc179551564" w:history="1">
        <w:r w:rsidR="0051404B" w:rsidRPr="007E4775">
          <w:rPr>
            <w:rStyle w:val="Lienhypertexte"/>
            <w:b/>
            <w:noProof/>
          </w:rPr>
          <w:t>10.</w:t>
        </w:r>
        <w:r w:rsidR="0051404B">
          <w:rPr>
            <w:rFonts w:asciiTheme="minorHAnsi" w:eastAsiaTheme="minorEastAsia" w:hAnsiTheme="minorHAnsi"/>
            <w:noProof/>
            <w:lang w:eastAsia="fr-FR"/>
          </w:rPr>
          <w:tab/>
        </w:r>
        <w:r w:rsidR="0051404B" w:rsidRPr="007E4775">
          <w:rPr>
            <w:rStyle w:val="Lienhypertexte"/>
            <w:noProof/>
          </w:rPr>
          <w:t>CLAUSES ENVIRONNEMENTALE ET D’INSERTION SOCIALE</w:t>
        </w:r>
        <w:r w:rsidR="0051404B">
          <w:rPr>
            <w:noProof/>
            <w:webHidden/>
          </w:rPr>
          <w:tab/>
        </w:r>
        <w:r w:rsidR="0051404B">
          <w:rPr>
            <w:noProof/>
            <w:webHidden/>
          </w:rPr>
          <w:fldChar w:fldCharType="begin"/>
        </w:r>
        <w:r w:rsidR="0051404B">
          <w:rPr>
            <w:noProof/>
            <w:webHidden/>
          </w:rPr>
          <w:instrText xml:space="preserve"> PAGEREF _Toc179551564 \h </w:instrText>
        </w:r>
        <w:r w:rsidR="0051404B">
          <w:rPr>
            <w:noProof/>
            <w:webHidden/>
          </w:rPr>
        </w:r>
        <w:r w:rsidR="0051404B">
          <w:rPr>
            <w:noProof/>
            <w:webHidden/>
          </w:rPr>
          <w:fldChar w:fldCharType="separate"/>
        </w:r>
        <w:r w:rsidR="004D1111">
          <w:rPr>
            <w:noProof/>
            <w:webHidden/>
          </w:rPr>
          <w:t>6</w:t>
        </w:r>
        <w:r w:rsidR="0051404B">
          <w:rPr>
            <w:noProof/>
            <w:webHidden/>
          </w:rPr>
          <w:fldChar w:fldCharType="end"/>
        </w:r>
      </w:hyperlink>
    </w:p>
    <w:p w14:paraId="7B6EA748" w14:textId="1971AF5E" w:rsidR="0051404B" w:rsidRDefault="000B0AE9">
      <w:pPr>
        <w:pStyle w:val="TM1"/>
        <w:tabs>
          <w:tab w:val="left" w:pos="660"/>
          <w:tab w:val="right" w:leader="dot" w:pos="9054"/>
        </w:tabs>
        <w:rPr>
          <w:rFonts w:asciiTheme="minorHAnsi" w:eastAsiaTheme="minorEastAsia" w:hAnsiTheme="minorHAnsi"/>
          <w:noProof/>
          <w:lang w:eastAsia="fr-FR"/>
        </w:rPr>
      </w:pPr>
      <w:hyperlink w:anchor="_Toc179551565" w:history="1">
        <w:r w:rsidR="0051404B" w:rsidRPr="007E4775">
          <w:rPr>
            <w:rStyle w:val="Lienhypertexte"/>
            <w:b/>
            <w:noProof/>
          </w:rPr>
          <w:t>11.</w:t>
        </w:r>
        <w:r w:rsidR="0051404B">
          <w:rPr>
            <w:rFonts w:asciiTheme="minorHAnsi" w:eastAsiaTheme="minorEastAsia" w:hAnsiTheme="minorHAnsi"/>
            <w:noProof/>
            <w:lang w:eastAsia="fr-FR"/>
          </w:rPr>
          <w:tab/>
        </w:r>
        <w:r w:rsidR="0051404B" w:rsidRPr="007E4775">
          <w:rPr>
            <w:rStyle w:val="Lienhypertexte"/>
            <w:noProof/>
          </w:rPr>
          <w:t>PROTECTION DES DONNES A CARACTERE PERSONNEL</w:t>
        </w:r>
        <w:r w:rsidR="0051404B">
          <w:rPr>
            <w:noProof/>
            <w:webHidden/>
          </w:rPr>
          <w:tab/>
        </w:r>
        <w:r w:rsidR="0051404B">
          <w:rPr>
            <w:noProof/>
            <w:webHidden/>
          </w:rPr>
          <w:fldChar w:fldCharType="begin"/>
        </w:r>
        <w:r w:rsidR="0051404B">
          <w:rPr>
            <w:noProof/>
            <w:webHidden/>
          </w:rPr>
          <w:instrText xml:space="preserve"> PAGEREF _Toc179551565 \h </w:instrText>
        </w:r>
        <w:r w:rsidR="0051404B">
          <w:rPr>
            <w:noProof/>
            <w:webHidden/>
          </w:rPr>
        </w:r>
        <w:r w:rsidR="0051404B">
          <w:rPr>
            <w:noProof/>
            <w:webHidden/>
          </w:rPr>
          <w:fldChar w:fldCharType="separate"/>
        </w:r>
        <w:r w:rsidR="004D1111">
          <w:rPr>
            <w:noProof/>
            <w:webHidden/>
          </w:rPr>
          <w:t>7</w:t>
        </w:r>
        <w:r w:rsidR="0051404B">
          <w:rPr>
            <w:noProof/>
            <w:webHidden/>
          </w:rPr>
          <w:fldChar w:fldCharType="end"/>
        </w:r>
      </w:hyperlink>
    </w:p>
    <w:p w14:paraId="5F1464F3" w14:textId="6AC5EE48" w:rsidR="0051404B" w:rsidRDefault="000B0AE9">
      <w:pPr>
        <w:pStyle w:val="TM2"/>
        <w:tabs>
          <w:tab w:val="left" w:pos="660"/>
        </w:tabs>
        <w:rPr>
          <w:rFonts w:asciiTheme="minorHAnsi" w:eastAsiaTheme="minorEastAsia" w:hAnsiTheme="minorHAnsi" w:cstheme="minorBidi"/>
          <w:noProof/>
          <w:lang w:eastAsia="fr-FR"/>
        </w:rPr>
      </w:pPr>
      <w:hyperlink w:anchor="_Toc179551566" w:history="1">
        <w:r w:rsidR="0051404B" w:rsidRPr="007E4775">
          <w:rPr>
            <w:rStyle w:val="Lienhypertexte"/>
            <w:rFonts w:ascii="Arial Narrow" w:eastAsia="Times New Roman" w:hAnsi="Arial Narrow" w:cs="Times New Roman"/>
            <w:bCs/>
            <w:iCs/>
            <w:noProof/>
            <w:lang w:val="x-none" w:eastAsia="x-none"/>
          </w:rPr>
          <w:t>11.1.</w:t>
        </w:r>
        <w:r w:rsidR="0051404B">
          <w:rPr>
            <w:rFonts w:asciiTheme="minorHAnsi" w:eastAsiaTheme="minorEastAsia" w:hAnsiTheme="minorHAnsi" w:cstheme="minorBidi"/>
            <w:noProof/>
            <w:lang w:eastAsia="fr-FR"/>
          </w:rPr>
          <w:tab/>
        </w:r>
        <w:r w:rsidR="0051404B" w:rsidRPr="007E4775">
          <w:rPr>
            <w:rStyle w:val="Lienhypertexte"/>
            <w:rFonts w:ascii="Arial Narrow" w:eastAsia="Times New Roman" w:hAnsi="Arial Narrow" w:cs="Times New Roman"/>
            <w:bCs/>
            <w:iCs/>
            <w:noProof/>
            <w:lang w:val="x-none" w:eastAsia="x-none"/>
          </w:rPr>
          <w:t>EXIGENCES REGLEMENTAIRES DE CONFIDENTIALITE ET SECURISATION DES DONNEES APPLICABLES AU TITULAIRE ET SES SOUS-TRAITANTS</w:t>
        </w:r>
        <w:r w:rsidR="0051404B">
          <w:rPr>
            <w:noProof/>
            <w:webHidden/>
          </w:rPr>
          <w:tab/>
        </w:r>
        <w:r w:rsidR="0051404B">
          <w:rPr>
            <w:noProof/>
            <w:webHidden/>
          </w:rPr>
          <w:fldChar w:fldCharType="begin"/>
        </w:r>
        <w:r w:rsidR="0051404B">
          <w:rPr>
            <w:noProof/>
            <w:webHidden/>
          </w:rPr>
          <w:instrText xml:space="preserve"> PAGEREF _Toc179551566 \h </w:instrText>
        </w:r>
        <w:r w:rsidR="0051404B">
          <w:rPr>
            <w:noProof/>
            <w:webHidden/>
          </w:rPr>
        </w:r>
        <w:r w:rsidR="0051404B">
          <w:rPr>
            <w:noProof/>
            <w:webHidden/>
          </w:rPr>
          <w:fldChar w:fldCharType="separate"/>
        </w:r>
        <w:r w:rsidR="004D1111">
          <w:rPr>
            <w:noProof/>
            <w:webHidden/>
          </w:rPr>
          <w:t>7</w:t>
        </w:r>
        <w:r w:rsidR="0051404B">
          <w:rPr>
            <w:noProof/>
            <w:webHidden/>
          </w:rPr>
          <w:fldChar w:fldCharType="end"/>
        </w:r>
      </w:hyperlink>
    </w:p>
    <w:p w14:paraId="2C71986B" w14:textId="00019BF8"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67" w:history="1">
        <w:r w:rsidR="0051404B" w:rsidRPr="007E4775">
          <w:rPr>
            <w:rStyle w:val="Lienhypertexte"/>
            <w:rFonts w:ascii="Arial Narrow" w:eastAsia="Calibri" w:hAnsi="Arial Narrow" w:cs="Times-Roman"/>
            <w:noProof/>
          </w:rPr>
          <w:t>11.1.1.</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Conformité au RGI</w:t>
        </w:r>
        <w:r w:rsidR="0051404B">
          <w:rPr>
            <w:noProof/>
            <w:webHidden/>
          </w:rPr>
          <w:tab/>
        </w:r>
        <w:r w:rsidR="0051404B">
          <w:rPr>
            <w:noProof/>
            <w:webHidden/>
          </w:rPr>
          <w:fldChar w:fldCharType="begin"/>
        </w:r>
        <w:r w:rsidR="0051404B">
          <w:rPr>
            <w:noProof/>
            <w:webHidden/>
          </w:rPr>
          <w:instrText xml:space="preserve"> PAGEREF _Toc179551567 \h </w:instrText>
        </w:r>
        <w:r w:rsidR="0051404B">
          <w:rPr>
            <w:noProof/>
            <w:webHidden/>
          </w:rPr>
        </w:r>
        <w:r w:rsidR="0051404B">
          <w:rPr>
            <w:noProof/>
            <w:webHidden/>
          </w:rPr>
          <w:fldChar w:fldCharType="separate"/>
        </w:r>
        <w:r w:rsidR="004D1111">
          <w:rPr>
            <w:noProof/>
            <w:webHidden/>
          </w:rPr>
          <w:t>7</w:t>
        </w:r>
        <w:r w:rsidR="0051404B">
          <w:rPr>
            <w:noProof/>
            <w:webHidden/>
          </w:rPr>
          <w:fldChar w:fldCharType="end"/>
        </w:r>
      </w:hyperlink>
    </w:p>
    <w:p w14:paraId="1CF1080E" w14:textId="360AEDE1"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68" w:history="1">
        <w:r w:rsidR="0051404B" w:rsidRPr="007E4775">
          <w:rPr>
            <w:rStyle w:val="Lienhypertexte"/>
            <w:rFonts w:ascii="Arial Narrow" w:eastAsia="Calibri" w:hAnsi="Arial Narrow" w:cs="Times-Roman"/>
            <w:noProof/>
          </w:rPr>
          <w:t>11.1.2.</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Conformité au RGAA</w:t>
        </w:r>
        <w:r w:rsidR="0051404B">
          <w:rPr>
            <w:noProof/>
            <w:webHidden/>
          </w:rPr>
          <w:tab/>
        </w:r>
        <w:r w:rsidR="0051404B">
          <w:rPr>
            <w:noProof/>
            <w:webHidden/>
          </w:rPr>
          <w:fldChar w:fldCharType="begin"/>
        </w:r>
        <w:r w:rsidR="0051404B">
          <w:rPr>
            <w:noProof/>
            <w:webHidden/>
          </w:rPr>
          <w:instrText xml:space="preserve"> PAGEREF _Toc179551568 \h </w:instrText>
        </w:r>
        <w:r w:rsidR="0051404B">
          <w:rPr>
            <w:noProof/>
            <w:webHidden/>
          </w:rPr>
        </w:r>
        <w:r w:rsidR="0051404B">
          <w:rPr>
            <w:noProof/>
            <w:webHidden/>
          </w:rPr>
          <w:fldChar w:fldCharType="separate"/>
        </w:r>
        <w:r w:rsidR="004D1111">
          <w:rPr>
            <w:noProof/>
            <w:webHidden/>
          </w:rPr>
          <w:t>7</w:t>
        </w:r>
        <w:r w:rsidR="0051404B">
          <w:rPr>
            <w:noProof/>
            <w:webHidden/>
          </w:rPr>
          <w:fldChar w:fldCharType="end"/>
        </w:r>
      </w:hyperlink>
    </w:p>
    <w:p w14:paraId="65CEC9FD" w14:textId="387F71A9"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69" w:history="1">
        <w:r w:rsidR="0051404B" w:rsidRPr="007E4775">
          <w:rPr>
            <w:rStyle w:val="Lienhypertexte"/>
            <w:rFonts w:ascii="Arial Narrow" w:eastAsia="Calibri" w:hAnsi="Arial Narrow" w:cs="Times-Roman"/>
            <w:noProof/>
          </w:rPr>
          <w:t>11.1.3.</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Conformité au RGS</w:t>
        </w:r>
        <w:r w:rsidR="0051404B">
          <w:rPr>
            <w:noProof/>
            <w:webHidden/>
          </w:rPr>
          <w:tab/>
        </w:r>
        <w:r w:rsidR="0051404B">
          <w:rPr>
            <w:noProof/>
            <w:webHidden/>
          </w:rPr>
          <w:fldChar w:fldCharType="begin"/>
        </w:r>
        <w:r w:rsidR="0051404B">
          <w:rPr>
            <w:noProof/>
            <w:webHidden/>
          </w:rPr>
          <w:instrText xml:space="preserve"> PAGEREF _Toc179551569 \h </w:instrText>
        </w:r>
        <w:r w:rsidR="0051404B">
          <w:rPr>
            <w:noProof/>
            <w:webHidden/>
          </w:rPr>
        </w:r>
        <w:r w:rsidR="0051404B">
          <w:rPr>
            <w:noProof/>
            <w:webHidden/>
          </w:rPr>
          <w:fldChar w:fldCharType="separate"/>
        </w:r>
        <w:r w:rsidR="004D1111">
          <w:rPr>
            <w:noProof/>
            <w:webHidden/>
          </w:rPr>
          <w:t>7</w:t>
        </w:r>
        <w:r w:rsidR="0051404B">
          <w:rPr>
            <w:noProof/>
            <w:webHidden/>
          </w:rPr>
          <w:fldChar w:fldCharType="end"/>
        </w:r>
      </w:hyperlink>
    </w:p>
    <w:p w14:paraId="4927E4FF" w14:textId="6372693A"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70" w:history="1">
        <w:r w:rsidR="0051404B" w:rsidRPr="007E4775">
          <w:rPr>
            <w:rStyle w:val="Lienhypertexte"/>
            <w:rFonts w:ascii="Arial Narrow" w:eastAsia="Calibri" w:hAnsi="Arial Narrow" w:cs="Times-Roman"/>
            <w:noProof/>
          </w:rPr>
          <w:t>11.1.4.</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Conformité à la PSSIE</w:t>
        </w:r>
        <w:r w:rsidR="0051404B">
          <w:rPr>
            <w:noProof/>
            <w:webHidden/>
          </w:rPr>
          <w:tab/>
        </w:r>
        <w:r w:rsidR="0051404B">
          <w:rPr>
            <w:noProof/>
            <w:webHidden/>
          </w:rPr>
          <w:fldChar w:fldCharType="begin"/>
        </w:r>
        <w:r w:rsidR="0051404B">
          <w:rPr>
            <w:noProof/>
            <w:webHidden/>
          </w:rPr>
          <w:instrText xml:space="preserve"> PAGEREF _Toc179551570 \h </w:instrText>
        </w:r>
        <w:r w:rsidR="0051404B">
          <w:rPr>
            <w:noProof/>
            <w:webHidden/>
          </w:rPr>
        </w:r>
        <w:r w:rsidR="0051404B">
          <w:rPr>
            <w:noProof/>
            <w:webHidden/>
          </w:rPr>
          <w:fldChar w:fldCharType="separate"/>
        </w:r>
        <w:r w:rsidR="004D1111">
          <w:rPr>
            <w:noProof/>
            <w:webHidden/>
          </w:rPr>
          <w:t>7</w:t>
        </w:r>
        <w:r w:rsidR="0051404B">
          <w:rPr>
            <w:noProof/>
            <w:webHidden/>
          </w:rPr>
          <w:fldChar w:fldCharType="end"/>
        </w:r>
      </w:hyperlink>
    </w:p>
    <w:p w14:paraId="1A88EEAB" w14:textId="0A56729C"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71" w:history="1">
        <w:r w:rsidR="0051404B" w:rsidRPr="007E4775">
          <w:rPr>
            <w:rStyle w:val="Lienhypertexte"/>
            <w:rFonts w:ascii="Arial Narrow" w:eastAsia="Calibri" w:hAnsi="Arial Narrow" w:cs="Times-Roman"/>
            <w:noProof/>
          </w:rPr>
          <w:t>11.1.5.</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Conformité au règlement européen 2016/679 - RGPD</w:t>
        </w:r>
        <w:r w:rsidR="0051404B">
          <w:rPr>
            <w:noProof/>
            <w:webHidden/>
          </w:rPr>
          <w:tab/>
        </w:r>
        <w:r w:rsidR="0051404B">
          <w:rPr>
            <w:noProof/>
            <w:webHidden/>
          </w:rPr>
          <w:fldChar w:fldCharType="begin"/>
        </w:r>
        <w:r w:rsidR="0051404B">
          <w:rPr>
            <w:noProof/>
            <w:webHidden/>
          </w:rPr>
          <w:instrText xml:space="preserve"> PAGEREF _Toc179551571 \h </w:instrText>
        </w:r>
        <w:r w:rsidR="0051404B">
          <w:rPr>
            <w:noProof/>
            <w:webHidden/>
          </w:rPr>
        </w:r>
        <w:r w:rsidR="0051404B">
          <w:rPr>
            <w:noProof/>
            <w:webHidden/>
          </w:rPr>
          <w:fldChar w:fldCharType="separate"/>
        </w:r>
        <w:r w:rsidR="004D1111">
          <w:rPr>
            <w:noProof/>
            <w:webHidden/>
          </w:rPr>
          <w:t>8</w:t>
        </w:r>
        <w:r w:rsidR="0051404B">
          <w:rPr>
            <w:noProof/>
            <w:webHidden/>
          </w:rPr>
          <w:fldChar w:fldCharType="end"/>
        </w:r>
      </w:hyperlink>
    </w:p>
    <w:p w14:paraId="1238DC68" w14:textId="50FE402A" w:rsidR="0051404B" w:rsidRDefault="000B0AE9">
      <w:pPr>
        <w:pStyle w:val="TM2"/>
        <w:tabs>
          <w:tab w:val="left" w:pos="660"/>
        </w:tabs>
        <w:rPr>
          <w:rFonts w:asciiTheme="minorHAnsi" w:eastAsiaTheme="minorEastAsia" w:hAnsiTheme="minorHAnsi" w:cstheme="minorBidi"/>
          <w:noProof/>
          <w:lang w:eastAsia="fr-FR"/>
        </w:rPr>
      </w:pPr>
      <w:hyperlink w:anchor="_Toc179551572" w:history="1">
        <w:r w:rsidR="0051404B" w:rsidRPr="007E4775">
          <w:rPr>
            <w:rStyle w:val="Lienhypertexte"/>
            <w:rFonts w:ascii="Arial Narrow" w:eastAsia="Times New Roman" w:hAnsi="Arial Narrow" w:cs="Times New Roman"/>
            <w:bCs/>
            <w:iCs/>
            <w:noProof/>
            <w:lang w:val="x-none" w:eastAsia="x-none"/>
          </w:rPr>
          <w:t>11.2.</w:t>
        </w:r>
        <w:r w:rsidR="0051404B">
          <w:rPr>
            <w:rFonts w:asciiTheme="minorHAnsi" w:eastAsiaTheme="minorEastAsia" w:hAnsiTheme="minorHAnsi" w:cstheme="minorBidi"/>
            <w:noProof/>
            <w:lang w:eastAsia="fr-FR"/>
          </w:rPr>
          <w:tab/>
        </w:r>
        <w:r w:rsidR="0051404B" w:rsidRPr="007E4775">
          <w:rPr>
            <w:rStyle w:val="Lienhypertexte"/>
            <w:rFonts w:ascii="Arial Narrow" w:eastAsia="Times New Roman" w:hAnsi="Arial Narrow" w:cs="Times New Roman"/>
            <w:bCs/>
            <w:iCs/>
            <w:noProof/>
            <w:lang w:val="x-none" w:eastAsia="x-none"/>
          </w:rPr>
          <w:t>ENGAGEMENT DU TITULAIRE</w:t>
        </w:r>
        <w:r w:rsidR="0051404B">
          <w:rPr>
            <w:noProof/>
            <w:webHidden/>
          </w:rPr>
          <w:tab/>
        </w:r>
        <w:r w:rsidR="0051404B">
          <w:rPr>
            <w:noProof/>
            <w:webHidden/>
          </w:rPr>
          <w:fldChar w:fldCharType="begin"/>
        </w:r>
        <w:r w:rsidR="0051404B">
          <w:rPr>
            <w:noProof/>
            <w:webHidden/>
          </w:rPr>
          <w:instrText xml:space="preserve"> PAGEREF _Toc179551572 \h </w:instrText>
        </w:r>
        <w:r w:rsidR="0051404B">
          <w:rPr>
            <w:noProof/>
            <w:webHidden/>
          </w:rPr>
        </w:r>
        <w:r w:rsidR="0051404B">
          <w:rPr>
            <w:noProof/>
            <w:webHidden/>
          </w:rPr>
          <w:fldChar w:fldCharType="separate"/>
        </w:r>
        <w:r w:rsidR="004D1111">
          <w:rPr>
            <w:noProof/>
            <w:webHidden/>
          </w:rPr>
          <w:t>8</w:t>
        </w:r>
        <w:r w:rsidR="0051404B">
          <w:rPr>
            <w:noProof/>
            <w:webHidden/>
          </w:rPr>
          <w:fldChar w:fldCharType="end"/>
        </w:r>
      </w:hyperlink>
    </w:p>
    <w:p w14:paraId="2A6C43CB" w14:textId="56D8F0F1"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73" w:history="1">
        <w:r w:rsidR="0051404B" w:rsidRPr="007E4775">
          <w:rPr>
            <w:rStyle w:val="Lienhypertexte"/>
            <w:rFonts w:ascii="Arial Narrow" w:eastAsia="Calibri" w:hAnsi="Arial Narrow" w:cs="Times-Roman"/>
            <w:noProof/>
          </w:rPr>
          <w:t>11.2.1.</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Obligation de sécurisation des données</w:t>
        </w:r>
        <w:r w:rsidR="0051404B">
          <w:rPr>
            <w:noProof/>
            <w:webHidden/>
          </w:rPr>
          <w:tab/>
        </w:r>
        <w:r w:rsidR="0051404B">
          <w:rPr>
            <w:noProof/>
            <w:webHidden/>
          </w:rPr>
          <w:fldChar w:fldCharType="begin"/>
        </w:r>
        <w:r w:rsidR="0051404B">
          <w:rPr>
            <w:noProof/>
            <w:webHidden/>
          </w:rPr>
          <w:instrText xml:space="preserve"> PAGEREF _Toc179551573 \h </w:instrText>
        </w:r>
        <w:r w:rsidR="0051404B">
          <w:rPr>
            <w:noProof/>
            <w:webHidden/>
          </w:rPr>
        </w:r>
        <w:r w:rsidR="0051404B">
          <w:rPr>
            <w:noProof/>
            <w:webHidden/>
          </w:rPr>
          <w:fldChar w:fldCharType="separate"/>
        </w:r>
        <w:r w:rsidR="004D1111">
          <w:rPr>
            <w:noProof/>
            <w:webHidden/>
          </w:rPr>
          <w:t>8</w:t>
        </w:r>
        <w:r w:rsidR="0051404B">
          <w:rPr>
            <w:noProof/>
            <w:webHidden/>
          </w:rPr>
          <w:fldChar w:fldCharType="end"/>
        </w:r>
      </w:hyperlink>
    </w:p>
    <w:p w14:paraId="16719D90" w14:textId="2A367773"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74" w:history="1">
        <w:r w:rsidR="0051404B" w:rsidRPr="007E4775">
          <w:rPr>
            <w:rStyle w:val="Lienhypertexte"/>
            <w:rFonts w:ascii="Arial Narrow" w:eastAsia="Calibri" w:hAnsi="Arial Narrow" w:cs="Times-Roman"/>
            <w:noProof/>
          </w:rPr>
          <w:t>11.2.2.</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Sécurisation des prestations et du Système d’Information</w:t>
        </w:r>
        <w:r w:rsidR="0051404B">
          <w:rPr>
            <w:noProof/>
            <w:webHidden/>
          </w:rPr>
          <w:tab/>
        </w:r>
        <w:r w:rsidR="0051404B">
          <w:rPr>
            <w:noProof/>
            <w:webHidden/>
          </w:rPr>
          <w:fldChar w:fldCharType="begin"/>
        </w:r>
        <w:r w:rsidR="0051404B">
          <w:rPr>
            <w:noProof/>
            <w:webHidden/>
          </w:rPr>
          <w:instrText xml:space="preserve"> PAGEREF _Toc179551574 \h </w:instrText>
        </w:r>
        <w:r w:rsidR="0051404B">
          <w:rPr>
            <w:noProof/>
            <w:webHidden/>
          </w:rPr>
        </w:r>
        <w:r w:rsidR="0051404B">
          <w:rPr>
            <w:noProof/>
            <w:webHidden/>
          </w:rPr>
          <w:fldChar w:fldCharType="separate"/>
        </w:r>
        <w:r w:rsidR="004D1111">
          <w:rPr>
            <w:noProof/>
            <w:webHidden/>
          </w:rPr>
          <w:t>9</w:t>
        </w:r>
        <w:r w:rsidR="0051404B">
          <w:rPr>
            <w:noProof/>
            <w:webHidden/>
          </w:rPr>
          <w:fldChar w:fldCharType="end"/>
        </w:r>
      </w:hyperlink>
    </w:p>
    <w:p w14:paraId="1FB6567C" w14:textId="0E13E2FD" w:rsidR="0051404B" w:rsidRDefault="000B0AE9">
      <w:pPr>
        <w:pStyle w:val="TM3"/>
        <w:tabs>
          <w:tab w:val="left" w:pos="1320"/>
          <w:tab w:val="right" w:leader="dot" w:pos="9054"/>
        </w:tabs>
        <w:rPr>
          <w:rFonts w:asciiTheme="minorHAnsi" w:eastAsiaTheme="minorEastAsia" w:hAnsiTheme="minorHAnsi"/>
          <w:noProof/>
          <w:lang w:eastAsia="fr-FR"/>
        </w:rPr>
      </w:pPr>
      <w:hyperlink w:anchor="_Toc179551575" w:history="1">
        <w:r w:rsidR="0051404B" w:rsidRPr="007E4775">
          <w:rPr>
            <w:rStyle w:val="Lienhypertexte"/>
            <w:rFonts w:ascii="Arial Narrow" w:eastAsia="Calibri" w:hAnsi="Arial Narrow" w:cs="Times-Roman"/>
            <w:noProof/>
          </w:rPr>
          <w:t>11.2.3.</w:t>
        </w:r>
        <w:r w:rsidR="0051404B">
          <w:rPr>
            <w:rFonts w:asciiTheme="minorHAnsi" w:eastAsiaTheme="minorEastAsia" w:hAnsiTheme="minorHAnsi"/>
            <w:noProof/>
            <w:lang w:eastAsia="fr-FR"/>
          </w:rPr>
          <w:tab/>
        </w:r>
        <w:r w:rsidR="0051404B" w:rsidRPr="007E4775">
          <w:rPr>
            <w:rStyle w:val="Lienhypertexte"/>
            <w:rFonts w:ascii="Arial Narrow" w:eastAsia="Calibri" w:hAnsi="Arial Narrow" w:cs="Times-Roman"/>
            <w:noProof/>
          </w:rPr>
          <w:t>Données personnelles dans le cadre de la gestion de la relation contractuelle</w:t>
        </w:r>
        <w:r w:rsidR="0051404B">
          <w:rPr>
            <w:noProof/>
            <w:webHidden/>
          </w:rPr>
          <w:tab/>
        </w:r>
        <w:r w:rsidR="0051404B">
          <w:rPr>
            <w:noProof/>
            <w:webHidden/>
          </w:rPr>
          <w:fldChar w:fldCharType="begin"/>
        </w:r>
        <w:r w:rsidR="0051404B">
          <w:rPr>
            <w:noProof/>
            <w:webHidden/>
          </w:rPr>
          <w:instrText xml:space="preserve"> PAGEREF _Toc179551575 \h </w:instrText>
        </w:r>
        <w:r w:rsidR="0051404B">
          <w:rPr>
            <w:noProof/>
            <w:webHidden/>
          </w:rPr>
        </w:r>
        <w:r w:rsidR="0051404B">
          <w:rPr>
            <w:noProof/>
            <w:webHidden/>
          </w:rPr>
          <w:fldChar w:fldCharType="separate"/>
        </w:r>
        <w:r w:rsidR="004D1111">
          <w:rPr>
            <w:noProof/>
            <w:webHidden/>
          </w:rPr>
          <w:t>9</w:t>
        </w:r>
        <w:r w:rsidR="0051404B">
          <w:rPr>
            <w:noProof/>
            <w:webHidden/>
          </w:rPr>
          <w:fldChar w:fldCharType="end"/>
        </w:r>
      </w:hyperlink>
    </w:p>
    <w:p w14:paraId="31209D3A" w14:textId="5C50FF75" w:rsidR="0051404B" w:rsidRDefault="000B0AE9">
      <w:pPr>
        <w:pStyle w:val="TM1"/>
        <w:tabs>
          <w:tab w:val="left" w:pos="660"/>
          <w:tab w:val="right" w:leader="dot" w:pos="9054"/>
        </w:tabs>
        <w:rPr>
          <w:rFonts w:asciiTheme="minorHAnsi" w:eastAsiaTheme="minorEastAsia" w:hAnsiTheme="minorHAnsi"/>
          <w:noProof/>
          <w:lang w:eastAsia="fr-FR"/>
        </w:rPr>
      </w:pPr>
      <w:hyperlink w:anchor="_Toc179551576" w:history="1">
        <w:r w:rsidR="0051404B" w:rsidRPr="007E4775">
          <w:rPr>
            <w:rStyle w:val="Lienhypertexte"/>
            <w:b/>
            <w:i/>
            <w:iCs/>
            <w:noProof/>
          </w:rPr>
          <w:t>12.</w:t>
        </w:r>
        <w:r w:rsidR="0051404B">
          <w:rPr>
            <w:rFonts w:asciiTheme="minorHAnsi" w:eastAsiaTheme="minorEastAsia" w:hAnsiTheme="minorHAnsi"/>
            <w:noProof/>
            <w:lang w:eastAsia="fr-FR"/>
          </w:rPr>
          <w:tab/>
        </w:r>
        <w:r w:rsidR="0051404B" w:rsidRPr="007E4775">
          <w:rPr>
            <w:rStyle w:val="Lienhypertexte"/>
            <w:noProof/>
          </w:rPr>
          <w:t>PROPRIÉTÉ INTELLECTUELLE</w:t>
        </w:r>
        <w:r w:rsidR="0051404B">
          <w:rPr>
            <w:noProof/>
            <w:webHidden/>
          </w:rPr>
          <w:tab/>
        </w:r>
        <w:r w:rsidR="0051404B">
          <w:rPr>
            <w:noProof/>
            <w:webHidden/>
          </w:rPr>
          <w:fldChar w:fldCharType="begin"/>
        </w:r>
        <w:r w:rsidR="0051404B">
          <w:rPr>
            <w:noProof/>
            <w:webHidden/>
          </w:rPr>
          <w:instrText xml:space="preserve"> PAGEREF _Toc179551576 \h </w:instrText>
        </w:r>
        <w:r w:rsidR="0051404B">
          <w:rPr>
            <w:noProof/>
            <w:webHidden/>
          </w:rPr>
        </w:r>
        <w:r w:rsidR="0051404B">
          <w:rPr>
            <w:noProof/>
            <w:webHidden/>
          </w:rPr>
          <w:fldChar w:fldCharType="separate"/>
        </w:r>
        <w:r w:rsidR="004D1111">
          <w:rPr>
            <w:noProof/>
            <w:webHidden/>
          </w:rPr>
          <w:t>9</w:t>
        </w:r>
        <w:r w:rsidR="0051404B">
          <w:rPr>
            <w:noProof/>
            <w:webHidden/>
          </w:rPr>
          <w:fldChar w:fldCharType="end"/>
        </w:r>
      </w:hyperlink>
    </w:p>
    <w:p w14:paraId="4B3C8D2A" w14:textId="04F75FB1" w:rsidR="0051404B" w:rsidRDefault="000B0AE9">
      <w:pPr>
        <w:pStyle w:val="TM1"/>
        <w:tabs>
          <w:tab w:val="left" w:pos="660"/>
          <w:tab w:val="right" w:leader="dot" w:pos="9054"/>
        </w:tabs>
        <w:rPr>
          <w:rFonts w:asciiTheme="minorHAnsi" w:eastAsiaTheme="minorEastAsia" w:hAnsiTheme="minorHAnsi"/>
          <w:noProof/>
          <w:lang w:eastAsia="fr-FR"/>
        </w:rPr>
      </w:pPr>
      <w:hyperlink w:anchor="_Toc179551577" w:history="1">
        <w:r w:rsidR="0051404B" w:rsidRPr="007E4775">
          <w:rPr>
            <w:rStyle w:val="Lienhypertexte"/>
            <w:b/>
            <w:iCs/>
            <w:noProof/>
          </w:rPr>
          <w:t>13.</w:t>
        </w:r>
        <w:r w:rsidR="0051404B">
          <w:rPr>
            <w:rFonts w:asciiTheme="minorHAnsi" w:eastAsiaTheme="minorEastAsia" w:hAnsiTheme="minorHAnsi"/>
            <w:noProof/>
            <w:lang w:eastAsia="fr-FR"/>
          </w:rPr>
          <w:tab/>
        </w:r>
        <w:r w:rsidR="0051404B" w:rsidRPr="007E4775">
          <w:rPr>
            <w:rStyle w:val="Lienhypertexte"/>
            <w:noProof/>
          </w:rPr>
          <w:t>GARANTIE (si marché de fournitures)</w:t>
        </w:r>
        <w:r w:rsidR="0051404B">
          <w:rPr>
            <w:noProof/>
            <w:webHidden/>
          </w:rPr>
          <w:tab/>
        </w:r>
        <w:r w:rsidR="0051404B">
          <w:rPr>
            <w:noProof/>
            <w:webHidden/>
          </w:rPr>
          <w:fldChar w:fldCharType="begin"/>
        </w:r>
        <w:r w:rsidR="0051404B">
          <w:rPr>
            <w:noProof/>
            <w:webHidden/>
          </w:rPr>
          <w:instrText xml:space="preserve"> PAGEREF _Toc179551577 \h </w:instrText>
        </w:r>
        <w:r w:rsidR="0051404B">
          <w:rPr>
            <w:noProof/>
            <w:webHidden/>
          </w:rPr>
        </w:r>
        <w:r w:rsidR="0051404B">
          <w:rPr>
            <w:noProof/>
            <w:webHidden/>
          </w:rPr>
          <w:fldChar w:fldCharType="separate"/>
        </w:r>
        <w:r w:rsidR="004D1111">
          <w:rPr>
            <w:noProof/>
            <w:webHidden/>
          </w:rPr>
          <w:t>10</w:t>
        </w:r>
        <w:r w:rsidR="0051404B">
          <w:rPr>
            <w:noProof/>
            <w:webHidden/>
          </w:rPr>
          <w:fldChar w:fldCharType="end"/>
        </w:r>
      </w:hyperlink>
    </w:p>
    <w:p w14:paraId="6D006EF4" w14:textId="314E8636" w:rsidR="0051404B" w:rsidRDefault="000B0AE9">
      <w:pPr>
        <w:pStyle w:val="TM1"/>
        <w:tabs>
          <w:tab w:val="left" w:pos="660"/>
          <w:tab w:val="right" w:leader="dot" w:pos="9054"/>
        </w:tabs>
        <w:rPr>
          <w:rFonts w:asciiTheme="minorHAnsi" w:eastAsiaTheme="minorEastAsia" w:hAnsiTheme="minorHAnsi"/>
          <w:noProof/>
          <w:lang w:eastAsia="fr-FR"/>
        </w:rPr>
      </w:pPr>
      <w:hyperlink w:anchor="_Toc179551578" w:history="1">
        <w:r w:rsidR="0051404B" w:rsidRPr="007E4775">
          <w:rPr>
            <w:rStyle w:val="Lienhypertexte"/>
            <w:b/>
            <w:noProof/>
          </w:rPr>
          <w:t>14.</w:t>
        </w:r>
        <w:r w:rsidR="0051404B">
          <w:rPr>
            <w:rFonts w:asciiTheme="minorHAnsi" w:eastAsiaTheme="minorEastAsia" w:hAnsiTheme="minorHAnsi"/>
            <w:noProof/>
            <w:lang w:eastAsia="fr-FR"/>
          </w:rPr>
          <w:tab/>
        </w:r>
        <w:r w:rsidR="0051404B" w:rsidRPr="007E4775">
          <w:rPr>
            <w:rStyle w:val="Lienhypertexte"/>
            <w:noProof/>
          </w:rPr>
          <w:t>LITIGES</w:t>
        </w:r>
        <w:r w:rsidR="0051404B">
          <w:rPr>
            <w:noProof/>
            <w:webHidden/>
          </w:rPr>
          <w:tab/>
        </w:r>
        <w:r w:rsidR="0051404B">
          <w:rPr>
            <w:noProof/>
            <w:webHidden/>
          </w:rPr>
          <w:fldChar w:fldCharType="begin"/>
        </w:r>
        <w:r w:rsidR="0051404B">
          <w:rPr>
            <w:noProof/>
            <w:webHidden/>
          </w:rPr>
          <w:instrText xml:space="preserve"> PAGEREF _Toc179551578 \h </w:instrText>
        </w:r>
        <w:r w:rsidR="0051404B">
          <w:rPr>
            <w:noProof/>
            <w:webHidden/>
          </w:rPr>
        </w:r>
        <w:r w:rsidR="0051404B">
          <w:rPr>
            <w:noProof/>
            <w:webHidden/>
          </w:rPr>
          <w:fldChar w:fldCharType="separate"/>
        </w:r>
        <w:r w:rsidR="004D1111">
          <w:rPr>
            <w:noProof/>
            <w:webHidden/>
          </w:rPr>
          <w:t>10</w:t>
        </w:r>
        <w:r w:rsidR="0051404B">
          <w:rPr>
            <w:noProof/>
            <w:webHidden/>
          </w:rPr>
          <w:fldChar w:fldCharType="end"/>
        </w:r>
      </w:hyperlink>
    </w:p>
    <w:p w14:paraId="44AD79A8" w14:textId="3401809D" w:rsidR="0051404B" w:rsidRDefault="000B0AE9">
      <w:pPr>
        <w:pStyle w:val="TM1"/>
        <w:tabs>
          <w:tab w:val="left" w:pos="660"/>
          <w:tab w:val="right" w:leader="dot" w:pos="9054"/>
        </w:tabs>
        <w:rPr>
          <w:rFonts w:asciiTheme="minorHAnsi" w:eastAsiaTheme="minorEastAsia" w:hAnsiTheme="minorHAnsi"/>
          <w:noProof/>
          <w:lang w:eastAsia="fr-FR"/>
        </w:rPr>
      </w:pPr>
      <w:hyperlink w:anchor="_Toc179551579" w:history="1">
        <w:r w:rsidR="0051404B" w:rsidRPr="007E4775">
          <w:rPr>
            <w:rStyle w:val="Lienhypertexte"/>
            <w:b/>
            <w:noProof/>
          </w:rPr>
          <w:t>15.</w:t>
        </w:r>
        <w:r w:rsidR="0051404B">
          <w:rPr>
            <w:rFonts w:asciiTheme="minorHAnsi" w:eastAsiaTheme="minorEastAsia" w:hAnsiTheme="minorHAnsi"/>
            <w:noProof/>
            <w:lang w:eastAsia="fr-FR"/>
          </w:rPr>
          <w:tab/>
        </w:r>
        <w:r w:rsidR="0051404B" w:rsidRPr="007E4775">
          <w:rPr>
            <w:rStyle w:val="Lienhypertexte"/>
            <w:noProof/>
          </w:rPr>
          <w:t>DEROGATIONS AUX DOCUMENTS GENERAUX</w:t>
        </w:r>
        <w:r w:rsidR="0051404B">
          <w:rPr>
            <w:noProof/>
            <w:webHidden/>
          </w:rPr>
          <w:tab/>
        </w:r>
        <w:r w:rsidR="0051404B">
          <w:rPr>
            <w:noProof/>
            <w:webHidden/>
          </w:rPr>
          <w:fldChar w:fldCharType="begin"/>
        </w:r>
        <w:r w:rsidR="0051404B">
          <w:rPr>
            <w:noProof/>
            <w:webHidden/>
          </w:rPr>
          <w:instrText xml:space="preserve"> PAGEREF _Toc179551579 \h </w:instrText>
        </w:r>
        <w:r w:rsidR="0051404B">
          <w:rPr>
            <w:noProof/>
            <w:webHidden/>
          </w:rPr>
        </w:r>
        <w:r w:rsidR="0051404B">
          <w:rPr>
            <w:noProof/>
            <w:webHidden/>
          </w:rPr>
          <w:fldChar w:fldCharType="separate"/>
        </w:r>
        <w:r w:rsidR="004D1111">
          <w:rPr>
            <w:noProof/>
            <w:webHidden/>
          </w:rPr>
          <w:t>10</w:t>
        </w:r>
        <w:r w:rsidR="0051404B">
          <w:rPr>
            <w:noProof/>
            <w:webHidden/>
          </w:rPr>
          <w:fldChar w:fldCharType="end"/>
        </w:r>
      </w:hyperlink>
    </w:p>
    <w:p w14:paraId="4E20F4FA"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6162F794" w14:textId="77777777" w:rsidR="00B3398C" w:rsidRPr="003C2E90" w:rsidRDefault="000222BE" w:rsidP="000222BE">
      <w:pPr>
        <w:widowControl w:val="0"/>
        <w:tabs>
          <w:tab w:val="left" w:pos="5100"/>
        </w:tabs>
        <w:autoSpaceDE w:val="0"/>
        <w:autoSpaceDN w:val="0"/>
        <w:adjustRightInd w:val="0"/>
        <w:spacing w:before="14" w:line="240" w:lineRule="exact"/>
        <w:rPr>
          <w:rFonts w:ascii="Arial" w:hAnsi="Arial" w:cs="Arial"/>
          <w:b/>
          <w:bCs/>
        </w:rPr>
      </w:pPr>
      <w:r>
        <w:rPr>
          <w:rFonts w:ascii="Arial" w:hAnsi="Arial" w:cs="Arial"/>
          <w:b/>
          <w:bCs/>
        </w:rPr>
        <w:tab/>
      </w:r>
    </w:p>
    <w:p w14:paraId="2CC0E406" w14:textId="77777777" w:rsidR="00B3398C" w:rsidRPr="009A7C35" w:rsidRDefault="000222BE" w:rsidP="00F73FDA">
      <w:pPr>
        <w:widowControl w:val="0"/>
        <w:tabs>
          <w:tab w:val="left" w:pos="5100"/>
          <w:tab w:val="left" w:pos="6675"/>
        </w:tabs>
        <w:autoSpaceDE w:val="0"/>
        <w:autoSpaceDN w:val="0"/>
        <w:adjustRightInd w:val="0"/>
        <w:rPr>
          <w:rFonts w:ascii="Arial" w:hAnsi="Arial" w:cs="Arial"/>
          <w:sz w:val="20"/>
          <w:szCs w:val="20"/>
        </w:rPr>
        <w:sectPr w:rsidR="00B3398C" w:rsidRPr="009A7C35" w:rsidSect="000A7363">
          <w:footerReference w:type="even" r:id="rId9"/>
          <w:footerReference w:type="default" r:id="rId10"/>
          <w:pgSz w:w="11900" w:h="16840"/>
          <w:pgMar w:top="1418" w:right="1418" w:bottom="1418" w:left="1418" w:header="720" w:footer="720" w:gutter="0"/>
          <w:cols w:space="720"/>
          <w:noEndnote/>
          <w:titlePg/>
        </w:sectPr>
      </w:pPr>
      <w:r>
        <w:rPr>
          <w:rFonts w:ascii="Arial" w:hAnsi="Arial" w:cs="Arial"/>
          <w:sz w:val="20"/>
          <w:szCs w:val="20"/>
        </w:rPr>
        <w:tab/>
      </w:r>
      <w:r w:rsidR="00F73FDA">
        <w:rPr>
          <w:rFonts w:ascii="Arial" w:hAnsi="Arial" w:cs="Arial"/>
          <w:sz w:val="20"/>
          <w:szCs w:val="20"/>
        </w:rPr>
        <w:tab/>
      </w:r>
    </w:p>
    <w:p w14:paraId="7EF88C4C" w14:textId="77777777" w:rsidR="00B3398C" w:rsidRPr="009A7C35" w:rsidRDefault="00B3398C" w:rsidP="008630D8">
      <w:pPr>
        <w:pStyle w:val="Titre1"/>
        <w:rPr>
          <w:i/>
          <w:iCs/>
        </w:rPr>
      </w:pPr>
      <w:bookmarkStart w:id="0" w:name="_Toc179551552"/>
      <w:r w:rsidRPr="009A7C35">
        <w:lastRenderedPageBreak/>
        <w:t>OBJET</w:t>
      </w:r>
      <w:bookmarkEnd w:id="0"/>
    </w:p>
    <w:p w14:paraId="202B42D0"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36AEDB23" w14:textId="77777777" w:rsidR="0051404B" w:rsidRPr="002121DF" w:rsidRDefault="00B3398C" w:rsidP="0051404B">
      <w:pPr>
        <w:pStyle w:val="Corpsdetexte"/>
        <w:rPr>
          <w:b/>
        </w:rPr>
      </w:pPr>
      <w:r w:rsidRPr="009A7C35">
        <w:rPr>
          <w:spacing w:val="-2"/>
        </w:rPr>
        <w:t>Le</w:t>
      </w:r>
      <w:r w:rsidRPr="009A7C35">
        <w:t xml:space="preserve"> présent </w:t>
      </w:r>
      <w:r w:rsidRPr="009A7C35">
        <w:rPr>
          <w:spacing w:val="-2"/>
        </w:rPr>
        <w:t>marché</w:t>
      </w:r>
      <w:r w:rsidRPr="009A7C35">
        <w:t xml:space="preserve"> </w:t>
      </w:r>
      <w:r w:rsidRPr="009A7C35">
        <w:rPr>
          <w:spacing w:val="-2"/>
        </w:rPr>
        <w:t>a</w:t>
      </w:r>
      <w:r w:rsidRPr="009A7C35">
        <w:t xml:space="preserve"> </w:t>
      </w:r>
      <w:r w:rsidRPr="009A7C35">
        <w:rPr>
          <w:spacing w:val="-2"/>
        </w:rPr>
        <w:t>pour</w:t>
      </w:r>
      <w:r w:rsidRPr="009A7C35">
        <w:t xml:space="preserve"> </w:t>
      </w:r>
      <w:r w:rsidRPr="009A7C35">
        <w:rPr>
          <w:spacing w:val="-2"/>
        </w:rPr>
        <w:t>objet</w:t>
      </w:r>
      <w:r w:rsidR="00177F31" w:rsidRPr="009A7C35">
        <w:rPr>
          <w:spacing w:val="-2"/>
        </w:rPr>
        <w:t xml:space="preserve"> </w:t>
      </w:r>
      <w:r w:rsidR="00696EE2" w:rsidRPr="002121DF">
        <w:rPr>
          <w:spacing w:val="-2"/>
        </w:rPr>
        <w:t>l’</w:t>
      </w:r>
      <w:r w:rsidR="00696EE2" w:rsidRPr="002121DF">
        <w:rPr>
          <w:b/>
        </w:rPr>
        <w:t>Acquisition,</w:t>
      </w:r>
      <w:r w:rsidR="009F4AF6" w:rsidRPr="002121DF">
        <w:rPr>
          <w:b/>
        </w:rPr>
        <w:t xml:space="preserve"> l’</w:t>
      </w:r>
      <w:r w:rsidR="00696EE2" w:rsidRPr="002121DF">
        <w:rPr>
          <w:b/>
        </w:rPr>
        <w:t xml:space="preserve">Installation et </w:t>
      </w:r>
      <w:r w:rsidR="004570A5">
        <w:rPr>
          <w:b/>
        </w:rPr>
        <w:t>la</w:t>
      </w:r>
      <w:r w:rsidR="009F4AF6" w:rsidRPr="002121DF">
        <w:rPr>
          <w:b/>
        </w:rPr>
        <w:t xml:space="preserve"> </w:t>
      </w:r>
      <w:r w:rsidR="00696EE2" w:rsidRPr="002121DF">
        <w:rPr>
          <w:b/>
        </w:rPr>
        <w:t xml:space="preserve">Mise en Service </w:t>
      </w:r>
      <w:r w:rsidR="004570A5">
        <w:rPr>
          <w:b/>
          <w:bCs/>
        </w:rPr>
        <w:t xml:space="preserve">d’une PCR Digitale pour l’unité ISA (1355) </w:t>
      </w:r>
      <w:r w:rsidR="004570A5" w:rsidRPr="008E14DC">
        <w:rPr>
          <w:b/>
          <w:bCs/>
        </w:rPr>
        <w:t>du Ce</w:t>
      </w:r>
      <w:r w:rsidR="004570A5">
        <w:rPr>
          <w:b/>
          <w:bCs/>
        </w:rPr>
        <w:t>ntre INRAE PACA – Site de Sophia Antipolis</w:t>
      </w:r>
    </w:p>
    <w:p w14:paraId="6D19A2AE" w14:textId="77777777" w:rsidR="00376D1E" w:rsidRPr="008E14DC" w:rsidRDefault="00376D1E" w:rsidP="00376D1E">
      <w:pPr>
        <w:pStyle w:val="Default"/>
        <w:rPr>
          <w:rFonts w:ascii="AvenirNext LT Pro Cn" w:hAnsi="AvenirNext LT Pro Cn"/>
          <w:sz w:val="22"/>
          <w:szCs w:val="22"/>
        </w:rPr>
      </w:pPr>
      <w:r w:rsidRPr="008E14DC">
        <w:rPr>
          <w:rFonts w:ascii="AvenirNext LT Pro Cn" w:hAnsi="AvenirNext LT Pro Cn"/>
          <w:sz w:val="22"/>
          <w:szCs w:val="22"/>
        </w:rPr>
        <w:t>Lieu d’exécution des prestations :</w:t>
      </w:r>
    </w:p>
    <w:p w14:paraId="0B82ECAB" w14:textId="77777777" w:rsidR="00376D1E" w:rsidRPr="008E14DC" w:rsidRDefault="00376D1E" w:rsidP="00376D1E">
      <w:pPr>
        <w:pStyle w:val="Default"/>
        <w:rPr>
          <w:rFonts w:ascii="AvenirNext LT Pro Cn" w:hAnsi="AvenirNext LT Pro Cn"/>
          <w:sz w:val="22"/>
          <w:szCs w:val="22"/>
        </w:rPr>
      </w:pPr>
      <w:r w:rsidRPr="008E14DC">
        <w:rPr>
          <w:rFonts w:ascii="AvenirNext LT Pro Cn" w:hAnsi="AvenirNext LT Pro Cn"/>
          <w:sz w:val="22"/>
          <w:szCs w:val="22"/>
        </w:rPr>
        <w:t xml:space="preserve">Centre INRAE PACA </w:t>
      </w:r>
    </w:p>
    <w:p w14:paraId="38BE0E8C" w14:textId="77777777" w:rsidR="00376D1E" w:rsidRPr="008E14DC" w:rsidRDefault="00376D1E" w:rsidP="00376D1E">
      <w:pPr>
        <w:pStyle w:val="Default"/>
        <w:rPr>
          <w:rFonts w:ascii="AvenirNext LT Pro Cn" w:hAnsi="AvenirNext LT Pro Cn"/>
          <w:sz w:val="22"/>
          <w:szCs w:val="22"/>
        </w:rPr>
      </w:pPr>
      <w:r w:rsidRPr="008E14DC">
        <w:rPr>
          <w:rFonts w:ascii="AvenirNext LT Pro Cn" w:hAnsi="AvenirNext LT Pro Cn"/>
          <w:sz w:val="22"/>
          <w:szCs w:val="22"/>
        </w:rPr>
        <w:t xml:space="preserve">Unité </w:t>
      </w:r>
      <w:r>
        <w:rPr>
          <w:rFonts w:ascii="AvenirNext LT Pro Cn" w:hAnsi="AvenirNext LT Pro Cn"/>
          <w:sz w:val="22"/>
          <w:szCs w:val="22"/>
        </w:rPr>
        <w:t xml:space="preserve">Institut Sophia </w:t>
      </w:r>
      <w:proofErr w:type="spellStart"/>
      <w:r>
        <w:rPr>
          <w:rFonts w:ascii="AvenirNext LT Pro Cn" w:hAnsi="AvenirNext LT Pro Cn"/>
          <w:sz w:val="22"/>
          <w:szCs w:val="22"/>
        </w:rPr>
        <w:t>Agrobiotech</w:t>
      </w:r>
      <w:proofErr w:type="spellEnd"/>
      <w:r>
        <w:rPr>
          <w:rFonts w:ascii="AvenirNext LT Pro Cn" w:hAnsi="AvenirNext LT Pro Cn"/>
          <w:sz w:val="22"/>
          <w:szCs w:val="22"/>
        </w:rPr>
        <w:t xml:space="preserve"> (ISA</w:t>
      </w:r>
      <w:r w:rsidRPr="008E14DC">
        <w:rPr>
          <w:rFonts w:ascii="AvenirNext LT Pro Cn" w:hAnsi="AvenirNext LT Pro Cn"/>
          <w:sz w:val="22"/>
          <w:szCs w:val="22"/>
        </w:rPr>
        <w:t xml:space="preserve">) </w:t>
      </w:r>
    </w:p>
    <w:p w14:paraId="6E40F410" w14:textId="77777777" w:rsidR="00376D1E" w:rsidRPr="008E14DC" w:rsidRDefault="00376D1E" w:rsidP="00376D1E">
      <w:pPr>
        <w:pStyle w:val="Default"/>
        <w:rPr>
          <w:rFonts w:ascii="AvenirNext LT Pro Cn" w:hAnsi="AvenirNext LT Pro Cn"/>
          <w:sz w:val="22"/>
          <w:szCs w:val="22"/>
        </w:rPr>
      </w:pPr>
      <w:r>
        <w:rPr>
          <w:rFonts w:ascii="AvenirNext LT Pro Cn" w:hAnsi="AvenirNext LT Pro Cn"/>
          <w:sz w:val="22"/>
          <w:szCs w:val="22"/>
        </w:rPr>
        <w:t xml:space="preserve">400 route des </w:t>
      </w:r>
      <w:proofErr w:type="spellStart"/>
      <w:r>
        <w:rPr>
          <w:rFonts w:ascii="AvenirNext LT Pro Cn" w:hAnsi="AvenirNext LT Pro Cn"/>
          <w:sz w:val="22"/>
          <w:szCs w:val="22"/>
        </w:rPr>
        <w:t>Chappes</w:t>
      </w:r>
      <w:proofErr w:type="spellEnd"/>
    </w:p>
    <w:p w14:paraId="4CDFF688" w14:textId="77777777" w:rsidR="00376D1E" w:rsidRPr="008E14DC" w:rsidRDefault="00376D1E" w:rsidP="00376D1E">
      <w:pPr>
        <w:pStyle w:val="Corpsdetexte"/>
        <w:spacing w:before="0" w:after="0"/>
      </w:pPr>
      <w:r>
        <w:t>06903 SOPHIA ANTIPOLIS</w:t>
      </w:r>
    </w:p>
    <w:p w14:paraId="4701AED3" w14:textId="77777777"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14:paraId="269CB251" w14:textId="77777777" w:rsidR="00B3398C" w:rsidRPr="009A7C35" w:rsidRDefault="00B3398C" w:rsidP="008630D8">
      <w:pPr>
        <w:pStyle w:val="Titre1"/>
        <w:rPr>
          <w:i/>
          <w:iCs/>
        </w:rPr>
      </w:pPr>
      <w:bookmarkStart w:id="1" w:name="_Toc179551553"/>
      <w:r w:rsidRPr="009A7C35">
        <w:t>PIÈCES CONTRACTUELLES DU MARCHÉ</w:t>
      </w:r>
      <w:bookmarkEnd w:id="1"/>
    </w:p>
    <w:p w14:paraId="647182D9"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71B5AC3A" w14:textId="77777777" w:rsidR="004C2431"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619D0E67" w14:textId="77777777" w:rsidR="008013EA" w:rsidRPr="00696EE2" w:rsidRDefault="001E21C7" w:rsidP="008630D8">
      <w:pPr>
        <w:rPr>
          <w:i/>
        </w:rPr>
      </w:pPr>
      <w:r w:rsidRPr="00696EE2">
        <w:rPr>
          <w:i/>
        </w:rPr>
        <w:t xml:space="preserve">Le présent marché est un accord-cadre mono-attributaire s’exécutant à bons de commande selon l’article </w:t>
      </w:r>
      <w:r w:rsidR="002B5C0D" w:rsidRPr="00696EE2">
        <w:rPr>
          <w:i/>
        </w:rPr>
        <w:t>R2162-2</w:t>
      </w:r>
      <w:r w:rsidRPr="00696EE2">
        <w:rPr>
          <w:i/>
        </w:rPr>
        <w:t xml:space="preserve"> du </w:t>
      </w:r>
      <w:r w:rsidR="000B7E1A" w:rsidRPr="00696EE2">
        <w:rPr>
          <w:i/>
        </w:rPr>
        <w:t>Code</w:t>
      </w:r>
      <w:r w:rsidRPr="00696EE2">
        <w:rPr>
          <w:i/>
        </w:rPr>
        <w:t xml:space="preserve"> précité. </w:t>
      </w:r>
    </w:p>
    <w:p w14:paraId="613E5D75" w14:textId="77777777" w:rsidR="001E21C7" w:rsidRDefault="001E21C7" w:rsidP="008630D8"/>
    <w:p w14:paraId="30943BC1" w14:textId="77777777" w:rsidR="00B3398C" w:rsidRPr="009A7C35" w:rsidRDefault="00B3398C" w:rsidP="008630D8">
      <w:pPr>
        <w:rPr>
          <w:rFonts w:ascii="Arial" w:hAnsi="Arial" w:cs="Arial"/>
          <w:sz w:val="20"/>
          <w:szCs w:val="20"/>
        </w:rPr>
      </w:pPr>
      <w:r w:rsidRPr="009A7C35">
        <w:rPr>
          <w:rFonts w:ascii="Arial" w:hAnsi="Arial" w:cs="Arial"/>
          <w:sz w:val="20"/>
          <w:szCs w:val="20"/>
        </w:rPr>
        <w:t>Les pièces constitutives du Marché sont, par ordre décroissant de priorité</w:t>
      </w:r>
      <w:r w:rsidR="00CB348C" w:rsidRPr="009A7C35">
        <w:rPr>
          <w:rFonts w:ascii="Arial" w:hAnsi="Arial" w:cs="Arial"/>
          <w:sz w:val="20"/>
          <w:szCs w:val="20"/>
        </w:rPr>
        <w:t xml:space="preserve"> </w:t>
      </w:r>
      <w:r w:rsidRPr="009A7C35">
        <w:rPr>
          <w:rFonts w:ascii="Arial" w:hAnsi="Arial" w:cs="Arial"/>
          <w:sz w:val="20"/>
          <w:szCs w:val="20"/>
        </w:rPr>
        <w:t>:</w:t>
      </w:r>
    </w:p>
    <w:p w14:paraId="41C52452" w14:textId="38C7760E" w:rsidR="00696EE2" w:rsidRPr="00696EE2" w:rsidRDefault="00765B2A" w:rsidP="00BE1FE0">
      <w:pPr>
        <w:pStyle w:val="Paragraphedeliste"/>
        <w:numPr>
          <w:ilvl w:val="0"/>
          <w:numId w:val="1"/>
        </w:numPr>
        <w:rPr>
          <w:b/>
          <w:bCs/>
          <w:color w:val="FF0000"/>
        </w:rPr>
      </w:pPr>
      <w:r w:rsidRPr="008630D8">
        <w:t>Le</w:t>
      </w:r>
      <w:r w:rsidR="00B3398C" w:rsidRPr="008630D8">
        <w:t xml:space="preserve"> présent Acte d’Engagement valant Cahier des Clauses Particulières</w:t>
      </w:r>
      <w:r w:rsidR="001D73E9" w:rsidRPr="008630D8">
        <w:t xml:space="preserve"> du marché</w:t>
      </w:r>
      <w:r w:rsidR="00391DB4">
        <w:t xml:space="preserve"> </w:t>
      </w:r>
    </w:p>
    <w:p w14:paraId="430F2306" w14:textId="637A5765" w:rsidR="000E0421" w:rsidRPr="00696EE2" w:rsidRDefault="00765B2A" w:rsidP="00BE1FE0">
      <w:pPr>
        <w:pStyle w:val="Paragraphedeliste"/>
        <w:numPr>
          <w:ilvl w:val="0"/>
          <w:numId w:val="1"/>
        </w:numPr>
        <w:rPr>
          <w:b/>
          <w:bCs/>
        </w:rPr>
      </w:pPr>
      <w:r w:rsidRPr="008630D8">
        <w:t>Le</w:t>
      </w:r>
      <w:r w:rsidR="000E0421" w:rsidRPr="008630D8">
        <w:t xml:space="preserve"> Cahier des Clauses Administratives Générales applicable aux marchés publics </w:t>
      </w:r>
      <w:r w:rsidR="00696EE2">
        <w:t xml:space="preserve">de Fournitures courantes et </w:t>
      </w:r>
      <w:r w:rsidR="00696EE2" w:rsidRPr="00696EE2">
        <w:t>de Service</w:t>
      </w:r>
      <w:r w:rsidR="000E0421" w:rsidRPr="00696EE2">
        <w:t xml:space="preserve"> approuvé par l</w:t>
      </w:r>
      <w:r w:rsidR="00F84DE2" w:rsidRPr="00696EE2">
        <w:t xml:space="preserve">’arrêté du </w:t>
      </w:r>
      <w:r w:rsidR="00696EE2" w:rsidRPr="00696EE2">
        <w:rPr>
          <w:b/>
          <w:bCs/>
        </w:rPr>
        <w:t>30 mars 2021</w:t>
      </w:r>
      <w:r w:rsidR="000E0421" w:rsidRPr="00696EE2">
        <w:rPr>
          <w:b/>
          <w:bCs/>
        </w:rPr>
        <w:t>.</w:t>
      </w:r>
      <w:r w:rsidR="000E0421" w:rsidRPr="00696EE2">
        <w:t xml:space="preserve">, ci-après désigné le </w:t>
      </w:r>
      <w:r w:rsidR="00DA08FD" w:rsidRPr="00696EE2">
        <w:rPr>
          <w:bCs/>
        </w:rPr>
        <w:t>CCAG-</w:t>
      </w:r>
      <w:r w:rsidR="00696EE2" w:rsidRPr="00696EE2">
        <w:rPr>
          <w:b/>
          <w:bCs/>
        </w:rPr>
        <w:t>FCS</w:t>
      </w:r>
      <w:r w:rsidR="00707B79" w:rsidRPr="00696EE2">
        <w:rPr>
          <w:i/>
        </w:rPr>
        <w:t xml:space="preserve"> </w:t>
      </w:r>
    </w:p>
    <w:p w14:paraId="36BF70BA" w14:textId="52E1ABEC" w:rsidR="00CB348C" w:rsidRDefault="00765B2A" w:rsidP="007632CF">
      <w:pPr>
        <w:pStyle w:val="Paragraphedeliste"/>
        <w:numPr>
          <w:ilvl w:val="0"/>
          <w:numId w:val="1"/>
        </w:numPr>
      </w:pPr>
      <w:r w:rsidRPr="008630D8">
        <w:t>L’offre</w:t>
      </w:r>
      <w:r w:rsidR="00B3398C" w:rsidRPr="008630D8">
        <w:t xml:space="preserve"> </w:t>
      </w:r>
      <w:r w:rsidR="00391DB4">
        <w:t xml:space="preserve">technique </w:t>
      </w:r>
      <w:r w:rsidR="004570A5">
        <w:t>du titulaire (descriptif technique du matériel, conditions de maintenance et d’utilisation, garantie, SAV</w:t>
      </w:r>
      <w:r>
        <w:t>, délai de livraison</w:t>
      </w:r>
      <w:r w:rsidR="004570A5">
        <w:t>)</w:t>
      </w:r>
    </w:p>
    <w:p w14:paraId="69545759" w14:textId="1B12E6C9" w:rsidR="00696EE2" w:rsidRPr="008630D8" w:rsidRDefault="00765B2A" w:rsidP="007632CF">
      <w:pPr>
        <w:pStyle w:val="Paragraphedeliste"/>
        <w:numPr>
          <w:ilvl w:val="0"/>
          <w:numId w:val="1"/>
        </w:numPr>
      </w:pPr>
      <w:r>
        <w:t>L’offre</w:t>
      </w:r>
      <w:r w:rsidR="00696EE2">
        <w:t xml:space="preserve"> financière du titulaire</w:t>
      </w:r>
    </w:p>
    <w:p w14:paraId="63A7F1FB" w14:textId="77777777" w:rsidR="00CB348C" w:rsidRPr="009A7C35" w:rsidRDefault="00CB348C" w:rsidP="00CB348C">
      <w:pPr>
        <w:widowControl w:val="0"/>
        <w:autoSpaceDE w:val="0"/>
        <w:autoSpaceDN w:val="0"/>
        <w:adjustRightInd w:val="0"/>
        <w:spacing w:line="240" w:lineRule="exact"/>
        <w:ind w:left="567"/>
        <w:rPr>
          <w:rFonts w:ascii="Arial" w:hAnsi="Arial" w:cs="Arial"/>
          <w:sz w:val="20"/>
          <w:szCs w:val="20"/>
        </w:rPr>
      </w:pPr>
    </w:p>
    <w:p w14:paraId="3CFB25AA" w14:textId="77777777" w:rsidR="00B3398C" w:rsidRPr="00707B79" w:rsidRDefault="00B3398C" w:rsidP="008630D8">
      <w:pPr>
        <w:pStyle w:val="Titre1"/>
        <w:rPr>
          <w:i/>
          <w:iCs/>
          <w:color w:val="C00000"/>
        </w:rPr>
      </w:pPr>
      <w:bookmarkStart w:id="2" w:name="_Toc179551554"/>
      <w:r w:rsidRPr="009A7C35">
        <w:t>CONTENU DES PRESTATIONS</w:t>
      </w:r>
      <w:bookmarkEnd w:id="2"/>
      <w:r w:rsidRPr="009A7C35">
        <w:t xml:space="preserve"> </w:t>
      </w:r>
    </w:p>
    <w:p w14:paraId="09E0D1CA"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10DCDC7F" w14:textId="77777777" w:rsidR="00572D47" w:rsidRDefault="00B3398C" w:rsidP="00696EE2">
      <w:pPr>
        <w:pStyle w:val="Corpsdetexte"/>
      </w:pPr>
      <w:r w:rsidRPr="00CB6F55">
        <w:t xml:space="preserve">Les prestations objet du marché sont les suivantes : </w:t>
      </w:r>
      <w:r w:rsidR="00572D47" w:rsidRPr="002121DF">
        <w:rPr>
          <w:spacing w:val="-2"/>
        </w:rPr>
        <w:t>l’</w:t>
      </w:r>
      <w:r w:rsidR="00572D47" w:rsidRPr="002121DF">
        <w:rPr>
          <w:b/>
        </w:rPr>
        <w:t xml:space="preserve">Acquisition, l’Installation et </w:t>
      </w:r>
      <w:r w:rsidR="00572D47">
        <w:rPr>
          <w:b/>
        </w:rPr>
        <w:t>la</w:t>
      </w:r>
      <w:r w:rsidR="00572D47" w:rsidRPr="002121DF">
        <w:rPr>
          <w:b/>
        </w:rPr>
        <w:t xml:space="preserve"> Mise en Service </w:t>
      </w:r>
      <w:r w:rsidR="00572D47">
        <w:rPr>
          <w:b/>
          <w:bCs/>
        </w:rPr>
        <w:t xml:space="preserve">d’une PCR Digitale pour l’unité ISA (1355) </w:t>
      </w:r>
      <w:r w:rsidR="00572D47" w:rsidRPr="008E14DC">
        <w:rPr>
          <w:b/>
          <w:bCs/>
        </w:rPr>
        <w:t>du Ce</w:t>
      </w:r>
      <w:r w:rsidR="00572D47">
        <w:rPr>
          <w:b/>
          <w:bCs/>
        </w:rPr>
        <w:t>ntre INRAE PACA – Site de Sophia Antipolis</w:t>
      </w:r>
      <w:r w:rsidR="00572D47" w:rsidRPr="00CB6F55">
        <w:t xml:space="preserve"> </w:t>
      </w:r>
    </w:p>
    <w:p w14:paraId="0403AAC3" w14:textId="77777777" w:rsidR="00696EE2" w:rsidRPr="00CB6F55" w:rsidRDefault="00CB6F55" w:rsidP="00696EE2">
      <w:pPr>
        <w:pStyle w:val="Corpsdetexte"/>
        <w:rPr>
          <w:rFonts w:ascii="Arial" w:hAnsi="Arial"/>
          <w:szCs w:val="20"/>
        </w:rPr>
      </w:pPr>
      <w:r w:rsidRPr="00CB6F55">
        <w:t>Elles sont définies s</w:t>
      </w:r>
      <w:r w:rsidR="00696EE2" w:rsidRPr="00CB6F55">
        <w:t>elon cahier des charges</w:t>
      </w:r>
      <w:r w:rsidRPr="00CB6F55">
        <w:t>.</w:t>
      </w:r>
    </w:p>
    <w:p w14:paraId="1BBABE47"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66226F8D" w14:textId="77777777" w:rsidR="00B3398C" w:rsidRPr="009A7C35" w:rsidRDefault="00B3398C" w:rsidP="008630D8">
      <w:pPr>
        <w:pStyle w:val="Titre1"/>
        <w:rPr>
          <w:i/>
          <w:iCs/>
        </w:rPr>
      </w:pPr>
      <w:bookmarkStart w:id="3" w:name="_Toc179551555"/>
      <w:r w:rsidRPr="009A7C35">
        <w:t>DURÉE DU MARCHÉ (OU DÉLAI(S) D’EXÉCUTION DU MARCHÉ)</w:t>
      </w:r>
      <w:bookmarkEnd w:id="3"/>
      <w:r w:rsidRPr="009A7C35">
        <w:t xml:space="preserve"> </w:t>
      </w:r>
    </w:p>
    <w:p w14:paraId="521E522F" w14:textId="77777777" w:rsidR="00CB348C" w:rsidRPr="009A7C35" w:rsidRDefault="00CB348C" w:rsidP="008630D8"/>
    <w:p w14:paraId="7043A65E" w14:textId="77777777" w:rsidR="00CB6F55" w:rsidRDefault="0051404B" w:rsidP="00CB6F55">
      <w:r>
        <w:t xml:space="preserve">Le délai de livraison est de …………………. </w:t>
      </w:r>
      <w:proofErr w:type="gramStart"/>
      <w:r>
        <w:t>semaines</w:t>
      </w:r>
      <w:proofErr w:type="gramEnd"/>
      <w:r>
        <w:t xml:space="preserve"> (le candidat doit indiquer son délai)</w:t>
      </w:r>
      <w:r w:rsidR="00CB6F55">
        <w:t>.</w:t>
      </w:r>
    </w:p>
    <w:p w14:paraId="6E52676C" w14:textId="77777777" w:rsidR="001D73E9" w:rsidRDefault="001D73E9" w:rsidP="008630D8">
      <w:pPr>
        <w:rPr>
          <w:u w:val="single"/>
        </w:rPr>
      </w:pPr>
    </w:p>
    <w:p w14:paraId="6A567D10" w14:textId="77777777" w:rsidR="00B3398C" w:rsidRDefault="00B3398C" w:rsidP="008630D8">
      <w:pPr>
        <w:pStyle w:val="Titre1"/>
      </w:pPr>
      <w:bookmarkStart w:id="4" w:name="_Toc179551556"/>
      <w:r w:rsidRPr="009A7C35">
        <w:t>VÉRIFICATION ET ADMISSION DES FOURNITURES OU DES PRESTATIONS</w:t>
      </w:r>
      <w:bookmarkEnd w:id="4"/>
    </w:p>
    <w:p w14:paraId="1308BF22" w14:textId="77777777" w:rsidR="003067F2" w:rsidRPr="003067F2" w:rsidRDefault="003067F2" w:rsidP="003067F2"/>
    <w:p w14:paraId="5199398B" w14:textId="77777777" w:rsidR="00732C9B" w:rsidRDefault="00732C9B" w:rsidP="003067F2">
      <w:pPr>
        <w:pStyle w:val="Normal2"/>
        <w:rPr>
          <w:rFonts w:ascii="AvenirNext LT Pro Cn" w:hAnsi="AvenirNext LT Pro Cn"/>
          <w:noProof/>
        </w:rPr>
      </w:pPr>
      <w:r>
        <w:rPr>
          <w:rFonts w:ascii="AvenirNext LT Pro Cn" w:hAnsi="AvenirNext LT Pro Cn"/>
          <w:noProof/>
        </w:rPr>
        <w:t xml:space="preserve">Les équipements seront livrés et installés </w:t>
      </w:r>
      <w:r w:rsidR="00D81385">
        <w:rPr>
          <w:rFonts w:ascii="AvenirNext LT Pro Cn" w:hAnsi="AvenirNext LT Pro Cn"/>
          <w:noProof/>
        </w:rPr>
        <w:t xml:space="preserve">par </w:t>
      </w:r>
      <w:r>
        <w:rPr>
          <w:rFonts w:ascii="AvenirNext LT Pro Cn" w:hAnsi="AvenirNext LT Pro Cn"/>
          <w:noProof/>
        </w:rPr>
        <w:t>le ti</w:t>
      </w:r>
      <w:r w:rsidR="004570A5">
        <w:rPr>
          <w:rFonts w:ascii="AvenirNext LT Pro Cn" w:hAnsi="AvenirNext LT Pro Cn"/>
          <w:noProof/>
        </w:rPr>
        <w:t>tulaire à INRAE PACA ISA – Site de Sophia Antipolis</w:t>
      </w:r>
      <w:r w:rsidR="000C4DC9">
        <w:rPr>
          <w:rFonts w:ascii="AvenirNext LT Pro Cn" w:hAnsi="AvenirNext LT Pro Cn"/>
          <w:noProof/>
        </w:rPr>
        <w:t xml:space="preserve">. </w:t>
      </w:r>
      <w:r>
        <w:rPr>
          <w:rFonts w:ascii="AvenirNext LT Pro Cn" w:hAnsi="AvenirNext LT Pro Cn"/>
          <w:noProof/>
        </w:rPr>
        <w:t>Le Prestataire les mettra en service avec les représentants INRAE.</w:t>
      </w:r>
    </w:p>
    <w:p w14:paraId="7E415A31" w14:textId="77777777" w:rsidR="00D81385" w:rsidRDefault="00D81385" w:rsidP="003067F2">
      <w:pPr>
        <w:pStyle w:val="Normal2"/>
        <w:rPr>
          <w:rFonts w:ascii="AvenirNext LT Pro Cn" w:hAnsi="AvenirNext LT Pro Cn"/>
          <w:noProof/>
        </w:rPr>
      </w:pPr>
    </w:p>
    <w:p w14:paraId="2C2DFBB1" w14:textId="77777777" w:rsidR="000C4DC9" w:rsidRDefault="000C4DC9" w:rsidP="003067F2">
      <w:pPr>
        <w:pStyle w:val="Normal2"/>
        <w:rPr>
          <w:rFonts w:ascii="AvenirNext LT Pro Cn" w:hAnsi="AvenirNext LT Pro Cn"/>
          <w:noProof/>
        </w:rPr>
      </w:pPr>
      <w:r>
        <w:rPr>
          <w:rFonts w:ascii="AvenirNext LT Pro Cn" w:hAnsi="AvenirNext LT Pro Cn"/>
          <w:noProof/>
        </w:rPr>
        <w:t>Un procés verbal de mise en servi</w:t>
      </w:r>
      <w:r w:rsidR="00D81385">
        <w:rPr>
          <w:rFonts w:ascii="AvenirNext LT Pro Cn" w:hAnsi="AvenirNext LT Pro Cn"/>
          <w:noProof/>
        </w:rPr>
        <w:t>c</w:t>
      </w:r>
      <w:r>
        <w:rPr>
          <w:rFonts w:ascii="AvenirNext LT Pro Cn" w:hAnsi="AvenirNext LT Pro Cn"/>
          <w:noProof/>
        </w:rPr>
        <w:t>e sera alors établi entre le titulaire et INRAE lorsque cel</w:t>
      </w:r>
      <w:r w:rsidR="00D81385">
        <w:rPr>
          <w:rFonts w:ascii="AvenirNext LT Pro Cn" w:hAnsi="AvenirNext LT Pro Cn"/>
          <w:noProof/>
        </w:rPr>
        <w:t>le</w:t>
      </w:r>
      <w:r>
        <w:rPr>
          <w:rFonts w:ascii="AvenirNext LT Pro Cn" w:hAnsi="AvenirNext LT Pro Cn"/>
          <w:noProof/>
        </w:rPr>
        <w:t xml:space="preserve">-ci sera </w:t>
      </w:r>
      <w:r w:rsidR="00D81385">
        <w:rPr>
          <w:rFonts w:ascii="AvenirNext LT Pro Cn" w:hAnsi="AvenirNext LT Pro Cn"/>
          <w:noProof/>
        </w:rPr>
        <w:t>ef</w:t>
      </w:r>
      <w:r>
        <w:rPr>
          <w:rFonts w:ascii="AvenirNext LT Pro Cn" w:hAnsi="AvenirNext LT Pro Cn"/>
          <w:noProof/>
        </w:rPr>
        <w:t>f</w:t>
      </w:r>
      <w:r w:rsidR="00D81385">
        <w:rPr>
          <w:rFonts w:ascii="AvenirNext LT Pro Cn" w:hAnsi="AvenirNext LT Pro Cn"/>
          <w:noProof/>
        </w:rPr>
        <w:t>e</w:t>
      </w:r>
      <w:r>
        <w:rPr>
          <w:rFonts w:ascii="AvenirNext LT Pro Cn" w:hAnsi="AvenirNext LT Pro Cn"/>
          <w:noProof/>
        </w:rPr>
        <w:t>ctive.</w:t>
      </w:r>
    </w:p>
    <w:p w14:paraId="7B1D92BC" w14:textId="77777777" w:rsidR="00D81385" w:rsidRDefault="00D81385" w:rsidP="003067F2">
      <w:pPr>
        <w:pStyle w:val="Normal2"/>
        <w:rPr>
          <w:rFonts w:ascii="AvenirNext LT Pro Cn" w:hAnsi="AvenirNext LT Pro Cn"/>
          <w:noProof/>
        </w:rPr>
      </w:pPr>
    </w:p>
    <w:p w14:paraId="3893238B" w14:textId="77777777" w:rsidR="001E21C7" w:rsidRPr="001E21C7" w:rsidRDefault="001E21C7" w:rsidP="008630D8">
      <w:pPr>
        <w:pStyle w:val="Titre1"/>
      </w:pPr>
      <w:bookmarkStart w:id="5" w:name="_Toc179551557"/>
      <w:r>
        <w:t>ZONES A REGIME RESTRICTIF (ZRR)</w:t>
      </w:r>
      <w:bookmarkEnd w:id="5"/>
    </w:p>
    <w:p w14:paraId="7FC75F0A" w14:textId="77777777" w:rsidR="001E21C7" w:rsidRPr="001E21C7" w:rsidRDefault="001E21C7" w:rsidP="008630D8">
      <w:pPr>
        <w:rPr>
          <w:b/>
          <w:i/>
        </w:rPr>
      </w:pPr>
      <w:bookmarkStart w:id="6"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6"/>
    </w:p>
    <w:p w14:paraId="1E95F0C8" w14:textId="77777777" w:rsidR="001E21C7" w:rsidRDefault="001E21C7" w:rsidP="008630D8">
      <w:bookmarkStart w:id="7"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7"/>
    </w:p>
    <w:p w14:paraId="7942DCBA" w14:textId="77777777" w:rsidR="00D25A0C" w:rsidRDefault="00D25A0C" w:rsidP="008630D8"/>
    <w:p w14:paraId="151AD4FE" w14:textId="77777777" w:rsidR="00B3398C" w:rsidRPr="009A7C35" w:rsidRDefault="00B3398C" w:rsidP="008630D8">
      <w:pPr>
        <w:pStyle w:val="Titre1"/>
        <w:rPr>
          <w:i/>
          <w:iCs/>
        </w:rPr>
      </w:pPr>
      <w:bookmarkStart w:id="8" w:name="_Toc179551558"/>
      <w:r w:rsidRPr="009A7C35">
        <w:t>PRIX ET MODALITÉS DE PAIEMENTS</w:t>
      </w:r>
      <w:bookmarkEnd w:id="8"/>
    </w:p>
    <w:p w14:paraId="4169CCD8" w14:textId="77777777" w:rsidR="00B3398C" w:rsidRDefault="00B3398C" w:rsidP="008630D8">
      <w:pPr>
        <w:pStyle w:val="Titre2"/>
      </w:pPr>
      <w:bookmarkStart w:id="9" w:name="_Toc179551559"/>
      <w:r w:rsidRPr="009A7C35">
        <w:t>Prix du marché</w:t>
      </w:r>
      <w:bookmarkEnd w:id="9"/>
    </w:p>
    <w:p w14:paraId="12E459A1" w14:textId="77777777" w:rsidR="003067F2" w:rsidRPr="003067F2" w:rsidRDefault="003067F2" w:rsidP="003067F2"/>
    <w:p w14:paraId="5D4F4330" w14:textId="77777777" w:rsidR="00B3398C" w:rsidRPr="003067F2" w:rsidRDefault="00B3398C" w:rsidP="008630D8">
      <w:r w:rsidRPr="003067F2">
        <w:t xml:space="preserve">Le prix forfaitaire des fournitures est de </w:t>
      </w:r>
      <w:r w:rsidR="0009322A" w:rsidRPr="003067F2">
        <w:rPr>
          <w:b/>
          <w:bCs/>
          <w:color w:val="FF0000"/>
        </w:rPr>
        <w:t>……</w:t>
      </w:r>
      <w:proofErr w:type="gramStart"/>
      <w:r w:rsidR="003067F2" w:rsidRPr="003067F2">
        <w:rPr>
          <w:b/>
          <w:bCs/>
          <w:color w:val="FF0000"/>
        </w:rPr>
        <w:t>…….</w:t>
      </w:r>
      <w:proofErr w:type="gramEnd"/>
      <w:r w:rsidR="003067F2" w:rsidRPr="003067F2">
        <w:rPr>
          <w:b/>
          <w:bCs/>
          <w:color w:val="FF0000"/>
        </w:rPr>
        <w:t>.</w:t>
      </w:r>
      <w:r w:rsidR="0009322A" w:rsidRPr="003067F2">
        <w:rPr>
          <w:b/>
          <w:bCs/>
          <w:color w:val="FF0000"/>
        </w:rPr>
        <w:t>……</w:t>
      </w:r>
      <w:r w:rsidRPr="003067F2">
        <w:t xml:space="preserve"> € hor</w:t>
      </w:r>
      <w:r w:rsidR="00AA3FDE" w:rsidRPr="003067F2">
        <w:t xml:space="preserve">s taxes, soit avec une TVA de </w:t>
      </w:r>
      <w:proofErr w:type="gramStart"/>
      <w:r w:rsidR="00AA3FDE" w:rsidRPr="003067F2">
        <w:rPr>
          <w:b/>
          <w:color w:val="C00000"/>
        </w:rPr>
        <w:t>…….</w:t>
      </w:r>
      <w:proofErr w:type="gramEnd"/>
      <w:r w:rsidR="00AA3FDE" w:rsidRPr="003067F2">
        <w:t>%</w:t>
      </w:r>
      <w:r w:rsidRPr="003067F2">
        <w:t xml:space="preserve"> un prix de </w:t>
      </w:r>
      <w:r w:rsidR="0009322A" w:rsidRPr="003067F2">
        <w:rPr>
          <w:b/>
          <w:bCs/>
          <w:color w:val="C00000"/>
        </w:rPr>
        <w:t>……</w:t>
      </w:r>
      <w:r w:rsidR="003067F2" w:rsidRPr="003067F2">
        <w:rPr>
          <w:b/>
          <w:bCs/>
          <w:color w:val="C00000"/>
        </w:rPr>
        <w:t>….</w:t>
      </w:r>
      <w:r w:rsidR="0009322A" w:rsidRPr="003067F2">
        <w:rPr>
          <w:b/>
          <w:bCs/>
          <w:color w:val="C00000"/>
        </w:rPr>
        <w:t>…...</w:t>
      </w:r>
      <w:r w:rsidR="00177F31" w:rsidRPr="003067F2">
        <w:rPr>
          <w:color w:val="C00000"/>
        </w:rPr>
        <w:t xml:space="preserve"> </w:t>
      </w:r>
      <w:r w:rsidRPr="003067F2">
        <w:t>€ TTC</w:t>
      </w:r>
      <w:r w:rsidR="0009322A" w:rsidRPr="003067F2">
        <w:t>.</w:t>
      </w:r>
    </w:p>
    <w:p w14:paraId="44D17023" w14:textId="77777777" w:rsidR="00B3398C" w:rsidRDefault="00B3398C" w:rsidP="00696EE2">
      <w:r w:rsidRPr="003067F2">
        <w:t xml:space="preserve">Ce </w:t>
      </w:r>
      <w:r w:rsidR="00C27CC1" w:rsidRPr="003067F2">
        <w:t>marché</w:t>
      </w:r>
      <w:r w:rsidRPr="003067F2">
        <w:t xml:space="preserve"> est conclu à prix</w:t>
      </w:r>
      <w:r w:rsidR="00696EE2" w:rsidRPr="003067F2">
        <w:t xml:space="preserve"> ferme et </w:t>
      </w:r>
      <w:r w:rsidR="00D81385" w:rsidRPr="003067F2">
        <w:t>définitif.</w:t>
      </w:r>
    </w:p>
    <w:p w14:paraId="31C7D78A" w14:textId="77777777" w:rsidR="00F44BCD" w:rsidRPr="009A7C35" w:rsidRDefault="00F44BCD" w:rsidP="008630D8">
      <w:pPr>
        <w:rPr>
          <w:sz w:val="20"/>
          <w:szCs w:val="20"/>
        </w:rPr>
      </w:pPr>
    </w:p>
    <w:p w14:paraId="5AA4A764" w14:textId="77777777" w:rsidR="00B3398C" w:rsidRPr="009A7C35" w:rsidRDefault="00911DB8" w:rsidP="008630D8">
      <w:pPr>
        <w:pStyle w:val="Titre2"/>
      </w:pPr>
      <w:bookmarkStart w:id="10" w:name="_Toc179551560"/>
      <w:r>
        <w:t>Echéancier</w:t>
      </w:r>
      <w:r w:rsidR="00B3398C" w:rsidRPr="009A7C35">
        <w:t xml:space="preserve"> de paiement</w:t>
      </w:r>
      <w:bookmarkEnd w:id="10"/>
    </w:p>
    <w:p w14:paraId="79B6947F" w14:textId="77777777" w:rsidR="003067F2" w:rsidRDefault="00B3398C" w:rsidP="008630D8">
      <w:r w:rsidRPr="009A7C35">
        <w:t>Le paiement des prestations se fait par virement administratif</w:t>
      </w:r>
      <w:r w:rsidR="003067F2">
        <w:t xml:space="preserve">, selon l’échéancier ci-dessous : </w:t>
      </w:r>
    </w:p>
    <w:p w14:paraId="6C6BBEED" w14:textId="77777777" w:rsidR="003067F2" w:rsidRDefault="003067F2" w:rsidP="003067F2">
      <w:r>
        <w:t xml:space="preserve">- </w:t>
      </w:r>
      <w:r w:rsidR="008E2DD9">
        <w:t>10</w:t>
      </w:r>
      <w:r>
        <w:t>0% après l</w:t>
      </w:r>
      <w:r w:rsidR="00464ADA">
        <w:t>a</w:t>
      </w:r>
      <w:r>
        <w:t xml:space="preserve"> mise en service</w:t>
      </w:r>
      <w:r w:rsidR="008E2DD9">
        <w:t xml:space="preserve"> et validation INRAE</w:t>
      </w:r>
    </w:p>
    <w:p w14:paraId="7C886E6C" w14:textId="77777777" w:rsidR="005D4468" w:rsidRDefault="005D4468" w:rsidP="005D4468">
      <w:pPr>
        <w:rPr>
          <w:rFonts w:ascii="Arial" w:hAnsi="Arial" w:cs="Arial"/>
          <w:i/>
          <w:color w:val="FF0000"/>
          <w:sz w:val="20"/>
          <w:szCs w:val="20"/>
        </w:rPr>
      </w:pPr>
    </w:p>
    <w:p w14:paraId="19012DD5" w14:textId="77777777" w:rsidR="00B3398C" w:rsidRPr="009A7C35" w:rsidRDefault="00B3398C" w:rsidP="008630D8">
      <w:pPr>
        <w:pStyle w:val="Titre2"/>
      </w:pPr>
      <w:r w:rsidRPr="009A7C35">
        <w:t xml:space="preserve"> </w:t>
      </w:r>
      <w:bookmarkStart w:id="11" w:name="_Toc179551561"/>
      <w:r w:rsidR="00526614" w:rsidRPr="009A7C35">
        <w:t>M</w:t>
      </w:r>
      <w:r w:rsidRPr="009A7C35">
        <w:t>odalités de paiement</w:t>
      </w:r>
      <w:bookmarkEnd w:id="11"/>
    </w:p>
    <w:p w14:paraId="5D47FCF3"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2DBFD570" w14:textId="77777777" w:rsidR="00B3398C" w:rsidRDefault="00B3398C" w:rsidP="008630D8">
      <w:r w:rsidRPr="009A7C35">
        <w:t xml:space="preserve">Le règlement du titulaire interviendra selon </w:t>
      </w:r>
      <w:r w:rsidR="00911DB8">
        <w:t>l’échéancier prévu</w:t>
      </w:r>
      <w:r w:rsidR="00AA1ADB">
        <w:t xml:space="preserve"> à l’article 7</w:t>
      </w:r>
      <w:r w:rsidR="00526614" w:rsidRPr="009A7C35">
        <w:t>.</w:t>
      </w:r>
      <w:r w:rsidRPr="009A7C35">
        <w:t xml:space="preserve">2 du présent document. </w:t>
      </w:r>
    </w:p>
    <w:p w14:paraId="336BF764"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4FFE78AA" w14:textId="77777777" w:rsidR="00CC6995" w:rsidRPr="00CC6995" w:rsidRDefault="00CC6995" w:rsidP="00CC6995">
      <w:pPr>
        <w:rPr>
          <w:rFonts w:ascii="Arial" w:hAnsi="Arial" w:cs="Arial"/>
          <w:spacing w:val="4"/>
          <w:sz w:val="20"/>
          <w:szCs w:val="20"/>
        </w:rPr>
      </w:pPr>
    </w:p>
    <w:p w14:paraId="7067FA94" w14:textId="77777777" w:rsidR="00CC6995" w:rsidRP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E4467E">
        <w:t>PDF</w:t>
      </w:r>
      <w:r w:rsidR="00AB580E">
        <w:t xml:space="preserve"> </w:t>
      </w:r>
      <w:r w:rsidR="00BC6C36">
        <w:t xml:space="preserve">sur le site </w:t>
      </w:r>
      <w:hyperlink r:id="rId11" w:history="1">
        <w:r w:rsidR="00BC6C36" w:rsidRPr="00BC6C36">
          <w:rPr>
            <w:rStyle w:val="Lienhypertexte"/>
            <w:rFonts w:ascii="Arial" w:hAnsi="Arial" w:cs="Arial"/>
            <w:spacing w:val="4"/>
            <w:sz w:val="20"/>
            <w:szCs w:val="20"/>
          </w:rPr>
          <w:t>https://chorus-pro.gouv.fr</w:t>
        </w:r>
      </w:hyperlink>
      <w:r w:rsidRPr="00CC6995">
        <w:t>.</w:t>
      </w:r>
    </w:p>
    <w:p w14:paraId="60050463" w14:textId="77777777"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14:paraId="3B863749" w14:textId="77777777" w:rsidR="00CC6995" w:rsidRDefault="00CC6995" w:rsidP="007632CF">
      <w:pPr>
        <w:pStyle w:val="Paragraphedeliste"/>
        <w:numPr>
          <w:ilvl w:val="0"/>
          <w:numId w:val="2"/>
        </w:numPr>
      </w:pPr>
      <w:r>
        <w:t xml:space="preserve">Le numéro SIRET du centre </w:t>
      </w:r>
      <w:r w:rsidR="00E4467E">
        <w:t>INRAE</w:t>
      </w:r>
      <w:r>
        <w:t xml:space="preserve"> </w:t>
      </w:r>
      <w:r w:rsidR="00BC6C36">
        <w:t>bénéficiaire</w:t>
      </w:r>
    </w:p>
    <w:p w14:paraId="2703C5E3" w14:textId="77777777" w:rsidR="00CC6995" w:rsidRDefault="005D4468" w:rsidP="007632CF">
      <w:pPr>
        <w:pStyle w:val="Paragraphedeliste"/>
        <w:numPr>
          <w:ilvl w:val="0"/>
          <w:numId w:val="2"/>
        </w:numPr>
      </w:pPr>
      <w:r w:rsidRPr="009A7C35">
        <w:t>Le numéro du marché</w:t>
      </w:r>
    </w:p>
    <w:p w14:paraId="56CB4B30" w14:textId="77777777" w:rsidR="00CC6995" w:rsidRDefault="00B3398C" w:rsidP="007632CF">
      <w:pPr>
        <w:pStyle w:val="Paragraphedeliste"/>
        <w:numPr>
          <w:ilvl w:val="0"/>
          <w:numId w:val="2"/>
        </w:numPr>
      </w:pPr>
      <w:r w:rsidRPr="00CC6995">
        <w:t>Les prestations réalisées ou fournitures livrées</w:t>
      </w:r>
    </w:p>
    <w:p w14:paraId="50105358" w14:textId="77777777" w:rsidR="00CC6995" w:rsidRPr="00D93310" w:rsidRDefault="00D93310" w:rsidP="007632CF">
      <w:pPr>
        <w:pStyle w:val="Paragraphedeliste"/>
        <w:numPr>
          <w:ilvl w:val="0"/>
          <w:numId w:val="2"/>
        </w:numPr>
      </w:pPr>
      <w:r w:rsidRPr="00D93310">
        <w:t>Le</w:t>
      </w:r>
      <w:r w:rsidR="00911DB8" w:rsidRPr="00D93310">
        <w:t xml:space="preserve"> numéro du bon de commande</w:t>
      </w:r>
    </w:p>
    <w:p w14:paraId="1D5A27D2" w14:textId="77777777" w:rsidR="00CC6995" w:rsidRDefault="00B3398C" w:rsidP="007632CF">
      <w:pPr>
        <w:pStyle w:val="Paragraphedeliste"/>
        <w:numPr>
          <w:ilvl w:val="0"/>
          <w:numId w:val="2"/>
        </w:numPr>
      </w:pPr>
      <w:r w:rsidRPr="00CC6995">
        <w:t>Le montant HT des prestations ou fournitures</w:t>
      </w:r>
    </w:p>
    <w:p w14:paraId="26B65664" w14:textId="77777777" w:rsidR="00CC6995" w:rsidRDefault="00B3398C" w:rsidP="007632CF">
      <w:pPr>
        <w:pStyle w:val="Paragraphedeliste"/>
        <w:numPr>
          <w:ilvl w:val="0"/>
          <w:numId w:val="2"/>
        </w:numPr>
      </w:pPr>
      <w:r w:rsidRPr="00CC6995">
        <w:t>Le taux et le montant de la TVA</w:t>
      </w:r>
    </w:p>
    <w:p w14:paraId="3C1D0F86" w14:textId="77777777" w:rsidR="00B3398C" w:rsidRPr="00CC6995" w:rsidRDefault="00B3398C" w:rsidP="007632CF">
      <w:pPr>
        <w:pStyle w:val="Paragraphedeliste"/>
        <w:numPr>
          <w:ilvl w:val="0"/>
          <w:numId w:val="2"/>
        </w:numPr>
      </w:pPr>
      <w:r w:rsidRPr="00CC6995">
        <w:t>Le montant total TTC</w:t>
      </w:r>
    </w:p>
    <w:p w14:paraId="41E94F50" w14:textId="77777777" w:rsidR="00B3398C" w:rsidRPr="009A7C35" w:rsidRDefault="00B3398C">
      <w:pPr>
        <w:rPr>
          <w:rFonts w:ascii="Arial" w:hAnsi="Arial" w:cs="Arial"/>
          <w:spacing w:val="4"/>
          <w:sz w:val="20"/>
          <w:szCs w:val="20"/>
        </w:rPr>
      </w:pPr>
    </w:p>
    <w:p w14:paraId="2E947C6A" w14:textId="77777777" w:rsidR="00CC6995" w:rsidRPr="00CC6995" w:rsidRDefault="00CC6995" w:rsidP="008630D8">
      <w:r w:rsidRPr="00CC6995">
        <w:t>Conformément aux dispositions de l’article 4.1 du décret n°2016-1478 du 2 novembre 2016 relatif au développement de la facturation électronique, l’utilisation du portail de facturation est exclusive de tout autre mode de transmission.</w:t>
      </w:r>
    </w:p>
    <w:p w14:paraId="1175CBDF" w14:textId="77777777" w:rsidR="00B3398C" w:rsidRPr="009A7C35" w:rsidRDefault="00B3398C" w:rsidP="008630D8">
      <w:r w:rsidRPr="009A7C35">
        <w:t xml:space="preserve">L’ordonnateur chargé d’émettre le titre de paiement est </w:t>
      </w:r>
      <w:r w:rsidR="001D4D11">
        <w:t>le</w:t>
      </w:r>
      <w:r w:rsidR="000E5048">
        <w:t xml:space="preserve"> </w:t>
      </w:r>
      <w:r w:rsidR="00F84DE2">
        <w:t>Président</w:t>
      </w:r>
      <w:r w:rsidR="00732C9B">
        <w:rPr>
          <w:color w:val="C00000"/>
        </w:rPr>
        <w:t xml:space="preserve"> </w:t>
      </w:r>
      <w:r w:rsidR="00F84DE2">
        <w:t>du C</w:t>
      </w:r>
      <w:r w:rsidRPr="009A7C35">
        <w:t>entre</w:t>
      </w:r>
      <w:r w:rsidR="00732C9B">
        <w:t xml:space="preserve"> INRAE PACA</w:t>
      </w:r>
      <w:r w:rsidR="002B5C0D">
        <w:t xml:space="preserve"> </w:t>
      </w:r>
    </w:p>
    <w:p w14:paraId="6F1AE9EC" w14:textId="77777777" w:rsidR="000A175F" w:rsidRDefault="00B3398C" w:rsidP="008630D8">
      <w:r w:rsidRPr="009A7C35">
        <w:t xml:space="preserve">Le paiement sera effectué par virement administratif au compte indiqué par le titulaire ci-dessous </w:t>
      </w:r>
      <w:r w:rsidRPr="009A7C35">
        <w:rPr>
          <w:b/>
          <w:bCs/>
        </w:rPr>
        <w:t>(joindre un RIB)</w:t>
      </w:r>
      <w:r w:rsidRPr="009A7C35">
        <w:t xml:space="preserve"> : </w:t>
      </w:r>
    </w:p>
    <w:p w14:paraId="768D009C" w14:textId="77777777" w:rsidR="000A175F" w:rsidRPr="009A7C35" w:rsidRDefault="000A175F" w:rsidP="005144E6">
      <w:pPr>
        <w:ind w:left="720"/>
        <w:rPr>
          <w:rFonts w:ascii="Arial" w:hAnsi="Arial" w:cs="Arial"/>
          <w:spacing w:val="4"/>
          <w:sz w:val="20"/>
          <w:szCs w:val="20"/>
        </w:rPr>
      </w:pPr>
    </w:p>
    <w:p w14:paraId="1A5D66DF" w14:textId="77777777" w:rsidR="00B3398C" w:rsidRPr="009A7C35" w:rsidRDefault="00B3398C" w:rsidP="008630D8">
      <w:pPr>
        <w:spacing w:before="0" w:after="0"/>
        <w:ind w:left="1440"/>
      </w:pPr>
      <w:r w:rsidRPr="009A7C35">
        <w:t>Banque</w:t>
      </w:r>
      <w:r w:rsidRPr="009A7C35">
        <w:tab/>
        <w:t>: ………………………………</w:t>
      </w:r>
    </w:p>
    <w:p w14:paraId="0C4038C7"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16CEF3E0" w14:textId="77777777" w:rsidR="00B3398C" w:rsidRPr="009A7C35" w:rsidRDefault="00B3398C" w:rsidP="008630D8">
      <w:pPr>
        <w:spacing w:before="0" w:after="0"/>
        <w:ind w:left="1440"/>
      </w:pPr>
      <w:r w:rsidRPr="009A7C35">
        <w:t>Code Guichet</w:t>
      </w:r>
      <w:r w:rsidRPr="009A7C35">
        <w:tab/>
        <w:t>: ……………………….</w:t>
      </w:r>
    </w:p>
    <w:p w14:paraId="1C6E9A17"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5A1A234B" w14:textId="77777777" w:rsidR="00B3398C" w:rsidRDefault="00B3398C" w:rsidP="008630D8">
      <w:pPr>
        <w:spacing w:before="0" w:after="0"/>
        <w:ind w:left="1440"/>
      </w:pPr>
      <w:r w:rsidRPr="009A7C35">
        <w:t>Clé</w:t>
      </w:r>
      <w:proofErr w:type="gramStart"/>
      <w:r w:rsidRPr="009A7C35">
        <w:tab/>
        <w:t>:…</w:t>
      </w:r>
      <w:proofErr w:type="gramEnd"/>
      <w:r w:rsidRPr="009A7C35">
        <w:t>…………………….</w:t>
      </w:r>
    </w:p>
    <w:p w14:paraId="37C8E444" w14:textId="77777777" w:rsidR="00B3398C" w:rsidRPr="009A7C35" w:rsidRDefault="00B3398C">
      <w:pPr>
        <w:rPr>
          <w:rFonts w:ascii="Arial" w:hAnsi="Arial" w:cs="Arial"/>
          <w:spacing w:val="4"/>
          <w:sz w:val="20"/>
          <w:szCs w:val="20"/>
        </w:rPr>
      </w:pPr>
    </w:p>
    <w:p w14:paraId="30E9CD63"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147909C9" w14:textId="77777777"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02792E0E"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7DE86DE1" w14:textId="77777777" w:rsidR="00B3398C" w:rsidRPr="009A7C35" w:rsidRDefault="00B3398C">
      <w:pPr>
        <w:pStyle w:val="Corpsdetexte3"/>
        <w:spacing w:after="0"/>
        <w:rPr>
          <w:rFonts w:ascii="Arial" w:hAnsi="Arial" w:cs="Arial"/>
          <w:spacing w:val="4"/>
          <w:sz w:val="20"/>
          <w:szCs w:val="20"/>
        </w:rPr>
      </w:pPr>
    </w:p>
    <w:p w14:paraId="58CC43AE" w14:textId="77777777" w:rsidR="00B3398C" w:rsidRDefault="00B3398C" w:rsidP="008630D8">
      <w:pPr>
        <w:pStyle w:val="Titre1"/>
      </w:pPr>
      <w:bookmarkStart w:id="12" w:name="_Toc179551562"/>
      <w:r w:rsidRPr="009A7C35">
        <w:t>AVANCE</w:t>
      </w:r>
      <w:bookmarkEnd w:id="12"/>
      <w:r w:rsidRPr="009A7C35">
        <w:t xml:space="preserve"> </w:t>
      </w:r>
    </w:p>
    <w:p w14:paraId="2F4D4D31" w14:textId="77777777" w:rsidR="00274965" w:rsidRDefault="00732C9B" w:rsidP="008630D8">
      <w:pPr>
        <w:rPr>
          <w:sz w:val="20"/>
          <w:szCs w:val="20"/>
        </w:rPr>
      </w:pPr>
      <w:r>
        <w:t>Sans objet</w:t>
      </w:r>
    </w:p>
    <w:p w14:paraId="4397289E" w14:textId="77777777" w:rsidR="006D028A" w:rsidRDefault="006D028A" w:rsidP="008630D8"/>
    <w:p w14:paraId="18FE0ABF" w14:textId="77777777" w:rsidR="006D028A" w:rsidRDefault="006D028A" w:rsidP="006D028A">
      <w:pPr>
        <w:pStyle w:val="Titre1"/>
      </w:pPr>
      <w:bookmarkStart w:id="13" w:name="_Toc179551563"/>
      <w:r>
        <w:t>PENALITES DE RETARD</w:t>
      </w:r>
      <w:bookmarkEnd w:id="13"/>
    </w:p>
    <w:p w14:paraId="64EEF097" w14:textId="77777777" w:rsidR="006D028A" w:rsidRDefault="006D028A" w:rsidP="006D028A">
      <w:r>
        <w:t xml:space="preserve">Par dérogation à l’article </w:t>
      </w:r>
      <w:r w:rsidR="003A3540">
        <w:t>1</w:t>
      </w:r>
      <w:r>
        <w:t>4.1 du CCAG</w:t>
      </w:r>
      <w:r w:rsidR="00C64DD9">
        <w:t xml:space="preserve">-FCS, une pénalité de retard </w:t>
      </w:r>
      <w:r w:rsidR="003067F2">
        <w:t xml:space="preserve">de 50€ par jour calendaire </w:t>
      </w:r>
      <w:r w:rsidR="00C64DD9">
        <w:t>est prévue sans mise en demeure</w:t>
      </w:r>
      <w:r w:rsidR="003657AA">
        <w:t xml:space="preserve"> en cas de non-respect des délais par le titulaire.</w:t>
      </w:r>
    </w:p>
    <w:p w14:paraId="3D90BB54" w14:textId="77777777" w:rsidR="00C64DD9" w:rsidRDefault="003067F2" w:rsidP="006D028A">
      <w:r>
        <w:t>En cas de retard réitéré</w:t>
      </w:r>
      <w:r w:rsidR="009F5ECE">
        <w:t>, le marché pourra être résilié sans indemnité par le Représentant du Pouvoir Adjudicateur.</w:t>
      </w:r>
    </w:p>
    <w:p w14:paraId="746F639F" w14:textId="77777777" w:rsidR="000222BE" w:rsidRPr="006D028A" w:rsidRDefault="000222BE" w:rsidP="006D028A"/>
    <w:p w14:paraId="704DD05B" w14:textId="77777777" w:rsidR="00303880" w:rsidRDefault="000222BE" w:rsidP="000222BE">
      <w:pPr>
        <w:pStyle w:val="Titre1"/>
      </w:pPr>
      <w:bookmarkStart w:id="14" w:name="_Toc179551564"/>
      <w:r>
        <w:t>CLAUSES ENVIRONNEMENTALE ET D’INSERTION</w:t>
      </w:r>
      <w:r w:rsidR="00D81385">
        <w:t xml:space="preserve"> </w:t>
      </w:r>
      <w:r w:rsidRPr="000222BE">
        <w:t>SOCIALE</w:t>
      </w:r>
      <w:bookmarkEnd w:id="14"/>
      <w:r>
        <w:t xml:space="preserve">     </w:t>
      </w:r>
    </w:p>
    <w:p w14:paraId="743F2E2A" w14:textId="77777777" w:rsidR="003657AA" w:rsidRDefault="003657AA" w:rsidP="000222BE">
      <w:r w:rsidRPr="003657AA">
        <w:t>San</w:t>
      </w:r>
      <w:r>
        <w:t xml:space="preserve">s </w:t>
      </w:r>
      <w:r w:rsidRPr="003657AA">
        <w:t>objet.</w:t>
      </w:r>
    </w:p>
    <w:p w14:paraId="36DAEBE2" w14:textId="77777777" w:rsidR="00345E73" w:rsidRPr="003657AA" w:rsidRDefault="00345E73" w:rsidP="000222BE"/>
    <w:p w14:paraId="079802DD" w14:textId="77777777" w:rsidR="00D25A0C" w:rsidRDefault="00D25A0C" w:rsidP="00D25A0C">
      <w:pPr>
        <w:pStyle w:val="Titre1"/>
      </w:pPr>
      <w:bookmarkStart w:id="15" w:name="_Toc179551565"/>
      <w:r w:rsidRPr="00D25A0C">
        <w:t>PROTECTION DES DONNES A CARACTERE PERSONNEL</w:t>
      </w:r>
      <w:bookmarkEnd w:id="15"/>
      <w:r w:rsidRPr="00D25A0C">
        <w:t xml:space="preserve"> </w:t>
      </w:r>
    </w:p>
    <w:p w14:paraId="6DB28FE1" w14:textId="77777777" w:rsidR="0086249B" w:rsidRPr="009A7C35" w:rsidRDefault="0086249B" w:rsidP="0086249B">
      <w:pPr>
        <w:widowControl w:val="0"/>
        <w:autoSpaceDE w:val="0"/>
        <w:autoSpaceDN w:val="0"/>
        <w:adjustRightInd w:val="0"/>
        <w:spacing w:line="200" w:lineRule="exact"/>
        <w:rPr>
          <w:rFonts w:ascii="Arial" w:hAnsi="Arial" w:cs="Arial"/>
          <w:sz w:val="20"/>
          <w:szCs w:val="20"/>
        </w:rPr>
      </w:pPr>
    </w:p>
    <w:p w14:paraId="7646A265" w14:textId="77777777" w:rsidR="0086249B" w:rsidRPr="00853264" w:rsidRDefault="0086249B" w:rsidP="007632CF">
      <w:pPr>
        <w:keepNext/>
        <w:numPr>
          <w:ilvl w:val="1"/>
          <w:numId w:val="3"/>
        </w:numPr>
        <w:tabs>
          <w:tab w:val="num" w:pos="360"/>
          <w:tab w:val="num" w:pos="576"/>
        </w:tabs>
        <w:spacing w:before="240" w:after="60"/>
        <w:ind w:left="576" w:hanging="576"/>
        <w:jc w:val="left"/>
        <w:outlineLvl w:val="1"/>
        <w:rPr>
          <w:rFonts w:ascii="Arial Narrow" w:eastAsia="Times New Roman" w:hAnsi="Arial Narrow" w:cs="Times New Roman"/>
          <w:bCs/>
          <w:iCs/>
          <w:color w:val="33CCCC"/>
          <w:sz w:val="24"/>
          <w:szCs w:val="28"/>
          <w:lang w:val="x-none" w:eastAsia="x-none"/>
        </w:rPr>
      </w:pPr>
      <w:bookmarkStart w:id="16" w:name="_Toc31886504"/>
      <w:bookmarkStart w:id="17" w:name="_Toc179551566"/>
      <w:r w:rsidRPr="00853264">
        <w:rPr>
          <w:rFonts w:ascii="Arial Narrow" w:eastAsia="Times New Roman" w:hAnsi="Arial Narrow" w:cs="Times New Roman"/>
          <w:bCs/>
          <w:iCs/>
          <w:color w:val="33CCCC"/>
          <w:sz w:val="24"/>
          <w:szCs w:val="28"/>
          <w:lang w:val="x-none" w:eastAsia="x-none"/>
        </w:rPr>
        <w:t>EXIGENCES REGLEMENTAIRES DE CONFIDENTIALITE ET SECURISATION DES DONNEES APPLICABLES AU TITULAIRE ET SES SOUS-TRAITANTS</w:t>
      </w:r>
      <w:bookmarkEnd w:id="16"/>
      <w:bookmarkEnd w:id="17"/>
    </w:p>
    <w:p w14:paraId="0ED1000B" w14:textId="77777777" w:rsidR="0086249B" w:rsidRPr="00853264" w:rsidRDefault="0086249B" w:rsidP="0086249B">
      <w:pPr>
        <w:spacing w:before="0" w:after="0"/>
        <w:rPr>
          <w:rFonts w:ascii="Calibri" w:eastAsia="Times New Roman" w:hAnsi="Calibri" w:cs="Calibri"/>
          <w:sz w:val="20"/>
          <w:lang w:eastAsia="fr-FR"/>
        </w:rPr>
      </w:pPr>
    </w:p>
    <w:p w14:paraId="02FB6983" w14:textId="77777777" w:rsidR="0086249B" w:rsidRPr="00853264" w:rsidRDefault="0086249B" w:rsidP="0086249B">
      <w:pPr>
        <w:spacing w:before="0" w:after="0"/>
      </w:pPr>
      <w:r w:rsidRPr="00853264">
        <w:t xml:space="preserve">L’offre du titulaire respecte les obligations posées par le CCAP. De plus, la gestion des données doit répondre aux exigences posées par le règlement européen sur les données personnelles, l'ANSSI et la DINUM. </w:t>
      </w:r>
    </w:p>
    <w:p w14:paraId="020B6CF5" w14:textId="77777777" w:rsidR="0086249B" w:rsidRPr="00853264" w:rsidRDefault="0086249B" w:rsidP="0086249B">
      <w:pPr>
        <w:spacing w:before="0" w:after="0"/>
      </w:pPr>
    </w:p>
    <w:p w14:paraId="0B5FA67C" w14:textId="77777777" w:rsidR="0086249B" w:rsidRPr="00853264" w:rsidRDefault="0086249B" w:rsidP="0086249B">
      <w:pPr>
        <w:spacing w:before="0" w:after="0"/>
      </w:pPr>
      <w:r w:rsidRPr="00853264">
        <w:t>La prestation doit être conforme aux référentiels ainsi qu'au règlement et doit évoluer conformément à leurs éventuelles révisions :</w:t>
      </w:r>
    </w:p>
    <w:p w14:paraId="6F82A55A" w14:textId="77777777"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14:paraId="020E5CC3"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18" w:name="_Toc31886505"/>
      <w:bookmarkStart w:id="19" w:name="_Toc179551567"/>
      <w:r w:rsidRPr="00853264">
        <w:rPr>
          <w:rFonts w:ascii="Arial Narrow" w:eastAsia="Calibri" w:hAnsi="Arial Narrow" w:cs="Times-Roman"/>
          <w:color w:val="33CCCC"/>
          <w:sz w:val="20"/>
          <w:szCs w:val="18"/>
        </w:rPr>
        <w:t>Conformité au RGI</w:t>
      </w:r>
      <w:bookmarkEnd w:id="18"/>
      <w:bookmarkEnd w:id="19"/>
    </w:p>
    <w:p w14:paraId="7C0957DD" w14:textId="77777777" w:rsidR="0086249B" w:rsidRPr="00853264" w:rsidRDefault="0086249B" w:rsidP="0086249B">
      <w:pPr>
        <w:spacing w:before="0" w:after="0"/>
      </w:pPr>
      <w:r w:rsidRPr="00853264">
        <w:rPr>
          <w:rFonts w:ascii="Calibri" w:eastAsia="Times New Roman" w:hAnsi="Calibri" w:cs="Calibri"/>
          <w:color w:val="33CCCC"/>
          <w:sz w:val="20"/>
          <w:lang w:eastAsia="fr-FR"/>
        </w:rPr>
        <w:t xml:space="preserve"> </w:t>
      </w:r>
      <w:r w:rsidRPr="00853264">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0D7CADE1" w14:textId="77777777" w:rsidR="0086249B" w:rsidRPr="00853264" w:rsidRDefault="0086249B" w:rsidP="0086249B">
      <w:pPr>
        <w:spacing w:before="0" w:after="0"/>
      </w:pPr>
    </w:p>
    <w:p w14:paraId="03274D36" w14:textId="77777777" w:rsidR="0086249B" w:rsidRPr="00853264" w:rsidRDefault="0086249B" w:rsidP="0086249B">
      <w:pPr>
        <w:spacing w:before="0" w:after="0"/>
      </w:pPr>
      <w:r w:rsidRPr="00853264">
        <w:t>La dernière version du RGI figure dans l'arrêté en date du 20 avril 2016. (JORF n°0095 du 22 avril 2016 texte n° 1)</w:t>
      </w:r>
    </w:p>
    <w:p w14:paraId="15C9B423" w14:textId="77777777" w:rsidR="0086249B" w:rsidRPr="00853264" w:rsidRDefault="0086249B" w:rsidP="0086249B">
      <w:pPr>
        <w:spacing w:before="0" w:after="0"/>
      </w:pPr>
    </w:p>
    <w:p w14:paraId="761059F0" w14:textId="77777777" w:rsidR="0086249B" w:rsidRPr="00853264" w:rsidRDefault="0086249B" w:rsidP="0086249B">
      <w:pPr>
        <w:spacing w:before="0" w:after="0"/>
      </w:pPr>
      <w:r w:rsidRPr="00853264">
        <w:t>Informations concernant le RGI :</w:t>
      </w:r>
    </w:p>
    <w:p w14:paraId="6C573802" w14:textId="77777777" w:rsidR="0086249B" w:rsidRPr="00853264" w:rsidRDefault="000B0AE9" w:rsidP="0086249B">
      <w:pPr>
        <w:spacing w:before="0" w:after="0"/>
        <w:jc w:val="left"/>
        <w:rPr>
          <w:rFonts w:ascii="Calibri" w:eastAsia="Times New Roman" w:hAnsi="Calibri" w:cs="Calibri"/>
          <w:sz w:val="20"/>
          <w:lang w:eastAsia="fr-FR"/>
        </w:rPr>
      </w:pPr>
      <w:hyperlink r:id="rId12" w:history="1">
        <w:r w:rsidR="0086249B" w:rsidRPr="00853264">
          <w:rPr>
            <w:rFonts w:ascii="Calibri" w:eastAsia="Times New Roman" w:hAnsi="Calibri" w:cs="Calibri"/>
            <w:color w:val="0563C1"/>
            <w:sz w:val="20"/>
            <w:u w:val="single"/>
            <w:lang w:eastAsia="fr-FR"/>
          </w:rPr>
          <w:t>http://references.modernisation.gouv.fr/interoperabilite</w:t>
        </w:r>
      </w:hyperlink>
    </w:p>
    <w:p w14:paraId="690C8D40" w14:textId="77777777"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14:paraId="2193B914"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0" w:name="_Toc179551568"/>
      <w:bookmarkStart w:id="21" w:name="_Toc31886506"/>
      <w:r w:rsidRPr="00853264">
        <w:rPr>
          <w:rFonts w:ascii="Arial Narrow" w:eastAsia="Calibri" w:hAnsi="Arial Narrow" w:cs="Times-Roman"/>
          <w:color w:val="33CCCC"/>
          <w:sz w:val="20"/>
          <w:szCs w:val="18"/>
        </w:rPr>
        <w:t>Conformité au RGAA</w:t>
      </w:r>
      <w:bookmarkEnd w:id="20"/>
      <w:r w:rsidRPr="00853264">
        <w:rPr>
          <w:rFonts w:ascii="Arial Narrow" w:eastAsia="Calibri" w:hAnsi="Arial Narrow" w:cs="Times-Roman"/>
          <w:color w:val="33CCCC"/>
          <w:sz w:val="20"/>
          <w:szCs w:val="18"/>
        </w:rPr>
        <w:t xml:space="preserve"> </w:t>
      </w:r>
      <w:bookmarkEnd w:id="21"/>
    </w:p>
    <w:p w14:paraId="3B2FEC2A" w14:textId="77777777" w:rsidR="0086249B" w:rsidRPr="00853264" w:rsidRDefault="0086249B" w:rsidP="0086249B">
      <w:pPr>
        <w:spacing w:before="0" w:after="0"/>
      </w:pPr>
      <w:r w:rsidRPr="00853264">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3883CE11" w14:textId="77777777" w:rsidR="0086249B" w:rsidRPr="00853264" w:rsidRDefault="0086249B" w:rsidP="0086249B">
      <w:pPr>
        <w:spacing w:before="0" w:after="0"/>
      </w:pPr>
      <w:r w:rsidRPr="00853264">
        <w:t xml:space="preserve">Le RGAA, à forte dimension technique, propose une traduction opérationnelle des critères d’accessibilité issus des règles internationales ainsi qu’une méthodologie pour vérifier la conformité à ces critères. </w:t>
      </w:r>
    </w:p>
    <w:p w14:paraId="33852E9B" w14:textId="77777777" w:rsidR="0086249B" w:rsidRPr="00853264" w:rsidRDefault="0086249B" w:rsidP="0086249B">
      <w:pPr>
        <w:spacing w:before="0" w:after="0"/>
      </w:pPr>
    </w:p>
    <w:p w14:paraId="1759AE47" w14:textId="77777777" w:rsidR="0086249B" w:rsidRPr="00853264" w:rsidRDefault="0086249B" w:rsidP="0086249B">
      <w:pPr>
        <w:spacing w:before="0" w:after="0"/>
      </w:pPr>
      <w:r w:rsidRPr="00853264">
        <w:t xml:space="preserve">La version 3.0 du RGAA a été approuvée par l’arrêté du 29 avril 2015. </w:t>
      </w:r>
    </w:p>
    <w:p w14:paraId="667F9595" w14:textId="77777777" w:rsidR="0086249B" w:rsidRPr="00853264" w:rsidRDefault="0086249B" w:rsidP="0086249B">
      <w:pPr>
        <w:spacing w:before="0" w:after="0"/>
      </w:pPr>
    </w:p>
    <w:p w14:paraId="479A7362" w14:textId="77777777" w:rsidR="0086249B" w:rsidRPr="00853264" w:rsidRDefault="0086249B" w:rsidP="0086249B">
      <w:pPr>
        <w:spacing w:before="0" w:after="0"/>
      </w:pPr>
      <w:r w:rsidRPr="00853264">
        <w:t xml:space="preserve">Informations concernant le RGAA : </w:t>
      </w:r>
    </w:p>
    <w:p w14:paraId="0B4952EB" w14:textId="77777777" w:rsidR="0086249B" w:rsidRPr="00853264" w:rsidRDefault="000B0AE9" w:rsidP="0086249B">
      <w:pPr>
        <w:spacing w:before="0" w:after="0"/>
        <w:jc w:val="left"/>
        <w:rPr>
          <w:rFonts w:ascii="Calibri" w:eastAsia="Times New Roman" w:hAnsi="Calibri" w:cs="Calibri"/>
          <w:color w:val="0563C1"/>
          <w:sz w:val="20"/>
          <w:u w:val="single"/>
          <w:lang w:eastAsia="fr-FR"/>
        </w:rPr>
      </w:pPr>
      <w:hyperlink r:id="rId13" w:history="1">
        <w:r w:rsidR="0086249B" w:rsidRPr="00853264">
          <w:rPr>
            <w:rFonts w:ascii="Calibri" w:eastAsia="Times New Roman" w:hAnsi="Calibri" w:cs="Calibri"/>
            <w:color w:val="0563C1"/>
            <w:sz w:val="20"/>
            <w:u w:val="single"/>
            <w:lang w:eastAsia="fr-FR"/>
          </w:rPr>
          <w:t>http://references.modernisation.gouv.fr/referentiel/</w:t>
        </w:r>
      </w:hyperlink>
    </w:p>
    <w:p w14:paraId="16FEAC75" w14:textId="77777777" w:rsidR="0086249B" w:rsidRPr="00853264" w:rsidRDefault="0086249B" w:rsidP="0086249B">
      <w:pPr>
        <w:spacing w:before="0" w:after="0"/>
        <w:jc w:val="left"/>
        <w:rPr>
          <w:rFonts w:ascii="Calibri" w:eastAsia="Times New Roman" w:hAnsi="Calibri" w:cs="Calibri"/>
          <w:sz w:val="20"/>
          <w:lang w:eastAsia="fr-FR"/>
        </w:rPr>
      </w:pPr>
    </w:p>
    <w:p w14:paraId="432AC8FD" w14:textId="77777777"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14:paraId="5B6D6C7F"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2" w:name="_Toc31886507"/>
      <w:bookmarkStart w:id="23" w:name="_Toc179551569"/>
      <w:r w:rsidRPr="00853264">
        <w:rPr>
          <w:rFonts w:ascii="Arial Narrow" w:eastAsia="Calibri" w:hAnsi="Arial Narrow" w:cs="Times-Roman"/>
          <w:color w:val="33CCCC"/>
          <w:sz w:val="20"/>
          <w:szCs w:val="18"/>
        </w:rPr>
        <w:t>Conformité au RGS</w:t>
      </w:r>
      <w:bookmarkEnd w:id="22"/>
      <w:bookmarkEnd w:id="23"/>
    </w:p>
    <w:p w14:paraId="0FE83522" w14:textId="77777777" w:rsidR="0086249B" w:rsidRPr="00853264" w:rsidRDefault="0086249B" w:rsidP="0086249B">
      <w:pPr>
        <w:spacing w:before="0" w:after="0"/>
      </w:pPr>
      <w:r w:rsidRPr="00853264">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5A4B0987" w14:textId="77777777" w:rsidR="0086249B" w:rsidRPr="00853264" w:rsidRDefault="0086249B" w:rsidP="0086249B">
      <w:pPr>
        <w:spacing w:before="0" w:after="0"/>
      </w:pPr>
      <w:r w:rsidRPr="00853264">
        <w:t xml:space="preserve">La solution doit respecter les recommandations du RGS et particulièrement parmi celles-ci : </w:t>
      </w:r>
    </w:p>
    <w:p w14:paraId="0BB97862" w14:textId="77777777" w:rsidR="0086249B" w:rsidRPr="00853264" w:rsidRDefault="0086249B" w:rsidP="0086249B">
      <w:pPr>
        <w:spacing w:before="0" w:after="0"/>
      </w:pPr>
      <w:r w:rsidRPr="00853264">
        <w:t>Une obligation de chiffrement des flux de données entre l’INRAE et le prestataire ainsi que ses sous-traitants éventuels,</w:t>
      </w:r>
    </w:p>
    <w:p w14:paraId="654BF023" w14:textId="77777777" w:rsidR="0086249B" w:rsidRPr="00853264" w:rsidRDefault="0086249B" w:rsidP="0086249B">
      <w:pPr>
        <w:spacing w:before="0" w:after="0"/>
      </w:pPr>
      <w:r w:rsidRPr="00853264">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2D4852D2" w14:textId="77777777" w:rsidR="0086249B" w:rsidRPr="00853264" w:rsidRDefault="0086249B" w:rsidP="0086249B">
      <w:pPr>
        <w:spacing w:before="0" w:after="0"/>
      </w:pPr>
    </w:p>
    <w:p w14:paraId="4A9E0F8A" w14:textId="77777777" w:rsidR="0086249B" w:rsidRPr="00853264" w:rsidRDefault="0086249B" w:rsidP="0086249B">
      <w:pPr>
        <w:spacing w:before="0" w:after="0"/>
      </w:pPr>
      <w:r w:rsidRPr="00853264">
        <w:t>Informations concernant le RGS :</w:t>
      </w:r>
    </w:p>
    <w:p w14:paraId="2CC70563" w14:textId="77777777" w:rsidR="0086249B" w:rsidRPr="00853264" w:rsidRDefault="000B0AE9" w:rsidP="0086249B">
      <w:pPr>
        <w:spacing w:before="0" w:after="0"/>
        <w:rPr>
          <w:rFonts w:ascii="Calibri" w:eastAsia="Times New Roman" w:hAnsi="Calibri" w:cs="Calibri"/>
          <w:color w:val="0563C1"/>
          <w:sz w:val="20"/>
          <w:u w:val="single"/>
          <w:lang w:eastAsia="fr-FR"/>
        </w:rPr>
      </w:pPr>
      <w:hyperlink r:id="rId14" w:history="1">
        <w:r w:rsidR="0086249B" w:rsidRPr="00853264">
          <w:rPr>
            <w:rFonts w:ascii="Calibri" w:eastAsia="Times New Roman" w:hAnsi="Calibri" w:cs="Calibri"/>
            <w:color w:val="0563C1"/>
            <w:sz w:val="20"/>
            <w:u w:val="single"/>
            <w:lang w:eastAsia="fr-FR"/>
          </w:rPr>
          <w:t>http://www.ssi.gouv.fr/administration/reglementation/confiance-numerique/le-referentiel-general-de-securite-rgs/</w:t>
        </w:r>
      </w:hyperlink>
    </w:p>
    <w:p w14:paraId="6A268226" w14:textId="77777777" w:rsidR="0086249B" w:rsidRPr="00853264" w:rsidRDefault="0086249B" w:rsidP="0086249B">
      <w:pPr>
        <w:spacing w:before="0" w:after="0"/>
        <w:rPr>
          <w:rFonts w:ascii="Calibri" w:eastAsia="Times New Roman" w:hAnsi="Calibri" w:cs="Calibri"/>
          <w:sz w:val="20"/>
          <w:lang w:eastAsia="fr-FR"/>
        </w:rPr>
      </w:pPr>
    </w:p>
    <w:p w14:paraId="625BEE2E" w14:textId="77777777" w:rsidR="0086249B" w:rsidRPr="00853264" w:rsidRDefault="0086249B" w:rsidP="0086249B">
      <w:pPr>
        <w:spacing w:before="0" w:after="0"/>
        <w:rPr>
          <w:rFonts w:ascii="Calibri" w:eastAsia="Times New Roman" w:hAnsi="Calibri" w:cs="Calibri"/>
          <w:sz w:val="20"/>
          <w:lang w:eastAsia="fr-FR"/>
        </w:rPr>
      </w:pPr>
    </w:p>
    <w:p w14:paraId="7BCD36A5"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4" w:name="_Toc31886508"/>
      <w:bookmarkStart w:id="25" w:name="_Toc179551570"/>
      <w:r w:rsidRPr="00853264">
        <w:rPr>
          <w:rFonts w:ascii="Arial Narrow" w:eastAsia="Calibri" w:hAnsi="Arial Narrow" w:cs="Times-Roman"/>
          <w:color w:val="33CCCC"/>
          <w:sz w:val="20"/>
          <w:szCs w:val="18"/>
        </w:rPr>
        <w:t>Conformité à la PSSIE</w:t>
      </w:r>
      <w:bookmarkEnd w:id="24"/>
      <w:bookmarkEnd w:id="25"/>
    </w:p>
    <w:p w14:paraId="0AB65347" w14:textId="77777777" w:rsidR="0086249B" w:rsidRPr="00853264" w:rsidRDefault="0086249B" w:rsidP="0086249B">
      <w:pPr>
        <w:spacing w:before="0" w:after="0"/>
      </w:pPr>
      <w:r w:rsidRPr="00853264">
        <w:t>La Politique de Sécurité des Systèmes d’information de l’Etat est entrée en vigueur le 19/08/2014, qui fixe les règles de protection applicables aux systèmes d’information de l’Etat.</w:t>
      </w:r>
    </w:p>
    <w:p w14:paraId="0FA57DAC" w14:textId="77777777" w:rsidR="0086249B" w:rsidRPr="00853264" w:rsidRDefault="0086249B" w:rsidP="0086249B">
      <w:pPr>
        <w:spacing w:before="0" w:after="0"/>
      </w:pPr>
    </w:p>
    <w:p w14:paraId="5AD2EFC6" w14:textId="77777777" w:rsidR="0086249B" w:rsidRPr="00853264" w:rsidRDefault="0086249B" w:rsidP="0086249B">
      <w:pPr>
        <w:spacing w:before="0" w:after="0"/>
      </w:pPr>
      <w:r w:rsidRPr="00853264">
        <w:t>Informations concernant la PSSIE :</w:t>
      </w:r>
    </w:p>
    <w:p w14:paraId="694552EC" w14:textId="77777777" w:rsidR="0086249B" w:rsidRPr="00853264" w:rsidRDefault="000B0AE9" w:rsidP="0086249B">
      <w:pPr>
        <w:spacing w:before="0" w:after="0"/>
        <w:rPr>
          <w:rFonts w:ascii="Calibri" w:eastAsia="Times New Roman" w:hAnsi="Calibri" w:cs="Calibri"/>
          <w:sz w:val="20"/>
          <w:lang w:eastAsia="fr-FR"/>
        </w:rPr>
      </w:pPr>
      <w:hyperlink r:id="rId15" w:history="1">
        <w:r w:rsidR="0086249B" w:rsidRPr="00853264">
          <w:rPr>
            <w:rFonts w:ascii="Calibri" w:eastAsia="Times New Roman" w:hAnsi="Calibri" w:cs="Calibri"/>
            <w:color w:val="0563C1"/>
            <w:sz w:val="20"/>
            <w:u w:val="single"/>
            <w:lang w:eastAsia="fr-FR"/>
          </w:rPr>
          <w:t>https://www.ssi.gouv.fr/entreprise/reglementation/protection-des-systemes-dinformations/la-politique-de-securite-des-systemes-dinformation-de-letat-pssie/</w:t>
        </w:r>
      </w:hyperlink>
    </w:p>
    <w:p w14:paraId="238B1954" w14:textId="77777777" w:rsidR="0086249B" w:rsidRPr="00853264" w:rsidRDefault="0086249B" w:rsidP="0086249B">
      <w:pPr>
        <w:spacing w:before="0" w:after="0"/>
        <w:rPr>
          <w:rFonts w:ascii="Calibri" w:eastAsia="Times New Roman" w:hAnsi="Calibri" w:cs="Calibri"/>
          <w:sz w:val="20"/>
          <w:lang w:eastAsia="fr-FR"/>
        </w:rPr>
      </w:pPr>
    </w:p>
    <w:p w14:paraId="2A576D14" w14:textId="77777777" w:rsidR="0086249B" w:rsidRPr="00853264" w:rsidRDefault="0086249B" w:rsidP="0086249B">
      <w:pPr>
        <w:spacing w:before="0" w:after="0"/>
        <w:rPr>
          <w:rFonts w:ascii="Calibri" w:eastAsia="Times New Roman" w:hAnsi="Calibri" w:cs="Calibri"/>
          <w:sz w:val="20"/>
          <w:lang w:eastAsia="fr-FR"/>
        </w:rPr>
      </w:pPr>
    </w:p>
    <w:p w14:paraId="77006FA1"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6" w:name="_Toc179551571"/>
      <w:bookmarkStart w:id="27" w:name="_Toc31886509"/>
      <w:r w:rsidRPr="00853264">
        <w:rPr>
          <w:rFonts w:ascii="Arial Narrow" w:eastAsia="Calibri" w:hAnsi="Arial Narrow" w:cs="Times-Roman"/>
          <w:color w:val="33CCCC"/>
          <w:sz w:val="20"/>
          <w:szCs w:val="18"/>
        </w:rPr>
        <w:t>Conformité au règlement européen 2016/679 - RGPD</w:t>
      </w:r>
      <w:bookmarkEnd w:id="26"/>
      <w:r w:rsidRPr="00853264">
        <w:rPr>
          <w:rFonts w:ascii="Arial Narrow" w:eastAsia="Calibri" w:hAnsi="Arial Narrow" w:cs="Times-Roman"/>
          <w:color w:val="33CCCC"/>
          <w:sz w:val="20"/>
          <w:szCs w:val="18"/>
        </w:rPr>
        <w:t xml:space="preserve"> </w:t>
      </w:r>
      <w:bookmarkEnd w:id="27"/>
    </w:p>
    <w:p w14:paraId="66C76BBF" w14:textId="77777777" w:rsidR="0086249B" w:rsidRPr="00853264" w:rsidRDefault="0086249B" w:rsidP="0086249B">
      <w:pPr>
        <w:spacing w:before="0" w:after="0"/>
      </w:pPr>
      <w:r w:rsidRPr="00853264">
        <w:t>Il est relatif à la protection des personnes physiques à l'égard du traitement des données à caractère personnel et à la libre circulation de ces données</w:t>
      </w:r>
      <w:r w:rsidRPr="00853264">
        <w:rPr>
          <w:rFonts w:ascii="Calibri" w:eastAsia="Times New Roman" w:hAnsi="Calibri" w:cs="Times New Roman"/>
          <w:sz w:val="20"/>
          <w:szCs w:val="20"/>
          <w:lang w:eastAsia="fr-FR"/>
        </w:rPr>
        <w:t xml:space="preserve"> (</w:t>
      </w:r>
      <w:hyperlink r:id="rId16">
        <w:r w:rsidRPr="00853264">
          <w:rPr>
            <w:rFonts w:ascii="Calibri" w:eastAsia="Times New Roman" w:hAnsi="Calibri" w:cs="Times New Roman"/>
            <w:color w:val="0563C1"/>
            <w:sz w:val="20"/>
            <w:szCs w:val="20"/>
            <w:u w:val="single"/>
            <w:lang w:eastAsia="fr-FR"/>
          </w:rPr>
          <w:t>https://www.cnil.fr/fr/reglement-europeen-protection-donnees.),</w:t>
        </w:r>
      </w:hyperlink>
      <w:r w:rsidRPr="00853264">
        <w:rPr>
          <w:rFonts w:ascii="Calibri" w:eastAsia="Times New Roman" w:hAnsi="Calibri" w:cs="Times New Roman"/>
          <w:sz w:val="20"/>
          <w:szCs w:val="20"/>
          <w:lang w:eastAsia="fr-FR"/>
        </w:rPr>
        <w:t xml:space="preserve"> et plus </w:t>
      </w:r>
      <w:r w:rsidRPr="00853264">
        <w:t>largement :</w:t>
      </w:r>
    </w:p>
    <w:p w14:paraId="0B7D6CC2" w14:textId="77777777" w:rsidR="0086249B" w:rsidRPr="00853264" w:rsidRDefault="0086249B" w:rsidP="007632CF">
      <w:pPr>
        <w:numPr>
          <w:ilvl w:val="0"/>
          <w:numId w:val="5"/>
        </w:numPr>
        <w:spacing w:before="0" w:after="0"/>
        <w:contextualSpacing/>
        <w:jc w:val="left"/>
      </w:pPr>
      <w:r w:rsidRPr="00853264">
        <w:t xml:space="preserve">Le titulaire garantit la conformité de la solution proposée aux exigences de </w:t>
      </w:r>
      <w:proofErr w:type="spellStart"/>
      <w:r w:rsidRPr="00853264">
        <w:t>privacy</w:t>
      </w:r>
      <w:proofErr w:type="spellEnd"/>
      <w:r w:rsidRPr="00853264">
        <w:t xml:space="preserve"> by design prévues</w:t>
      </w:r>
      <w:r w:rsidRPr="00853264">
        <w:rPr>
          <w:rFonts w:ascii="Calibri" w:eastAsia="Times New Roman" w:hAnsi="Calibri" w:cs="Times New Roman"/>
          <w:sz w:val="20"/>
          <w:szCs w:val="20"/>
          <w:lang w:eastAsia="fr-FR"/>
        </w:rPr>
        <w:t xml:space="preserve"> </w:t>
      </w:r>
      <w:r w:rsidRPr="00853264">
        <w:t>par le règlement européen,</w:t>
      </w:r>
    </w:p>
    <w:p w14:paraId="65C2174E" w14:textId="77777777" w:rsidR="0086249B" w:rsidRPr="00853264" w:rsidRDefault="0086249B" w:rsidP="0086249B">
      <w:pPr>
        <w:spacing w:before="0" w:after="0"/>
        <w:ind w:left="720"/>
        <w:contextualSpacing/>
      </w:pPr>
    </w:p>
    <w:p w14:paraId="6204FA74" w14:textId="77777777" w:rsidR="0086249B" w:rsidRPr="00853264" w:rsidRDefault="0086249B" w:rsidP="007632CF">
      <w:pPr>
        <w:numPr>
          <w:ilvl w:val="0"/>
          <w:numId w:val="5"/>
        </w:numPr>
        <w:spacing w:before="0" w:after="0"/>
        <w:contextualSpacing/>
        <w:jc w:val="left"/>
      </w:pPr>
      <w:r w:rsidRPr="00853264">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74091C4A" w14:textId="77777777" w:rsidR="0086249B" w:rsidRPr="00853264" w:rsidRDefault="0086249B" w:rsidP="0086249B">
      <w:pPr>
        <w:spacing w:before="0" w:after="0"/>
        <w:ind w:left="720"/>
        <w:contextualSpacing/>
        <w:jc w:val="left"/>
        <w:rPr>
          <w:rFonts w:ascii="Calibri" w:eastAsia="Times New Roman" w:hAnsi="Calibri" w:cs="Calibri"/>
          <w:sz w:val="20"/>
          <w:lang w:eastAsia="fr-FR"/>
        </w:rPr>
      </w:pPr>
    </w:p>
    <w:p w14:paraId="1C8F2F28" w14:textId="77777777" w:rsidR="0086249B" w:rsidRPr="00853264" w:rsidRDefault="0086249B" w:rsidP="0086249B">
      <w:pPr>
        <w:spacing w:before="0" w:after="0"/>
        <w:rPr>
          <w:rFonts w:ascii="Calibri" w:eastAsia="Times New Roman" w:hAnsi="Calibri" w:cs="Times New Roman"/>
          <w:sz w:val="20"/>
          <w:szCs w:val="20"/>
          <w:lang w:eastAsia="fr-FR"/>
        </w:rPr>
      </w:pPr>
      <w:r w:rsidRPr="00853264">
        <w:t>L’étude d’impact est nécessaire dans les cas visés par la CNIL sur son site :</w:t>
      </w:r>
      <w:r w:rsidRPr="00853264">
        <w:rPr>
          <w:rFonts w:ascii="Calibri" w:eastAsia="Times New Roman" w:hAnsi="Calibri" w:cs="Times New Roman"/>
          <w:sz w:val="20"/>
          <w:szCs w:val="20"/>
          <w:lang w:eastAsia="fr-FR"/>
        </w:rPr>
        <w:t xml:space="preserve"> </w:t>
      </w:r>
      <w:hyperlink r:id="rId17">
        <w:r w:rsidRPr="00853264">
          <w:rPr>
            <w:rFonts w:ascii="Segoe UI" w:eastAsia="Segoe UI" w:hAnsi="Segoe UI" w:cs="Segoe UI"/>
            <w:color w:val="0563C1"/>
            <w:sz w:val="20"/>
            <w:szCs w:val="20"/>
            <w:u w:val="single"/>
            <w:lang w:eastAsia="fr-FR"/>
          </w:rPr>
          <w:t>https://www.cnil.fr/fr/ce-quil-faut-savoir-sur-lanalyse-dimpact-relative-la-protection-des-donnees-aipd</w:t>
        </w:r>
      </w:hyperlink>
      <w:r w:rsidRPr="00853264">
        <w:rPr>
          <w:rFonts w:ascii="Segoe UI" w:eastAsia="Segoe UI" w:hAnsi="Segoe UI" w:cs="Segoe UI"/>
          <w:sz w:val="20"/>
          <w:szCs w:val="20"/>
          <w:lang w:eastAsia="fr-FR"/>
        </w:rPr>
        <w:t xml:space="preserve"> </w:t>
      </w:r>
    </w:p>
    <w:p w14:paraId="3C10D724" w14:textId="77777777" w:rsidR="0086249B" w:rsidRPr="00853264" w:rsidRDefault="0086249B" w:rsidP="0086249B">
      <w:pPr>
        <w:spacing w:before="0" w:after="0"/>
      </w:pPr>
    </w:p>
    <w:p w14:paraId="6D1A5019" w14:textId="77777777" w:rsidR="0086249B" w:rsidRPr="00853264" w:rsidRDefault="0086249B" w:rsidP="0086249B">
      <w:pPr>
        <w:spacing w:before="0" w:after="0"/>
        <w:ind w:left="708"/>
      </w:pPr>
    </w:p>
    <w:p w14:paraId="257FCEFD" w14:textId="77777777" w:rsidR="0086249B" w:rsidRPr="00853264" w:rsidRDefault="0086249B" w:rsidP="007632CF">
      <w:pPr>
        <w:numPr>
          <w:ilvl w:val="0"/>
          <w:numId w:val="5"/>
        </w:numPr>
        <w:spacing w:before="0" w:after="0"/>
        <w:contextualSpacing/>
        <w:jc w:val="left"/>
      </w:pPr>
      <w:r w:rsidRPr="00853264">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333475C9" w14:textId="77777777" w:rsidR="0086249B" w:rsidRPr="00853264" w:rsidRDefault="0086249B" w:rsidP="0086249B">
      <w:pPr>
        <w:spacing w:before="0" w:after="0"/>
      </w:pPr>
    </w:p>
    <w:p w14:paraId="7E976A7F" w14:textId="77777777" w:rsidR="0086249B" w:rsidRPr="00853264" w:rsidRDefault="0086249B" w:rsidP="007632CF">
      <w:pPr>
        <w:numPr>
          <w:ilvl w:val="0"/>
          <w:numId w:val="5"/>
        </w:numPr>
        <w:spacing w:before="0" w:after="0"/>
        <w:contextualSpacing/>
        <w:jc w:val="left"/>
      </w:pPr>
      <w:r w:rsidRPr="00853264">
        <w:t>Le titulaire s'engage, le cas échéant, après notification et avant mise en production de la solution, à contractualiser avec INRAE le contrat de sous-traitance RGPD annexé au marché.</w:t>
      </w:r>
    </w:p>
    <w:p w14:paraId="11DD791C" w14:textId="77777777" w:rsidR="0086249B" w:rsidRPr="00853264" w:rsidRDefault="0086249B" w:rsidP="0086249B">
      <w:pPr>
        <w:spacing w:before="0" w:after="0"/>
        <w:ind w:left="360"/>
      </w:pPr>
    </w:p>
    <w:p w14:paraId="787BDB18" w14:textId="77777777" w:rsidR="0086249B" w:rsidRPr="00853264" w:rsidRDefault="0086249B" w:rsidP="0086249B">
      <w:pPr>
        <w:spacing w:before="0" w:after="0"/>
        <w:ind w:left="360"/>
      </w:pPr>
      <w:r w:rsidRPr="00853264">
        <w:t>Selon le montant du marché, le contrat RGPD choisi par INRAE sera au choix :</w:t>
      </w:r>
    </w:p>
    <w:p w14:paraId="42912333" w14:textId="77777777" w:rsidR="0086249B" w:rsidRPr="00853264" w:rsidRDefault="0086249B" w:rsidP="007632CF">
      <w:pPr>
        <w:numPr>
          <w:ilvl w:val="0"/>
          <w:numId w:val="4"/>
        </w:numPr>
        <w:spacing w:before="0" w:after="0"/>
        <w:contextualSpacing/>
        <w:jc w:val="left"/>
        <w:rPr>
          <w:rFonts w:ascii="Times New Roman" w:eastAsia="Times New Roman" w:hAnsi="Times New Roman" w:cs="Times New Roman"/>
          <w:sz w:val="20"/>
          <w:szCs w:val="20"/>
          <w:lang w:eastAsia="fr-FR"/>
        </w:rPr>
      </w:pPr>
      <w:r w:rsidRPr="00853264">
        <w:t>Le contrat type de sous-traitance RGPD issu de la DÉCISION D’EXÉCUTION (UE) 2021/915 DE LA COMMISSION du 4 juin 2021</w:t>
      </w:r>
      <w:r w:rsidRPr="00853264">
        <w:rPr>
          <w:rFonts w:ascii="Calibri" w:eastAsia="Times New Roman" w:hAnsi="Calibri" w:cs="Times New Roman"/>
          <w:sz w:val="20"/>
          <w:szCs w:val="20"/>
          <w:lang w:eastAsia="fr-FR"/>
        </w:rPr>
        <w:t xml:space="preserve"> </w:t>
      </w:r>
      <w:hyperlink r:id="rId18">
        <w:r w:rsidRPr="00853264">
          <w:rPr>
            <w:rFonts w:ascii="Segoe UI" w:eastAsia="Segoe UI" w:hAnsi="Segoe UI" w:cs="Segoe UI"/>
            <w:color w:val="0563C1"/>
            <w:sz w:val="20"/>
            <w:szCs w:val="20"/>
            <w:u w:val="single"/>
            <w:lang w:eastAsia="fr-FR"/>
          </w:rPr>
          <w:t>https://www.cnil.fr/fr/commande-publique-quel-acteur-est-responsable-au-regard-du-rgpd</w:t>
        </w:r>
      </w:hyperlink>
      <w:r w:rsidRPr="00853264">
        <w:rPr>
          <w:rFonts w:ascii="Segoe UI" w:eastAsia="Segoe UI" w:hAnsi="Segoe UI" w:cs="Segoe UI"/>
          <w:sz w:val="20"/>
          <w:szCs w:val="20"/>
          <w:lang w:eastAsia="fr-FR"/>
        </w:rPr>
        <w:t xml:space="preserve"> </w:t>
      </w:r>
    </w:p>
    <w:p w14:paraId="5500428E" w14:textId="77777777" w:rsidR="0086249B" w:rsidRPr="00853264" w:rsidRDefault="0086249B" w:rsidP="007632CF">
      <w:pPr>
        <w:numPr>
          <w:ilvl w:val="0"/>
          <w:numId w:val="4"/>
        </w:numPr>
        <w:spacing w:before="0" w:after="0"/>
        <w:contextualSpacing/>
        <w:jc w:val="left"/>
        <w:rPr>
          <w:rFonts w:ascii="Times New Roman" w:eastAsia="Times New Roman" w:hAnsi="Times New Roman" w:cs="Times New Roman"/>
          <w:sz w:val="20"/>
          <w:szCs w:val="20"/>
          <w:lang w:eastAsia="fr-FR"/>
        </w:rPr>
      </w:pPr>
      <w:r w:rsidRPr="00853264">
        <w:t>Le contrat type de sous-traitance RGPD publié par la CNIL</w:t>
      </w:r>
      <w:r w:rsidRPr="00853264">
        <w:rPr>
          <w:rFonts w:ascii="Calibri" w:eastAsia="Times New Roman" w:hAnsi="Calibri" w:cs="Times New Roman"/>
          <w:sz w:val="20"/>
          <w:szCs w:val="20"/>
          <w:lang w:eastAsia="fr-FR"/>
        </w:rPr>
        <w:t xml:space="preserve"> </w:t>
      </w:r>
      <w:hyperlink r:id="rId19">
        <w:r w:rsidRPr="00853264">
          <w:rPr>
            <w:rFonts w:ascii="Segoe UI" w:eastAsia="Segoe UI" w:hAnsi="Segoe UI" w:cs="Segoe UI"/>
            <w:color w:val="0563C1"/>
            <w:sz w:val="20"/>
            <w:szCs w:val="20"/>
            <w:u w:val="single"/>
            <w:lang w:eastAsia="fr-FR"/>
          </w:rPr>
          <w:t>https://www.cnil.fr/fr/sous-traitance-exemple-de-clauses</w:t>
        </w:r>
      </w:hyperlink>
    </w:p>
    <w:p w14:paraId="06061210" w14:textId="77777777" w:rsidR="0086249B" w:rsidRPr="00853264" w:rsidRDefault="0086249B" w:rsidP="0086249B">
      <w:pPr>
        <w:spacing w:before="0" w:after="0"/>
        <w:contextualSpacing/>
        <w:rPr>
          <w:rFonts w:ascii="Calibri" w:eastAsia="Times New Roman" w:hAnsi="Calibri" w:cs="Calibri"/>
          <w:sz w:val="20"/>
          <w:lang w:eastAsia="fr-FR"/>
        </w:rPr>
      </w:pPr>
    </w:p>
    <w:p w14:paraId="31EFA670" w14:textId="77777777" w:rsidR="0086249B" w:rsidRPr="00853264" w:rsidRDefault="0086249B" w:rsidP="007632CF">
      <w:pPr>
        <w:keepNext/>
        <w:numPr>
          <w:ilvl w:val="1"/>
          <w:numId w:val="3"/>
        </w:numPr>
        <w:tabs>
          <w:tab w:val="num" w:pos="360"/>
          <w:tab w:val="num" w:pos="576"/>
        </w:tabs>
        <w:spacing w:before="240" w:after="60"/>
        <w:ind w:left="576" w:hanging="576"/>
        <w:jc w:val="left"/>
        <w:outlineLvl w:val="1"/>
        <w:rPr>
          <w:rFonts w:ascii="Arial Narrow" w:eastAsia="Times New Roman" w:hAnsi="Arial Narrow" w:cs="Times New Roman"/>
          <w:bCs/>
          <w:iCs/>
          <w:color w:val="33CCCC"/>
          <w:sz w:val="24"/>
          <w:szCs w:val="28"/>
          <w:lang w:val="x-none" w:eastAsia="x-none"/>
        </w:rPr>
      </w:pPr>
      <w:bookmarkStart w:id="28" w:name="_Toc31886510"/>
      <w:bookmarkStart w:id="29" w:name="_Toc179551572"/>
      <w:r w:rsidRPr="00853264">
        <w:rPr>
          <w:rFonts w:ascii="Arial Narrow" w:eastAsia="Times New Roman" w:hAnsi="Arial Narrow" w:cs="Times New Roman"/>
          <w:bCs/>
          <w:iCs/>
          <w:color w:val="33CCCC"/>
          <w:sz w:val="24"/>
          <w:szCs w:val="28"/>
          <w:lang w:val="x-none" w:eastAsia="x-none"/>
        </w:rPr>
        <w:t>ENGAGEMENT DU TITULAIRE</w:t>
      </w:r>
      <w:bookmarkEnd w:id="28"/>
      <w:bookmarkEnd w:id="29"/>
    </w:p>
    <w:p w14:paraId="51D0DA1F" w14:textId="77777777" w:rsidR="0086249B" w:rsidRPr="00853264" w:rsidRDefault="0086249B" w:rsidP="0086249B">
      <w:pPr>
        <w:spacing w:before="0" w:after="0"/>
        <w:jc w:val="left"/>
        <w:rPr>
          <w:rFonts w:ascii="Arial" w:eastAsia="Times New Roman" w:hAnsi="Arial" w:cs="Times New Roman"/>
          <w:color w:val="2EBBB8"/>
          <w:sz w:val="24"/>
          <w:szCs w:val="20"/>
          <w:lang w:eastAsia="fr-FR"/>
        </w:rPr>
      </w:pPr>
    </w:p>
    <w:p w14:paraId="544CC362"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0" w:name="_Toc179551573"/>
      <w:bookmarkStart w:id="31" w:name="_Toc31886511"/>
      <w:r w:rsidRPr="00853264">
        <w:rPr>
          <w:rFonts w:ascii="Arial Narrow" w:eastAsia="Calibri" w:hAnsi="Arial Narrow" w:cs="Times-Roman"/>
          <w:color w:val="33CCCC"/>
          <w:sz w:val="20"/>
          <w:szCs w:val="18"/>
        </w:rPr>
        <w:t>Obligation de sécurisation des données</w:t>
      </w:r>
      <w:bookmarkEnd w:id="30"/>
      <w:r w:rsidRPr="00853264">
        <w:rPr>
          <w:rFonts w:ascii="Arial Narrow" w:eastAsia="Calibri" w:hAnsi="Arial Narrow" w:cs="Times-Roman"/>
          <w:color w:val="33CCCC"/>
          <w:sz w:val="20"/>
          <w:szCs w:val="18"/>
        </w:rPr>
        <w:t xml:space="preserve"> </w:t>
      </w:r>
      <w:bookmarkEnd w:id="31"/>
    </w:p>
    <w:p w14:paraId="1FF06490" w14:textId="77777777" w:rsidR="0086249B" w:rsidRPr="00853264" w:rsidRDefault="0086249B" w:rsidP="0086249B">
      <w:pPr>
        <w:spacing w:before="0" w:after="0"/>
      </w:pPr>
      <w:r w:rsidRPr="00853264">
        <w:t>Au titre de son obligation de sécurisation des données, le titulaire s'engage donc notamment à :</w:t>
      </w:r>
    </w:p>
    <w:p w14:paraId="644EB99C" w14:textId="77777777" w:rsidR="0086249B" w:rsidRPr="00853264" w:rsidRDefault="0086249B" w:rsidP="007632CF">
      <w:pPr>
        <w:pStyle w:val="Paragraphedeliste"/>
        <w:numPr>
          <w:ilvl w:val="0"/>
          <w:numId w:val="8"/>
        </w:numPr>
        <w:spacing w:before="0" w:after="0"/>
      </w:pPr>
      <w:r w:rsidRPr="00853264">
        <w:t xml:space="preserve">Ne pas utiliser ou copier les données traitées à des fins autres que celles spécifiées au présent marché, </w:t>
      </w:r>
    </w:p>
    <w:p w14:paraId="3B337295" w14:textId="77777777" w:rsidR="0086249B" w:rsidRPr="00853264" w:rsidRDefault="0086249B" w:rsidP="007632CF">
      <w:pPr>
        <w:pStyle w:val="Paragraphedeliste"/>
        <w:numPr>
          <w:ilvl w:val="0"/>
          <w:numId w:val="8"/>
        </w:numPr>
        <w:spacing w:before="0" w:after="0"/>
      </w:pPr>
      <w:r w:rsidRPr="00853264">
        <w:t xml:space="preserve">Ne pas divulguer les données à d'autres personnes privées ou publiques, physiques ou morales, </w:t>
      </w:r>
    </w:p>
    <w:p w14:paraId="3FBFA0F6" w14:textId="77777777" w:rsidR="0086249B" w:rsidRPr="00853264" w:rsidRDefault="0086249B" w:rsidP="007632CF">
      <w:pPr>
        <w:pStyle w:val="Paragraphedeliste"/>
        <w:numPr>
          <w:ilvl w:val="0"/>
          <w:numId w:val="8"/>
        </w:numPr>
        <w:spacing w:before="0" w:after="0"/>
      </w:pPr>
      <w:r w:rsidRPr="00853264">
        <w:t xml:space="preserve">Prendre toutes les mesures permettant d'éviter toute utilisation détournée ou frauduleuse des données, </w:t>
      </w:r>
    </w:p>
    <w:p w14:paraId="358EC73F" w14:textId="77777777" w:rsidR="0086249B" w:rsidRPr="00853264" w:rsidRDefault="0086249B" w:rsidP="007632CF">
      <w:pPr>
        <w:pStyle w:val="Paragraphedeliste"/>
        <w:numPr>
          <w:ilvl w:val="0"/>
          <w:numId w:val="8"/>
        </w:numPr>
        <w:spacing w:before="0" w:after="0"/>
      </w:pPr>
      <w:r w:rsidRPr="00853264">
        <w:t xml:space="preserve">Prendre toutes les mesures, notamment de sécurité matérielle, pour assurer la conservation des données traitées dans le cadre du présent marché, </w:t>
      </w:r>
    </w:p>
    <w:p w14:paraId="417E9979" w14:textId="77777777" w:rsidR="0086249B" w:rsidRPr="00853264" w:rsidRDefault="0086249B" w:rsidP="007632CF">
      <w:pPr>
        <w:pStyle w:val="Paragraphedeliste"/>
        <w:numPr>
          <w:ilvl w:val="0"/>
          <w:numId w:val="8"/>
        </w:numPr>
        <w:spacing w:before="0" w:after="0"/>
      </w:pPr>
      <w:r w:rsidRPr="00853264">
        <w:t xml:space="preserve">Mettre en œuvre des moyens permettant de garantir la confidentialité, l'intégrité, la disponibilité et la résilience constantes des systèmes, services de traitement et des données, </w:t>
      </w:r>
    </w:p>
    <w:p w14:paraId="30D28BC7" w14:textId="77777777" w:rsidR="0086249B" w:rsidRPr="00853264" w:rsidRDefault="0086249B" w:rsidP="007632CF">
      <w:pPr>
        <w:pStyle w:val="Paragraphedeliste"/>
        <w:numPr>
          <w:ilvl w:val="0"/>
          <w:numId w:val="8"/>
        </w:numPr>
        <w:spacing w:before="0" w:after="0"/>
      </w:pPr>
      <w:r w:rsidRPr="00853264">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18491C73" w14:textId="77777777" w:rsidR="0086249B" w:rsidRPr="00853264" w:rsidRDefault="0086249B" w:rsidP="007632CF">
      <w:pPr>
        <w:pStyle w:val="Paragraphedeliste"/>
        <w:numPr>
          <w:ilvl w:val="0"/>
          <w:numId w:val="8"/>
        </w:numPr>
        <w:spacing w:before="0" w:after="0"/>
      </w:pPr>
      <w:r w:rsidRPr="00853264">
        <w:t xml:space="preserve">Mettre en œuvre des moyens permettant de rétablir la disponibilité des données et leur accès en cas d'incident physique ou technique dans des délais appropriés, </w:t>
      </w:r>
    </w:p>
    <w:p w14:paraId="47D5225F" w14:textId="77777777" w:rsidR="0086249B" w:rsidRPr="00853264" w:rsidRDefault="0086249B" w:rsidP="007632CF">
      <w:pPr>
        <w:pStyle w:val="Paragraphedeliste"/>
        <w:numPr>
          <w:ilvl w:val="0"/>
          <w:numId w:val="8"/>
        </w:numPr>
        <w:spacing w:before="0" w:after="0"/>
      </w:pPr>
      <w:r w:rsidRPr="00853264">
        <w:t xml:space="preserve">Mettre en œuvre une procédure de test, analyse et évaluation régulière de l'efficacité des mesures techniques et organisationnelles assurant la sécurité des données, </w:t>
      </w:r>
    </w:p>
    <w:p w14:paraId="56947200" w14:textId="77777777" w:rsidR="0086249B" w:rsidRPr="00853264" w:rsidRDefault="0086249B" w:rsidP="007632CF">
      <w:pPr>
        <w:pStyle w:val="Paragraphedeliste"/>
        <w:numPr>
          <w:ilvl w:val="0"/>
          <w:numId w:val="8"/>
        </w:numPr>
        <w:spacing w:before="0" w:after="0"/>
      </w:pPr>
      <w:r w:rsidRPr="00853264">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17E63B86" w14:textId="77777777" w:rsidR="0086249B" w:rsidRPr="00853264" w:rsidRDefault="0086249B" w:rsidP="007632CF">
      <w:pPr>
        <w:pStyle w:val="Paragraphedeliste"/>
        <w:numPr>
          <w:ilvl w:val="0"/>
          <w:numId w:val="8"/>
        </w:numPr>
        <w:spacing w:before="0" w:after="0"/>
      </w:pPr>
      <w:r w:rsidRPr="00853264">
        <w:t>Lors des phases de développement, test et recette, ne pas utiliser les données personnelles réelles contenues dans les bases,</w:t>
      </w:r>
    </w:p>
    <w:p w14:paraId="76864F21" w14:textId="77777777" w:rsidR="0086249B" w:rsidRPr="00853264" w:rsidRDefault="0086249B" w:rsidP="007632CF">
      <w:pPr>
        <w:pStyle w:val="Paragraphedeliste"/>
        <w:numPr>
          <w:ilvl w:val="0"/>
          <w:numId w:val="8"/>
        </w:numPr>
        <w:spacing w:before="0" w:after="0"/>
      </w:pPr>
      <w:r w:rsidRPr="00853264">
        <w:t xml:space="preserve">Mettre à la disposition d'INRAE les informations nécessaires afin de démontrer le respect de ces obligations et, à cette même fin, permettre la réalisation d'audits par INRAE. </w:t>
      </w:r>
    </w:p>
    <w:p w14:paraId="1996A1D2" w14:textId="77777777" w:rsidR="0086249B" w:rsidRPr="00853264" w:rsidRDefault="0086249B" w:rsidP="0086249B">
      <w:pPr>
        <w:spacing w:before="0" w:after="0"/>
        <w:ind w:left="708"/>
      </w:pPr>
    </w:p>
    <w:p w14:paraId="42CAC071" w14:textId="77777777" w:rsidR="0086249B" w:rsidRPr="00853264" w:rsidRDefault="0086249B" w:rsidP="0086249B">
      <w:pPr>
        <w:spacing w:before="0" w:after="0"/>
        <w:rPr>
          <w:rFonts w:ascii="Calibri" w:eastAsia="Times New Roman" w:hAnsi="Calibri" w:cs="Calibri"/>
          <w:sz w:val="20"/>
          <w:lang w:eastAsia="fr-FR"/>
        </w:rPr>
      </w:pPr>
    </w:p>
    <w:p w14:paraId="77459001"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2" w:name="_Toc31886512"/>
      <w:bookmarkStart w:id="33" w:name="_Toc179551574"/>
      <w:r w:rsidRPr="00853264">
        <w:rPr>
          <w:rFonts w:ascii="Arial Narrow" w:eastAsia="Calibri" w:hAnsi="Arial Narrow" w:cs="Times-Roman"/>
          <w:color w:val="33CCCC"/>
          <w:sz w:val="20"/>
          <w:szCs w:val="18"/>
        </w:rPr>
        <w:t>Sécurisation des prestations et du Système d’Information</w:t>
      </w:r>
      <w:bookmarkEnd w:id="32"/>
      <w:bookmarkEnd w:id="33"/>
    </w:p>
    <w:p w14:paraId="42B27837" w14:textId="77777777" w:rsidR="0086249B" w:rsidRPr="00853264" w:rsidRDefault="0086249B" w:rsidP="0086249B">
      <w:pPr>
        <w:spacing w:before="0" w:after="0"/>
      </w:pPr>
      <w:r w:rsidRPr="00853264">
        <w:t xml:space="preserve">Au titre de la sécurisation des prestations et du SI, le titulaire s’engage notamment à : </w:t>
      </w:r>
    </w:p>
    <w:p w14:paraId="53BAA794" w14:textId="77777777" w:rsidR="0086249B" w:rsidRPr="00853264" w:rsidRDefault="0086249B" w:rsidP="007632CF">
      <w:pPr>
        <w:numPr>
          <w:ilvl w:val="0"/>
          <w:numId w:val="6"/>
        </w:numPr>
        <w:spacing w:before="0" w:after="0"/>
        <w:contextualSpacing/>
        <w:jc w:val="left"/>
      </w:pPr>
      <w:r w:rsidRPr="00853264">
        <w:t xml:space="preserve">Remettre à INRAE, dans le cadre de son offre technique, le Plan d’Assurance Sécurité (PAS) lié aux prestations du marché ainsi que chacune de ses mises à jour ayant eu lieu pendant la durée du celui-ci. </w:t>
      </w:r>
    </w:p>
    <w:p w14:paraId="3ABBAB30" w14:textId="77777777" w:rsidR="0086249B" w:rsidRPr="00853264" w:rsidRDefault="0086249B" w:rsidP="0086249B">
      <w:pPr>
        <w:spacing w:before="0" w:after="0"/>
        <w:ind w:left="720"/>
        <w:contextualSpacing/>
      </w:pPr>
      <w:r w:rsidRPr="00853264">
        <w:t>Lorsqu’elle est disponible, le titulaire fournit sa politique de sécurité des systèmes d’information (PSSI).</w:t>
      </w:r>
    </w:p>
    <w:p w14:paraId="4CA322C9" w14:textId="77777777" w:rsidR="0086249B" w:rsidRPr="00853264" w:rsidRDefault="0086249B" w:rsidP="007632CF">
      <w:pPr>
        <w:numPr>
          <w:ilvl w:val="0"/>
          <w:numId w:val="6"/>
        </w:numPr>
        <w:spacing w:before="0" w:after="0"/>
        <w:contextualSpacing/>
        <w:jc w:val="left"/>
      </w:pPr>
      <w:r w:rsidRPr="00853264">
        <w:t xml:space="preserve">Le PAS pourra évoluer pendant la durée du marché afin de présenter </w:t>
      </w:r>
      <w:proofErr w:type="gramStart"/>
      <w:r w:rsidRPr="00853264">
        <w:t>a</w:t>
      </w:r>
      <w:proofErr w:type="gramEnd"/>
      <w:r w:rsidRPr="00853264">
        <w:t xml:space="preserve"> minima les mesures de sécurisation concernant : </w:t>
      </w:r>
    </w:p>
    <w:p w14:paraId="297A4466" w14:textId="77777777" w:rsidR="0086249B" w:rsidRPr="00853264" w:rsidRDefault="0086249B" w:rsidP="007632CF">
      <w:pPr>
        <w:numPr>
          <w:ilvl w:val="1"/>
          <w:numId w:val="7"/>
        </w:numPr>
        <w:spacing w:before="0" w:after="0"/>
        <w:contextualSpacing/>
        <w:jc w:val="left"/>
      </w:pPr>
      <w:r w:rsidRPr="00853264">
        <w:t>La sensibilisation et la formation des personnels et autres mesures de sécurité organisationnelles,</w:t>
      </w:r>
    </w:p>
    <w:p w14:paraId="529ECC8E" w14:textId="77777777" w:rsidR="0086249B" w:rsidRPr="00853264" w:rsidRDefault="0086249B" w:rsidP="007632CF">
      <w:pPr>
        <w:numPr>
          <w:ilvl w:val="1"/>
          <w:numId w:val="7"/>
        </w:numPr>
        <w:spacing w:before="0" w:after="0"/>
        <w:contextualSpacing/>
        <w:jc w:val="left"/>
      </w:pPr>
      <w:r w:rsidRPr="00853264">
        <w:t xml:space="preserve">Les développements spécifiques, </w:t>
      </w:r>
    </w:p>
    <w:p w14:paraId="311A32B6" w14:textId="77777777" w:rsidR="0086249B" w:rsidRPr="00853264" w:rsidRDefault="0086249B" w:rsidP="007632CF">
      <w:pPr>
        <w:numPr>
          <w:ilvl w:val="1"/>
          <w:numId w:val="7"/>
        </w:numPr>
        <w:spacing w:before="0" w:after="0"/>
        <w:contextualSpacing/>
        <w:jc w:val="left"/>
      </w:pPr>
      <w:r w:rsidRPr="00853264">
        <w:t xml:space="preserve">L’hébergement des données et des services, </w:t>
      </w:r>
    </w:p>
    <w:p w14:paraId="551842C3" w14:textId="77777777" w:rsidR="0086249B" w:rsidRPr="00853264" w:rsidRDefault="0086249B" w:rsidP="007632CF">
      <w:pPr>
        <w:numPr>
          <w:ilvl w:val="1"/>
          <w:numId w:val="7"/>
        </w:numPr>
        <w:spacing w:before="0" w:after="0"/>
        <w:contextualSpacing/>
        <w:jc w:val="left"/>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La gestion des incidents de sécurité du titulaire,</w:t>
      </w:r>
    </w:p>
    <w:p w14:paraId="1EC61A18" w14:textId="77777777" w:rsidR="0086249B" w:rsidRPr="00853264" w:rsidRDefault="0086249B" w:rsidP="007632CF">
      <w:pPr>
        <w:numPr>
          <w:ilvl w:val="1"/>
          <w:numId w:val="7"/>
        </w:numPr>
        <w:spacing w:before="0" w:after="0"/>
        <w:contextualSpacing/>
        <w:jc w:val="left"/>
      </w:pPr>
      <w:r w:rsidRPr="00853264">
        <w:t>Le maintien en condition de sécurité,</w:t>
      </w:r>
    </w:p>
    <w:p w14:paraId="30E3C9BC" w14:textId="77777777" w:rsidR="0086249B" w:rsidRPr="00853264" w:rsidRDefault="0086249B" w:rsidP="007632CF">
      <w:pPr>
        <w:numPr>
          <w:ilvl w:val="1"/>
          <w:numId w:val="7"/>
        </w:numPr>
        <w:spacing w:before="0" w:after="0"/>
        <w:contextualSpacing/>
        <w:jc w:val="left"/>
      </w:pPr>
      <w:r w:rsidRPr="00853264">
        <w:t>La politique de gestion des postes de travail des intervenants de la prestation objet du marché,</w:t>
      </w:r>
    </w:p>
    <w:p w14:paraId="2DBF01EC" w14:textId="77777777" w:rsidR="0086249B" w:rsidRPr="00853264" w:rsidRDefault="0086249B" w:rsidP="007632CF">
      <w:pPr>
        <w:numPr>
          <w:ilvl w:val="1"/>
          <w:numId w:val="7"/>
        </w:numPr>
        <w:spacing w:before="0" w:after="0"/>
        <w:contextualSpacing/>
        <w:jc w:val="left"/>
      </w:pPr>
      <w:r w:rsidRPr="00853264">
        <w:t>La conformité et les démarches de contrôle interne.</w:t>
      </w:r>
    </w:p>
    <w:p w14:paraId="13B97F4C" w14:textId="77777777" w:rsidR="0086249B" w:rsidRPr="00853264" w:rsidRDefault="0086249B" w:rsidP="0086249B">
      <w:pPr>
        <w:spacing w:before="0" w:after="0"/>
        <w:jc w:val="left"/>
      </w:pPr>
    </w:p>
    <w:p w14:paraId="4E5541CD" w14:textId="77777777" w:rsidR="0086249B" w:rsidRPr="00853264" w:rsidRDefault="0086249B" w:rsidP="0086249B">
      <w:pPr>
        <w:spacing w:before="0" w:after="0"/>
      </w:pPr>
      <w:r w:rsidRPr="00853264">
        <w:t>Dans le cadre de l’exécution du marché, l’ensemble des sous-traitants doit respecter l’ensemble des obligations auxquelles s’engage le titulaire et notamment fournir sa PAS au même titre que le titulaire.</w:t>
      </w:r>
    </w:p>
    <w:p w14:paraId="37CA4258" w14:textId="77777777" w:rsidR="0086249B" w:rsidRPr="00853264" w:rsidRDefault="0086249B" w:rsidP="0086249B">
      <w:pPr>
        <w:spacing w:before="0" w:after="0"/>
        <w:jc w:val="left"/>
        <w:rPr>
          <w:rFonts w:ascii="Times New Roman" w:eastAsia="Times New Roman" w:hAnsi="Times New Roman" w:cs="Times New Roman"/>
          <w:szCs w:val="24"/>
          <w:lang w:eastAsia="fr-FR"/>
        </w:rPr>
      </w:pPr>
    </w:p>
    <w:p w14:paraId="656000E2" w14:textId="77777777" w:rsidR="0086249B" w:rsidRPr="00853264" w:rsidRDefault="0086249B" w:rsidP="0086249B">
      <w:pPr>
        <w:spacing w:before="0" w:after="0"/>
        <w:jc w:val="left"/>
        <w:rPr>
          <w:rFonts w:ascii="Times New Roman" w:eastAsia="Times New Roman" w:hAnsi="Times New Roman" w:cs="Times New Roman"/>
          <w:szCs w:val="24"/>
          <w:lang w:eastAsia="fr-FR"/>
        </w:rPr>
      </w:pPr>
    </w:p>
    <w:p w14:paraId="2F0ED2EB"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4" w:name="_Toc179551575"/>
      <w:r w:rsidRPr="00853264">
        <w:rPr>
          <w:rFonts w:ascii="Arial Narrow" w:eastAsia="Calibri" w:hAnsi="Arial Narrow" w:cs="Times-Roman"/>
          <w:color w:val="33CCCC"/>
          <w:sz w:val="20"/>
          <w:szCs w:val="18"/>
        </w:rPr>
        <w:t>Données personnelles dans le cadre de la gestion de la relation contractuelle</w:t>
      </w:r>
      <w:bookmarkEnd w:id="34"/>
    </w:p>
    <w:p w14:paraId="66BE3BAA" w14:textId="77777777" w:rsidR="0086249B" w:rsidRPr="00853264" w:rsidRDefault="0086249B" w:rsidP="0086249B">
      <w:pPr>
        <w:spacing w:before="0" w:after="0"/>
      </w:pPr>
      <w:r w:rsidRPr="00853264">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2B03CEBD" w14:textId="77777777" w:rsidR="0086249B" w:rsidRPr="00853264" w:rsidRDefault="0086249B" w:rsidP="0086249B">
      <w:pPr>
        <w:spacing w:before="0" w:after="0"/>
      </w:pPr>
    </w:p>
    <w:p w14:paraId="4C1EE44D" w14:textId="77777777" w:rsidR="0086249B" w:rsidRPr="00853264" w:rsidRDefault="0086249B" w:rsidP="0086249B">
      <w:pPr>
        <w:spacing w:before="0" w:after="0"/>
      </w:pPr>
      <w:r w:rsidRPr="00853264">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58294E4A" w14:textId="77777777" w:rsidR="0086249B" w:rsidRPr="00853264" w:rsidRDefault="0086249B" w:rsidP="0086249B">
      <w:pPr>
        <w:spacing w:before="0" w:after="0"/>
      </w:pPr>
      <w:r w:rsidRPr="00853264">
        <w:t xml:space="preserve">Les parties prendront toutes les mesures techniques et organisationnelles appropriées pour protéger et sécuriser ces données. Les parties mettront tout en œuvre pour empêcher tout traitement non autorisé ou illégal de ces données. </w:t>
      </w:r>
    </w:p>
    <w:p w14:paraId="43AD5170" w14:textId="77777777" w:rsidR="0086249B" w:rsidRPr="00853264" w:rsidRDefault="0086249B" w:rsidP="0086249B">
      <w:pPr>
        <w:spacing w:before="0" w:after="0"/>
        <w:jc w:val="left"/>
      </w:pPr>
    </w:p>
    <w:p w14:paraId="6B1A0662" w14:textId="77777777" w:rsidR="00B3398C" w:rsidRPr="009A7C35" w:rsidRDefault="00B3398C" w:rsidP="008630D8">
      <w:pPr>
        <w:pStyle w:val="Titre1"/>
        <w:rPr>
          <w:i/>
          <w:iCs/>
        </w:rPr>
      </w:pPr>
      <w:bookmarkStart w:id="35" w:name="_Toc179551576"/>
      <w:r w:rsidRPr="009A7C35">
        <w:t>PROPRIÉTÉ INTELLECTUELLE</w:t>
      </w:r>
      <w:bookmarkEnd w:id="35"/>
      <w:r w:rsidRPr="009A7C35">
        <w:t xml:space="preserve"> </w:t>
      </w:r>
    </w:p>
    <w:p w14:paraId="6073CF7E" w14:textId="77777777" w:rsidR="00A56ED2" w:rsidRPr="00732C9B" w:rsidRDefault="00732C9B" w:rsidP="008630D8">
      <w:pPr>
        <w:rPr>
          <w:i/>
        </w:rPr>
      </w:pPr>
      <w:r w:rsidRPr="00732C9B">
        <w:rPr>
          <w:i/>
        </w:rPr>
        <w:t>Sans objet</w:t>
      </w:r>
    </w:p>
    <w:p w14:paraId="55EBF235"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57B7C880" w14:textId="77777777" w:rsidR="00B3398C" w:rsidRPr="006A466F" w:rsidRDefault="00B3398C" w:rsidP="008630D8">
      <w:pPr>
        <w:pStyle w:val="Titre1"/>
        <w:rPr>
          <w:iCs/>
        </w:rPr>
      </w:pPr>
      <w:bookmarkStart w:id="36" w:name="_Toc179551577"/>
      <w:r w:rsidRPr="009A7C35">
        <w:t>GARANTIE</w:t>
      </w:r>
      <w:r w:rsidR="005144E6">
        <w:t xml:space="preserve"> </w:t>
      </w:r>
      <w:r w:rsidR="005144E6" w:rsidRPr="006A466F">
        <w:t>(</w:t>
      </w:r>
      <w:r w:rsidR="002217A4" w:rsidRPr="006A466F">
        <w:t>si m</w:t>
      </w:r>
      <w:r w:rsidR="005144E6" w:rsidRPr="006A466F">
        <w:t>arché de fournitures)</w:t>
      </w:r>
      <w:bookmarkEnd w:id="36"/>
    </w:p>
    <w:p w14:paraId="4093A9E5"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7BE99665" w14:textId="77777777" w:rsidR="003D038F" w:rsidRPr="009A7C35" w:rsidRDefault="003D038F" w:rsidP="008630D8">
      <w:pPr>
        <w:rPr>
          <w:rFonts w:cs="Arial"/>
        </w:rPr>
      </w:pPr>
      <w:r w:rsidRPr="009A7C35">
        <w:t xml:space="preserve">La garantie est fixée </w:t>
      </w:r>
      <w:r w:rsidRPr="00345E73">
        <w:t xml:space="preserve">à </w:t>
      </w:r>
      <w:r w:rsidR="00345E73" w:rsidRPr="00345E73">
        <w:rPr>
          <w:b/>
          <w:bCs/>
        </w:rPr>
        <w:t>12</w:t>
      </w:r>
      <w:r w:rsidRPr="00345E73">
        <w:t xml:space="preserve"> mois </w:t>
      </w:r>
      <w:r w:rsidR="00986720">
        <w:t>à compter du PV de mise en service</w:t>
      </w:r>
      <w:r w:rsidRPr="009A7C35">
        <w:t xml:space="preserve"> des fournitures. </w:t>
      </w:r>
    </w:p>
    <w:p w14:paraId="4B3BA996" w14:textId="77777777" w:rsidR="002217A4" w:rsidRPr="00EE3586" w:rsidRDefault="002217A4" w:rsidP="002217A4">
      <w:pPr>
        <w:widowControl w:val="0"/>
        <w:autoSpaceDE w:val="0"/>
        <w:autoSpaceDN w:val="0"/>
        <w:adjustRightInd w:val="0"/>
        <w:rPr>
          <w:rFonts w:ascii="Arial" w:hAnsi="Arial" w:cs="Arial"/>
          <w:color w:val="000000" w:themeColor="text1"/>
          <w:sz w:val="20"/>
          <w:szCs w:val="20"/>
        </w:rPr>
      </w:pPr>
    </w:p>
    <w:p w14:paraId="4AE5B3F0" w14:textId="77777777" w:rsidR="00B3398C" w:rsidRDefault="00B3398C" w:rsidP="008630D8">
      <w:pPr>
        <w:pStyle w:val="Titre1"/>
      </w:pPr>
      <w:bookmarkStart w:id="37" w:name="_Toc179551578"/>
      <w:r w:rsidRPr="009A7C35">
        <w:t>LITIGES</w:t>
      </w:r>
      <w:bookmarkEnd w:id="37"/>
    </w:p>
    <w:p w14:paraId="6934CCDC" w14:textId="77777777" w:rsidR="003A3540" w:rsidRPr="003A3540" w:rsidRDefault="003A3540" w:rsidP="003A3540"/>
    <w:p w14:paraId="29A4097C" w14:textId="77777777" w:rsidR="00B3398C" w:rsidRPr="000B0AE9" w:rsidRDefault="006D028A">
      <w:pPr>
        <w:widowControl w:val="0"/>
        <w:autoSpaceDE w:val="0"/>
        <w:autoSpaceDN w:val="0"/>
        <w:adjustRightInd w:val="0"/>
        <w:spacing w:line="200" w:lineRule="exact"/>
        <w:rPr>
          <w:rFonts w:cs="Arial"/>
        </w:rPr>
      </w:pPr>
      <w:bookmarkStart w:id="38" w:name="_GoBack"/>
      <w:r w:rsidRPr="000B0AE9">
        <w:rPr>
          <w:rFonts w:cs="Arial"/>
        </w:rPr>
        <w:t>En cas de désaccord, le représentant du pouvoir adjudicateur apportera une réponse par écrit à la sollicitation du titulaire</w:t>
      </w:r>
    </w:p>
    <w:p w14:paraId="150CB3AA" w14:textId="40DE83CE" w:rsidR="00B3398C" w:rsidRPr="000B0AE9" w:rsidRDefault="006D028A" w:rsidP="008630D8">
      <w:pPr>
        <w:spacing w:before="0" w:after="0"/>
      </w:pPr>
      <w:r w:rsidRPr="000B0AE9">
        <w:t>Si le</w:t>
      </w:r>
      <w:r w:rsidR="00B3398C" w:rsidRPr="000B0AE9">
        <w:t xml:space="preserve"> différend né à l’occasion de l’exécution du présent marché</w:t>
      </w:r>
      <w:r w:rsidRPr="000B0AE9">
        <w:t xml:space="preserve"> persiste</w:t>
      </w:r>
      <w:r w:rsidR="00B3398C" w:rsidRPr="000B0AE9">
        <w:t>, les parties s’efforceront de trouver un accord amiable à leur litige.</w:t>
      </w:r>
    </w:p>
    <w:p w14:paraId="23553D87" w14:textId="77777777" w:rsidR="00B3398C" w:rsidRPr="000B0AE9" w:rsidRDefault="00B3398C" w:rsidP="008630D8">
      <w:pPr>
        <w:spacing w:before="0" w:after="0"/>
      </w:pPr>
    </w:p>
    <w:p w14:paraId="1826236F" w14:textId="77777777" w:rsidR="00911DB8" w:rsidRPr="000B0AE9" w:rsidRDefault="00B3398C" w:rsidP="008630D8">
      <w:pPr>
        <w:spacing w:before="0" w:after="0"/>
      </w:pPr>
      <w:r w:rsidRPr="000B0AE9">
        <w:t>A défaut d’accord</w:t>
      </w:r>
      <w:r w:rsidR="006D028A" w:rsidRPr="000B0AE9">
        <w:t xml:space="preserve"> amiable</w:t>
      </w:r>
      <w:r w:rsidRPr="000B0AE9">
        <w:t>, le tribunal administratif est seul compétent.</w:t>
      </w:r>
    </w:p>
    <w:bookmarkEnd w:id="38"/>
    <w:p w14:paraId="0A2A266E" w14:textId="77777777" w:rsidR="003A3540" w:rsidRDefault="003A3540" w:rsidP="008630D8">
      <w:pPr>
        <w:spacing w:before="0" w:after="0"/>
      </w:pPr>
    </w:p>
    <w:p w14:paraId="0E10F9EB" w14:textId="77777777" w:rsidR="003A3540" w:rsidRDefault="003A3540" w:rsidP="008630D8">
      <w:pPr>
        <w:spacing w:before="0" w:after="0"/>
      </w:pPr>
    </w:p>
    <w:p w14:paraId="3C506970" w14:textId="77777777" w:rsidR="003A3540" w:rsidRDefault="003A3540" w:rsidP="003A3540">
      <w:pPr>
        <w:pStyle w:val="Titre1"/>
      </w:pPr>
      <w:bookmarkStart w:id="39" w:name="_Toc179551579"/>
      <w:r w:rsidRPr="003A3540">
        <w:t>DEROGATIONS AUX DOCUMENTS GENERAUX</w:t>
      </w:r>
      <w:bookmarkEnd w:id="39"/>
      <w:r w:rsidRPr="003A3540">
        <w:t xml:space="preserve"> </w:t>
      </w:r>
    </w:p>
    <w:p w14:paraId="73E9C8F3" w14:textId="77777777" w:rsidR="003A3540" w:rsidRDefault="003A3540" w:rsidP="008630D8">
      <w:pPr>
        <w:spacing w:before="0" w:after="0"/>
        <w:rPr>
          <w:rFonts w:ascii="Raleway" w:hAnsi="Raleway"/>
          <w:color w:val="0070C0"/>
          <w:sz w:val="32"/>
          <w:szCs w:val="32"/>
        </w:rPr>
      </w:pPr>
    </w:p>
    <w:p w14:paraId="6ACEF541" w14:textId="77777777" w:rsidR="003A3540" w:rsidRPr="00345E73" w:rsidRDefault="003A3540" w:rsidP="008630D8">
      <w:pPr>
        <w:spacing w:before="0" w:after="0"/>
        <w:rPr>
          <w:rFonts w:ascii="Arial" w:hAnsi="Arial" w:cs="Arial"/>
          <w:sz w:val="20"/>
          <w:szCs w:val="20"/>
        </w:rPr>
      </w:pPr>
      <w:r w:rsidRPr="00345E73">
        <w:rPr>
          <w:rFonts w:ascii="Arial" w:hAnsi="Arial" w:cs="Arial"/>
          <w:sz w:val="20"/>
          <w:szCs w:val="20"/>
        </w:rPr>
        <w:t>L’article 9 du présent marché déroge à l’article 14.1 du CCAG/FCS.</w:t>
      </w:r>
    </w:p>
    <w:sectPr w:rsidR="003A3540" w:rsidRPr="00345E73" w:rsidSect="00946ACF">
      <w:pgSz w:w="11900" w:h="16840"/>
      <w:pgMar w:top="1134" w:right="1418" w:bottom="1134" w:left="1418"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B6F98C5" w16cex:dateUtc="2024-12-19T15:28:00Z"/>
  <w16cex:commentExtensible w16cex:durableId="30968556" w16cex:dateUtc="2024-12-19T1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16F478" w16cid:durableId="3B6F98C5"/>
  <w16cid:commentId w16cid:paraId="299B48F6" w16cid:durableId="309685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4C649" w14:textId="77777777" w:rsidR="003311E6" w:rsidRDefault="003311E6">
      <w:r>
        <w:separator/>
      </w:r>
    </w:p>
  </w:endnote>
  <w:endnote w:type="continuationSeparator" w:id="0">
    <w:p w14:paraId="2B124347" w14:textId="77777777" w:rsidR="003311E6" w:rsidRDefault="0033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67150"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B15FB34"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9AC3D" w14:textId="232A16B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B0AE9">
      <w:rPr>
        <w:rStyle w:val="Numrodepage"/>
        <w:noProof/>
      </w:rPr>
      <w:t>10</w:t>
    </w:r>
    <w:r>
      <w:rPr>
        <w:rStyle w:val="Numrodepage"/>
      </w:rPr>
      <w:fldChar w:fldCharType="end"/>
    </w:r>
  </w:p>
  <w:p w14:paraId="14C1962D" w14:textId="77777777" w:rsidR="005E7AE7" w:rsidRDefault="005E7AE7"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28692" w14:textId="77777777" w:rsidR="003311E6" w:rsidRDefault="003311E6">
      <w:r>
        <w:separator/>
      </w:r>
    </w:p>
  </w:footnote>
  <w:footnote w:type="continuationSeparator" w:id="0">
    <w:p w14:paraId="698A6D66" w14:textId="77777777" w:rsidR="003311E6" w:rsidRDefault="003311E6">
      <w:r>
        <w:continuationSeparator/>
      </w:r>
    </w:p>
  </w:footnote>
  <w:footnote w:id="1">
    <w:p w14:paraId="39A0D3BB" w14:textId="77777777" w:rsidR="005E7AE7" w:rsidRPr="00460E17" w:rsidRDefault="005E7A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w:t>
      </w:r>
      <w:r w:rsidR="00460E17" w:rsidRPr="00460E17">
        <w:rPr>
          <w:i/>
          <w:sz w:val="18"/>
          <w:szCs w:val="18"/>
        </w:rPr>
        <w:t>S</w:t>
      </w:r>
      <w:r w:rsidRPr="00460E17">
        <w:rPr>
          <w:i/>
          <w:sz w:val="18"/>
          <w:szCs w:val="18"/>
        </w:rPr>
        <w:t>ignature et cachet commercial du titulaire avec mention d</w:t>
      </w:r>
      <w:r w:rsidR="00460E17">
        <w:rPr>
          <w:i/>
          <w:sz w:val="18"/>
          <w:szCs w:val="18"/>
        </w:rPr>
        <w:t>es nom et qualité du signataire</w:t>
      </w:r>
    </w:p>
  </w:footnote>
  <w:footnote w:id="2">
    <w:p w14:paraId="69E78BB7" w14:textId="77777777" w:rsidR="00E37210" w:rsidRPr="00460E17" w:rsidRDefault="00E37210" w:rsidP="008630D8">
      <w:pPr>
        <w:pStyle w:val="Notedebasdepage"/>
        <w:spacing w:before="0" w:after="0"/>
        <w:rPr>
          <w:rFonts w:ascii="Arial" w:hAnsi="Arial" w:cs="Arial"/>
          <w:i/>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4"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9E4807"/>
    <w:multiLevelType w:val="multilevel"/>
    <w:tmpl w:val="536A923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lvlOverride w:ilvl="1">
      <w:lvl w:ilvl="1">
        <w:start w:val="1"/>
        <w:numFmt w:val="decimal"/>
        <w:pStyle w:val="Titre2"/>
        <w:lvlText w:val="%1.%2."/>
        <w:lvlJc w:val="left"/>
        <w:pPr>
          <w:ind w:left="792" w:hanging="432"/>
        </w:pPr>
        <w:rPr>
          <w:rFonts w:hint="default"/>
          <w:b w:val="0"/>
          <w:color w:val="00A6A3"/>
        </w:rPr>
      </w:lvl>
    </w:lvlOverride>
    <w:lvlOverride w:ilvl="2">
      <w:lvl w:ilvl="2">
        <w:start w:val="1"/>
        <w:numFmt w:val="decimal"/>
        <w:pStyle w:val="Titre3"/>
        <w:lvlText w:val="%1.%2.%3."/>
        <w:lvlJc w:val="left"/>
        <w:pPr>
          <w:ind w:left="1224" w:hanging="504"/>
        </w:pPr>
        <w:rPr>
          <w:rFonts w:hint="default"/>
          <w:b w:val="0"/>
          <w:color w:val="00A6A3"/>
        </w:rPr>
      </w:lvl>
    </w:lvlOverride>
  </w:num>
  <w:num w:numId="4">
    <w:abstractNumId w:val="3"/>
  </w:num>
  <w:num w:numId="5">
    <w:abstractNumId w:val="0"/>
  </w:num>
  <w:num w:numId="6">
    <w:abstractNumId w:val="1"/>
  </w:num>
  <w:num w:numId="7">
    <w:abstractNumId w:val="6"/>
  </w:num>
  <w:num w:numId="8">
    <w:abstractNumId w:val="2"/>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C5B"/>
    <w:rsid w:val="000222BE"/>
    <w:rsid w:val="000225F6"/>
    <w:rsid w:val="0009322A"/>
    <w:rsid w:val="00096E84"/>
    <w:rsid w:val="000A175F"/>
    <w:rsid w:val="000A70CD"/>
    <w:rsid w:val="000A7363"/>
    <w:rsid w:val="000A7391"/>
    <w:rsid w:val="000B0AE9"/>
    <w:rsid w:val="000B7E1A"/>
    <w:rsid w:val="000C4DC9"/>
    <w:rsid w:val="000E0421"/>
    <w:rsid w:val="000E5048"/>
    <w:rsid w:val="00110B22"/>
    <w:rsid w:val="001246BE"/>
    <w:rsid w:val="00134A5A"/>
    <w:rsid w:val="001434B3"/>
    <w:rsid w:val="00177F31"/>
    <w:rsid w:val="0019745F"/>
    <w:rsid w:val="001B303D"/>
    <w:rsid w:val="001B75C4"/>
    <w:rsid w:val="001D4D11"/>
    <w:rsid w:val="001D73E9"/>
    <w:rsid w:val="001E21C7"/>
    <w:rsid w:val="001F03AA"/>
    <w:rsid w:val="002121DF"/>
    <w:rsid w:val="002217A4"/>
    <w:rsid w:val="002258B6"/>
    <w:rsid w:val="00226BDE"/>
    <w:rsid w:val="00256376"/>
    <w:rsid w:val="00257AC6"/>
    <w:rsid w:val="00260443"/>
    <w:rsid w:val="0026288D"/>
    <w:rsid w:val="00274965"/>
    <w:rsid w:val="002B5C0D"/>
    <w:rsid w:val="002E0B6F"/>
    <w:rsid w:val="0030025D"/>
    <w:rsid w:val="00303880"/>
    <w:rsid w:val="003067F2"/>
    <w:rsid w:val="003130CA"/>
    <w:rsid w:val="003311E6"/>
    <w:rsid w:val="00345E73"/>
    <w:rsid w:val="003657AA"/>
    <w:rsid w:val="003732CE"/>
    <w:rsid w:val="00376D1E"/>
    <w:rsid w:val="00391DB4"/>
    <w:rsid w:val="003A3540"/>
    <w:rsid w:val="003A6402"/>
    <w:rsid w:val="003A7354"/>
    <w:rsid w:val="003B43E6"/>
    <w:rsid w:val="003C2E90"/>
    <w:rsid w:val="003D038F"/>
    <w:rsid w:val="003D5CB1"/>
    <w:rsid w:val="003F0E09"/>
    <w:rsid w:val="00427EB8"/>
    <w:rsid w:val="004570A5"/>
    <w:rsid w:val="00460E17"/>
    <w:rsid w:val="004645B1"/>
    <w:rsid w:val="00464ADA"/>
    <w:rsid w:val="00490EF9"/>
    <w:rsid w:val="004968F7"/>
    <w:rsid w:val="004B692F"/>
    <w:rsid w:val="004C2431"/>
    <w:rsid w:val="004D1111"/>
    <w:rsid w:val="004D28CF"/>
    <w:rsid w:val="004D3DD3"/>
    <w:rsid w:val="0051404B"/>
    <w:rsid w:val="005144E6"/>
    <w:rsid w:val="00517372"/>
    <w:rsid w:val="00526614"/>
    <w:rsid w:val="005304C9"/>
    <w:rsid w:val="00535101"/>
    <w:rsid w:val="0053719E"/>
    <w:rsid w:val="005438B3"/>
    <w:rsid w:val="00546128"/>
    <w:rsid w:val="00572D47"/>
    <w:rsid w:val="005B64CE"/>
    <w:rsid w:val="005C0D57"/>
    <w:rsid w:val="005C3C3E"/>
    <w:rsid w:val="005C3F05"/>
    <w:rsid w:val="005D4468"/>
    <w:rsid w:val="005E1719"/>
    <w:rsid w:val="005E2396"/>
    <w:rsid w:val="005E7AE7"/>
    <w:rsid w:val="005F000E"/>
    <w:rsid w:val="005F22FE"/>
    <w:rsid w:val="00616187"/>
    <w:rsid w:val="006275E0"/>
    <w:rsid w:val="00632595"/>
    <w:rsid w:val="00642A6F"/>
    <w:rsid w:val="006476D6"/>
    <w:rsid w:val="00663A1F"/>
    <w:rsid w:val="00672562"/>
    <w:rsid w:val="006835E1"/>
    <w:rsid w:val="00696EE2"/>
    <w:rsid w:val="006A466F"/>
    <w:rsid w:val="006A5B59"/>
    <w:rsid w:val="006B58C5"/>
    <w:rsid w:val="006D028A"/>
    <w:rsid w:val="006E267D"/>
    <w:rsid w:val="006E6173"/>
    <w:rsid w:val="006F2DAE"/>
    <w:rsid w:val="00707B79"/>
    <w:rsid w:val="00727A04"/>
    <w:rsid w:val="0073069F"/>
    <w:rsid w:val="00732C9B"/>
    <w:rsid w:val="0074183C"/>
    <w:rsid w:val="007574F4"/>
    <w:rsid w:val="00762119"/>
    <w:rsid w:val="007632CF"/>
    <w:rsid w:val="0076384B"/>
    <w:rsid w:val="00765B2A"/>
    <w:rsid w:val="00770F2B"/>
    <w:rsid w:val="0078617B"/>
    <w:rsid w:val="007B55D0"/>
    <w:rsid w:val="007D4058"/>
    <w:rsid w:val="008013EA"/>
    <w:rsid w:val="00804DB9"/>
    <w:rsid w:val="00817EFE"/>
    <w:rsid w:val="0084647A"/>
    <w:rsid w:val="00853264"/>
    <w:rsid w:val="008550CD"/>
    <w:rsid w:val="0085733E"/>
    <w:rsid w:val="0086249B"/>
    <w:rsid w:val="008630D8"/>
    <w:rsid w:val="0089044C"/>
    <w:rsid w:val="008B165D"/>
    <w:rsid w:val="008E2DD9"/>
    <w:rsid w:val="008F4506"/>
    <w:rsid w:val="009101CC"/>
    <w:rsid w:val="00911DB8"/>
    <w:rsid w:val="00923D5F"/>
    <w:rsid w:val="00933FED"/>
    <w:rsid w:val="00935797"/>
    <w:rsid w:val="00942412"/>
    <w:rsid w:val="00943F8C"/>
    <w:rsid w:val="00946ACF"/>
    <w:rsid w:val="00947C2D"/>
    <w:rsid w:val="00972FD9"/>
    <w:rsid w:val="00983312"/>
    <w:rsid w:val="00986720"/>
    <w:rsid w:val="00992133"/>
    <w:rsid w:val="009A1C79"/>
    <w:rsid w:val="009A68D0"/>
    <w:rsid w:val="009A7C35"/>
    <w:rsid w:val="009B3DCF"/>
    <w:rsid w:val="009C3CDF"/>
    <w:rsid w:val="009F0C4E"/>
    <w:rsid w:val="009F23A3"/>
    <w:rsid w:val="009F4AF6"/>
    <w:rsid w:val="009F5ECE"/>
    <w:rsid w:val="00A0496B"/>
    <w:rsid w:val="00A064F9"/>
    <w:rsid w:val="00A15D8F"/>
    <w:rsid w:val="00A3416A"/>
    <w:rsid w:val="00A41252"/>
    <w:rsid w:val="00A56ED2"/>
    <w:rsid w:val="00A710F6"/>
    <w:rsid w:val="00AA070F"/>
    <w:rsid w:val="00AA1ADB"/>
    <w:rsid w:val="00AA3FDE"/>
    <w:rsid w:val="00AB580E"/>
    <w:rsid w:val="00AE2B69"/>
    <w:rsid w:val="00AF5EF1"/>
    <w:rsid w:val="00AF7ADE"/>
    <w:rsid w:val="00B06C5B"/>
    <w:rsid w:val="00B1466D"/>
    <w:rsid w:val="00B152C6"/>
    <w:rsid w:val="00B3398C"/>
    <w:rsid w:val="00B51FA9"/>
    <w:rsid w:val="00B649EA"/>
    <w:rsid w:val="00BA6ADE"/>
    <w:rsid w:val="00BC6C36"/>
    <w:rsid w:val="00BE0EAA"/>
    <w:rsid w:val="00BE518A"/>
    <w:rsid w:val="00BF0619"/>
    <w:rsid w:val="00C27CC1"/>
    <w:rsid w:val="00C30000"/>
    <w:rsid w:val="00C31F9D"/>
    <w:rsid w:val="00C51553"/>
    <w:rsid w:val="00C649C5"/>
    <w:rsid w:val="00C64DD9"/>
    <w:rsid w:val="00C85973"/>
    <w:rsid w:val="00CA6331"/>
    <w:rsid w:val="00CB0EC4"/>
    <w:rsid w:val="00CB348C"/>
    <w:rsid w:val="00CB6F55"/>
    <w:rsid w:val="00CC1566"/>
    <w:rsid w:val="00CC6995"/>
    <w:rsid w:val="00CF46C8"/>
    <w:rsid w:val="00D018BB"/>
    <w:rsid w:val="00D12347"/>
    <w:rsid w:val="00D25A0C"/>
    <w:rsid w:val="00D355F1"/>
    <w:rsid w:val="00D3645B"/>
    <w:rsid w:val="00D70D30"/>
    <w:rsid w:val="00D81385"/>
    <w:rsid w:val="00D93310"/>
    <w:rsid w:val="00DA08FD"/>
    <w:rsid w:val="00DA27D7"/>
    <w:rsid w:val="00DB04A9"/>
    <w:rsid w:val="00DB68A2"/>
    <w:rsid w:val="00E21B0E"/>
    <w:rsid w:val="00E2297B"/>
    <w:rsid w:val="00E27125"/>
    <w:rsid w:val="00E37210"/>
    <w:rsid w:val="00E4467E"/>
    <w:rsid w:val="00E47F8E"/>
    <w:rsid w:val="00EA21B3"/>
    <w:rsid w:val="00EC30B3"/>
    <w:rsid w:val="00ED48FC"/>
    <w:rsid w:val="00EE3586"/>
    <w:rsid w:val="00EE3818"/>
    <w:rsid w:val="00EF4146"/>
    <w:rsid w:val="00F11683"/>
    <w:rsid w:val="00F23885"/>
    <w:rsid w:val="00F317F6"/>
    <w:rsid w:val="00F44BCD"/>
    <w:rsid w:val="00F73FDA"/>
    <w:rsid w:val="00F84DE2"/>
    <w:rsid w:val="00F85B11"/>
    <w:rsid w:val="00F9193F"/>
    <w:rsid w:val="00FB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C3AEC"/>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3"/>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9"/>
      </w:numPr>
    </w:pPr>
  </w:style>
  <w:style w:type="paragraph" w:styleId="TM1">
    <w:name w:val="toc 1"/>
    <w:basedOn w:val="Normal"/>
    <w:next w:val="Normal"/>
    <w:autoRedefine/>
    <w:uiPriority w:val="39"/>
    <w:unhideWhenUsed/>
    <w:rsid w:val="004D28CF"/>
    <w:pPr>
      <w:spacing w:after="100"/>
    </w:pPr>
  </w:style>
  <w:style w:type="paragraph" w:customStyle="1" w:styleId="Normal2">
    <w:name w:val="Normal2"/>
    <w:basedOn w:val="Normal"/>
    <w:autoRedefine/>
    <w:uiPriority w:val="99"/>
    <w:rsid w:val="00732C9B"/>
    <w:pPr>
      <w:keepLines/>
      <w:tabs>
        <w:tab w:val="left" w:pos="567"/>
        <w:tab w:val="left" w:pos="851"/>
        <w:tab w:val="left" w:pos="1134"/>
      </w:tabs>
      <w:spacing w:before="0" w:after="0"/>
    </w:pPr>
    <w:rPr>
      <w:rFonts w:ascii="Times New Roman" w:eastAsia="Times New Roman" w:hAnsi="Times New Roman" w:cs="Times New Roman"/>
      <w:lang w:eastAsia="fr-FR"/>
    </w:rPr>
  </w:style>
  <w:style w:type="paragraph" w:customStyle="1" w:styleId="Default">
    <w:name w:val="Default"/>
    <w:rsid w:val="00376D1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487123">
      <w:bodyDiv w:val="1"/>
      <w:marLeft w:val="0"/>
      <w:marRight w:val="0"/>
      <w:marTop w:val="0"/>
      <w:marBottom w:val="0"/>
      <w:divBdr>
        <w:top w:val="none" w:sz="0" w:space="0" w:color="auto"/>
        <w:left w:val="none" w:sz="0" w:space="0" w:color="auto"/>
        <w:bottom w:val="none" w:sz="0" w:space="0" w:color="auto"/>
        <w:right w:val="none" w:sz="0" w:space="0" w:color="auto"/>
      </w:divBdr>
    </w:div>
    <w:div w:id="664289129">
      <w:bodyDiv w:val="1"/>
      <w:marLeft w:val="0"/>
      <w:marRight w:val="0"/>
      <w:marTop w:val="0"/>
      <w:marBottom w:val="0"/>
      <w:divBdr>
        <w:top w:val="none" w:sz="0" w:space="0" w:color="auto"/>
        <w:left w:val="none" w:sz="0" w:space="0" w:color="auto"/>
        <w:bottom w:val="none" w:sz="0" w:space="0" w:color="auto"/>
        <w:right w:val="none" w:sz="0" w:space="0" w:color="auto"/>
      </w:divBdr>
    </w:div>
    <w:div w:id="2072147686">
      <w:bodyDiv w:val="1"/>
      <w:marLeft w:val="0"/>
      <w:marRight w:val="0"/>
      <w:marTop w:val="0"/>
      <w:marBottom w:val="0"/>
      <w:divBdr>
        <w:top w:val="none" w:sz="0" w:space="0" w:color="auto"/>
        <w:left w:val="none" w:sz="0" w:space="0" w:color="auto"/>
        <w:bottom w:val="none" w:sz="0" w:space="0" w:color="auto"/>
        <w:right w:val="none" w:sz="0" w:space="0" w:color="auto"/>
      </w:divBdr>
    </w:div>
    <w:div w:id="214292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references.modernisation.gouv.fr/referentiel/" TargetMode="External"/><Relationship Id="rId18" Type="http://schemas.openxmlformats.org/officeDocument/2006/relationships/hyperlink" Target="https://www.cnil.fr/fr/commande-publique-quel-acteur-est-responsable-au-regard-du-rgpd"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eferences.modernisation.gouv.fr/interoperabilite" TargetMode="External"/><Relationship Id="rId17" Type="http://schemas.openxmlformats.org/officeDocument/2006/relationships/hyperlink" Target="https://www.cnil.fr/fr/ce-quil-faut-savoir-sur-lanalyse-dimpact-relative-la-protection-des-donnees-aipd"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cnil.fr/fr/reglement-europeen-protection-donne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https://www.ssi.gouv.fr/entreprise/reglementation/protection-des-systemes-dinformations/la-politique-de-securite-des-systemes-dinformation-de-letat-pssie/" TargetMode="External"/><Relationship Id="rId10" Type="http://schemas.openxmlformats.org/officeDocument/2006/relationships/footer" Target="footer2.xml"/><Relationship Id="rId19" Type="http://schemas.openxmlformats.org/officeDocument/2006/relationships/hyperlink" Target="https://www.cnil.fr/fr/sous-traitance-exemple-de-claus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si.gouv.fr/administration/reglementation/confiance-numerique/le-referentiel-general-de-securite-r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15C29-BBF0-472D-BAB5-DDC1A0E66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17</TotalTime>
  <Pages>10</Pages>
  <Words>3306</Words>
  <Characters>18183</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21447</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Laure Garcia</cp:lastModifiedBy>
  <cp:revision>6</cp:revision>
  <cp:lastPrinted>2024-12-20T11:00:00Z</cp:lastPrinted>
  <dcterms:created xsi:type="dcterms:W3CDTF">2024-12-20T09:39:00Z</dcterms:created>
  <dcterms:modified xsi:type="dcterms:W3CDTF">2024-12-20T12:51:00Z</dcterms:modified>
</cp:coreProperties>
</file>