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3417CD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2024S24028</w:t>
            </w:r>
            <w:r w:rsidR="00E06CFA">
              <w:rPr>
                <w:rFonts w:ascii="Arial" w:hAnsi="Arial" w:cs="Arial"/>
                <w:sz w:val="24"/>
                <w:szCs w:val="24"/>
              </w:rPr>
              <w:t>XXX1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3417CD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Maintenance des bornes de prêt et fourniture de consommables associés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procédure adaptée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 w:rsidP="00E06C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n°1 : 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Maintenance des bornes de prêt et matériels associés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E06CFA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traiteurs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1 : </w:t>
            </w:r>
            <w:r w:rsidR="003417CD">
              <w:rPr>
                <w:rFonts w:ascii="Arial" w:hAnsi="Arial" w:cs="Arial"/>
                <w:color w:val="FFFFFF"/>
                <w:sz w:val="18"/>
                <w:szCs w:val="18"/>
              </w:rPr>
              <w:t>Maintenance des bornes de prêt et matériels associés</w:t>
            </w:r>
          </w:p>
          <w:p w:rsidR="00F559EF" w:rsidRDefault="003417CD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56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n°2024S24028</w:t>
          </w:r>
          <w:r w:rsidR="00920CAB">
            <w:rPr>
              <w:rFonts w:ascii="Arial" w:hAnsi="Arial" w:cs="Arial"/>
              <w:color w:val="595959"/>
              <w:sz w:val="16"/>
              <w:szCs w:val="16"/>
            </w:rPr>
            <w:t>XXX1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D829E4">
            <w:rPr>
              <w:rFonts w:ascii="Arial" w:hAnsi="Arial" w:cs="Arial"/>
              <w:noProof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73FD4"/>
    <w:rsid w:val="003F3A7D"/>
    <w:rsid w:val="00497112"/>
    <w:rsid w:val="004D0BAE"/>
    <w:rsid w:val="005E6AE1"/>
    <w:rsid w:val="00605700"/>
    <w:rsid w:val="006122C6"/>
    <w:rsid w:val="006544F5"/>
    <w:rsid w:val="00712D1A"/>
    <w:rsid w:val="0074228F"/>
    <w:rsid w:val="007B2C24"/>
    <w:rsid w:val="007C4282"/>
    <w:rsid w:val="007D7034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B11000"/>
    <w:rsid w:val="00BF5755"/>
    <w:rsid w:val="00D05139"/>
    <w:rsid w:val="00D7492C"/>
    <w:rsid w:val="00D829E4"/>
    <w:rsid w:val="00E06CFA"/>
    <w:rsid w:val="00E13FE1"/>
    <w:rsid w:val="00E32310"/>
    <w:rsid w:val="00E343C4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673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2</cp:revision>
  <dcterms:created xsi:type="dcterms:W3CDTF">2024-11-21T15:58:00Z</dcterms:created>
  <dcterms:modified xsi:type="dcterms:W3CDTF">2024-11-21T15:58:00Z</dcterms:modified>
</cp:coreProperties>
</file>