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432" w:rsidRDefault="00DB5B54" w:rsidP="00DB5B54">
      <w:pPr>
        <w:jc w:val="center"/>
        <w:rPr>
          <w:b/>
          <w:sz w:val="32"/>
        </w:rPr>
      </w:pPr>
      <w:r w:rsidRPr="00F3233C">
        <w:rPr>
          <w:b/>
          <w:sz w:val="32"/>
        </w:rPr>
        <w:t>Document de réponse</w:t>
      </w:r>
    </w:p>
    <w:p w:rsidR="00440721" w:rsidRPr="00F3233C" w:rsidRDefault="00440721" w:rsidP="00DB5B54">
      <w:pPr>
        <w:jc w:val="center"/>
        <w:rPr>
          <w:b/>
          <w:sz w:val="32"/>
        </w:rPr>
      </w:pPr>
      <w:r w:rsidRPr="00440721">
        <w:rPr>
          <w:b/>
          <w:i/>
          <w:noProof/>
          <w:sz w:val="32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3189605</wp:posOffset>
                </wp:positionH>
                <wp:positionV relativeFrom="paragraph">
                  <wp:posOffset>6350</wp:posOffset>
                </wp:positionV>
                <wp:extent cx="2541905" cy="371475"/>
                <wp:effectExtent l="0" t="0" r="1079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90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721" w:rsidRDefault="004407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51.15pt;margin-top:.5pt;width:200.15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">
                <v:textbox>
                  <w:txbxContent>
                    <w:p w:rsidR="00440721" w:rsidRDefault="0044072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i/>
          <w:sz w:val="32"/>
        </w:rPr>
        <w:t xml:space="preserve">Indiquez le nom de votre </w:t>
      </w:r>
      <w:r w:rsidRPr="00440721">
        <w:rPr>
          <w:b/>
          <w:i/>
          <w:sz w:val="32"/>
        </w:rPr>
        <w:t>entité</w:t>
      </w:r>
      <w:r>
        <w:rPr>
          <w:b/>
          <w:sz w:val="32"/>
        </w:rPr>
        <w:t xml:space="preserve"> : </w:t>
      </w:r>
    </w:p>
    <w:p w:rsidR="00DB5B54" w:rsidRDefault="00DB5B54">
      <w:pPr>
        <w:rPr>
          <w:rFonts w:ascii="Inpi" w:hAnsi="Inpi"/>
        </w:rPr>
      </w:pPr>
    </w:p>
    <w:p w:rsidR="00C41231" w:rsidRDefault="00C41231" w:rsidP="00C41231">
      <w:pPr>
        <w:spacing w:line="240" w:lineRule="auto"/>
        <w:jc w:val="center"/>
        <w:rPr>
          <w:b/>
          <w:i/>
        </w:rPr>
      </w:pPr>
      <w:r w:rsidRPr="00F975D6">
        <w:rPr>
          <w:b/>
          <w:i/>
        </w:rPr>
        <w:t xml:space="preserve">Le format </w:t>
      </w:r>
      <w:r w:rsidR="002C7BD7">
        <w:rPr>
          <w:b/>
          <w:i/>
        </w:rPr>
        <w:t xml:space="preserve">du document </w:t>
      </w:r>
      <w:r>
        <w:rPr>
          <w:b/>
          <w:i/>
        </w:rPr>
        <w:t>doit</w:t>
      </w:r>
      <w:r w:rsidR="002C7BD7">
        <w:rPr>
          <w:b/>
          <w:i/>
        </w:rPr>
        <w:t xml:space="preserve"> impérativement être respecté</w:t>
      </w:r>
      <w:r w:rsidRPr="00F975D6">
        <w:rPr>
          <w:b/>
          <w:i/>
        </w:rPr>
        <w:t xml:space="preserve"> sous peine de voir l’offre être écartée pour irrégularité.</w:t>
      </w:r>
      <w:r w:rsidR="002C7BD7">
        <w:rPr>
          <w:b/>
          <w:i/>
        </w:rPr>
        <w:t xml:space="preserve"> </w:t>
      </w:r>
    </w:p>
    <w:p w:rsidR="00C41231" w:rsidRPr="00F3233C" w:rsidRDefault="00C41231">
      <w:pPr>
        <w:rPr>
          <w:rFonts w:ascii="Inpi" w:hAnsi="Inpi"/>
        </w:rPr>
      </w:pPr>
    </w:p>
    <w:p w:rsidR="00DB5B54" w:rsidRPr="006941BC" w:rsidRDefault="006941BC" w:rsidP="006941BC">
      <w:pPr>
        <w:pStyle w:val="Paragraphedeliste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Inpi" w:hAnsi="Inpi"/>
          <w:b/>
          <w:sz w:val="24"/>
        </w:rPr>
      </w:pPr>
      <w:r w:rsidRPr="006941BC">
        <w:rPr>
          <w:rFonts w:ascii="Inpi" w:hAnsi="Inpi"/>
          <w:b/>
          <w:sz w:val="24"/>
        </w:rPr>
        <w:t>Méthodologie générale de travail pour l’organisation du séminaire managers</w:t>
      </w:r>
    </w:p>
    <w:p w:rsidR="00A90BBA" w:rsidRPr="001860FD" w:rsidRDefault="00E64716" w:rsidP="00A90BBA">
      <w:pPr>
        <w:rPr>
          <w:rFonts w:ascii="Inpi" w:hAnsi="Inpi"/>
          <w:szCs w:val="20"/>
        </w:rPr>
      </w:pPr>
      <w:r w:rsidRPr="006941BC">
        <w:rPr>
          <w:rFonts w:ascii="Inpi" w:hAnsi="Inpi"/>
          <w:b/>
          <w:szCs w:val="20"/>
          <w:u w:val="single"/>
        </w:rPr>
        <w:t>Réponse</w:t>
      </w:r>
      <w:r w:rsidRPr="00E64716">
        <w:rPr>
          <w:rFonts w:ascii="Inpi" w:hAnsi="Inpi"/>
          <w:szCs w:val="20"/>
        </w:rPr>
        <w:t xml:space="preserve"> : </w:t>
      </w:r>
    </w:p>
    <w:p w:rsidR="00A90BBA" w:rsidRDefault="00A90BBA" w:rsidP="00A90BBA">
      <w:pPr>
        <w:rPr>
          <w:rFonts w:ascii="Inpi" w:hAnsi="Inpi"/>
          <w:b/>
          <w:szCs w:val="20"/>
        </w:rPr>
      </w:pPr>
    </w:p>
    <w:p w:rsidR="006941BC" w:rsidRDefault="006941BC" w:rsidP="00A90BBA">
      <w:pPr>
        <w:rPr>
          <w:rFonts w:ascii="Inpi" w:hAnsi="Inpi"/>
          <w:b/>
          <w:szCs w:val="20"/>
        </w:rPr>
      </w:pPr>
    </w:p>
    <w:p w:rsidR="006941BC" w:rsidRPr="00F3233C" w:rsidRDefault="006941BC" w:rsidP="00A90BBA">
      <w:pPr>
        <w:rPr>
          <w:rFonts w:ascii="Inpi" w:hAnsi="Inpi"/>
          <w:b/>
          <w:szCs w:val="20"/>
        </w:rPr>
      </w:pPr>
      <w:bookmarkStart w:id="0" w:name="_GoBack"/>
      <w:bookmarkEnd w:id="0"/>
    </w:p>
    <w:p w:rsidR="00A90BBA" w:rsidRPr="00F3233C" w:rsidRDefault="00A90BBA" w:rsidP="00E64716">
      <w:pPr>
        <w:pStyle w:val="Paragraphedeliste"/>
        <w:numPr>
          <w:ilvl w:val="0"/>
          <w:numId w:val="6"/>
        </w:numPr>
        <w:rPr>
          <w:rFonts w:ascii="Inpi" w:hAnsi="Inpi"/>
          <w:b/>
          <w:szCs w:val="20"/>
        </w:rPr>
      </w:pPr>
      <w:r w:rsidRPr="00F3233C">
        <w:rPr>
          <w:rFonts w:ascii="Inpi" w:hAnsi="Inpi"/>
          <w:b/>
          <w:szCs w:val="20"/>
        </w:rPr>
        <w:t>Références</w:t>
      </w:r>
      <w:r w:rsidR="00C41231">
        <w:rPr>
          <w:rFonts w:ascii="Inpi" w:hAnsi="Inpi"/>
          <w:b/>
          <w:szCs w:val="20"/>
        </w:rPr>
        <w:t xml:space="preserve"> équivalentes</w:t>
      </w:r>
    </w:p>
    <w:p w:rsidR="00A90BBA" w:rsidRPr="00F3233C" w:rsidRDefault="00E64716" w:rsidP="00A90BBA">
      <w:pPr>
        <w:pStyle w:val="Paragraphedeliste"/>
        <w:rPr>
          <w:rFonts w:ascii="Inpi" w:hAnsi="Inpi"/>
        </w:rPr>
      </w:pPr>
      <w:r>
        <w:rPr>
          <w:rFonts w:ascii="Inpi" w:hAnsi="Inpi"/>
        </w:rPr>
        <w:t>L</w:t>
      </w:r>
      <w:r w:rsidR="00A90BBA" w:rsidRPr="00F3233C">
        <w:rPr>
          <w:rFonts w:ascii="Inpi" w:hAnsi="Inpi"/>
        </w:rPr>
        <w:t xml:space="preserve">es </w:t>
      </w:r>
      <w:r>
        <w:rPr>
          <w:rFonts w:ascii="Inpi" w:hAnsi="Inpi"/>
        </w:rPr>
        <w:t xml:space="preserve">2 </w:t>
      </w:r>
      <w:r w:rsidR="00A90BBA" w:rsidRPr="00F3233C">
        <w:rPr>
          <w:rFonts w:ascii="Inpi" w:hAnsi="Inpi"/>
        </w:rPr>
        <w:t xml:space="preserve">références doivent être illustrées par </w:t>
      </w:r>
      <w:r w:rsidR="001860FD">
        <w:rPr>
          <w:rFonts w:ascii="Inpi" w:hAnsi="Inpi"/>
        </w:rPr>
        <w:t xml:space="preserve">des exemples </w:t>
      </w:r>
      <w:r w:rsidR="00A90BBA" w:rsidRPr="00F3233C">
        <w:rPr>
          <w:rFonts w:ascii="Inpi" w:hAnsi="Inpi"/>
        </w:rPr>
        <w:t xml:space="preserve">dans un document qui devra accompagner cette réponse. </w:t>
      </w:r>
    </w:p>
    <w:p w:rsidR="00A90BBA" w:rsidRPr="00F3233C" w:rsidRDefault="00A90BBA" w:rsidP="00A90BBA">
      <w:pPr>
        <w:pStyle w:val="Paragraphedeliste"/>
        <w:ind w:left="2160"/>
        <w:rPr>
          <w:rFonts w:ascii="Inpi" w:hAnsi="Inpi"/>
          <w:b/>
          <w:szCs w:val="20"/>
        </w:rPr>
      </w:pPr>
    </w:p>
    <w:tbl>
      <w:tblPr>
        <w:tblStyle w:val="Grilledutableau"/>
        <w:tblW w:w="9251" w:type="dxa"/>
        <w:tblInd w:w="-289" w:type="dxa"/>
        <w:tblLook w:val="04A0" w:firstRow="1" w:lastRow="0" w:firstColumn="1" w:lastColumn="0" w:noHBand="0" w:noVBand="1"/>
      </w:tblPr>
      <w:tblGrid>
        <w:gridCol w:w="2652"/>
        <w:gridCol w:w="1832"/>
        <w:gridCol w:w="3029"/>
        <w:gridCol w:w="1738"/>
      </w:tblGrid>
      <w:tr w:rsidR="00C41231" w:rsidRPr="00F3233C" w:rsidTr="00C41231">
        <w:trPr>
          <w:trHeight w:val="964"/>
        </w:trPr>
        <w:tc>
          <w:tcPr>
            <w:tcW w:w="2652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 de l’entreprise ou administration</w:t>
            </w:r>
          </w:p>
        </w:tc>
        <w:tc>
          <w:tcPr>
            <w:tcW w:w="1832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Secteur public/ secteur privé</w:t>
            </w:r>
          </w:p>
        </w:tc>
        <w:tc>
          <w:tcPr>
            <w:tcW w:w="3029" w:type="dxa"/>
          </w:tcPr>
          <w:p w:rsidR="00C41231" w:rsidRPr="00F3233C" w:rsidRDefault="00C41231" w:rsidP="001860FD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 xml:space="preserve">Types </w:t>
            </w:r>
            <w:r>
              <w:rPr>
                <w:rFonts w:ascii="Inpi" w:hAnsi="Inpi"/>
                <w:b/>
              </w:rPr>
              <w:t>d’événements</w:t>
            </w:r>
            <w:r w:rsidRPr="00F3233C">
              <w:rPr>
                <w:rFonts w:ascii="Inpi" w:hAnsi="Inpi"/>
                <w:b/>
              </w:rPr>
              <w:t xml:space="preserve"> </w:t>
            </w:r>
            <w:r>
              <w:rPr>
                <w:rFonts w:ascii="Inpi" w:hAnsi="Inpi"/>
                <w:b/>
              </w:rPr>
              <w:t xml:space="preserve">internes </w:t>
            </w:r>
            <w:r w:rsidRPr="00F3233C">
              <w:rPr>
                <w:rFonts w:ascii="Inpi" w:hAnsi="Inpi"/>
                <w:b/>
              </w:rPr>
              <w:t>réalisés pour cette entité + actions menées dans ce cadre</w:t>
            </w:r>
          </w:p>
        </w:tc>
        <w:tc>
          <w:tcPr>
            <w:tcW w:w="1738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Autres informations (contexte, année, public etc.)</w:t>
            </w:r>
          </w:p>
        </w:tc>
      </w:tr>
      <w:tr w:rsidR="00C41231" w:rsidRPr="00F3233C" w:rsidTr="00C41231">
        <w:trPr>
          <w:trHeight w:val="272"/>
        </w:trPr>
        <w:tc>
          <w:tcPr>
            <w:tcW w:w="265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83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3029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738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</w:tr>
      <w:tr w:rsidR="00C41231" w:rsidRPr="00F3233C" w:rsidTr="00C41231">
        <w:trPr>
          <w:trHeight w:val="288"/>
        </w:trPr>
        <w:tc>
          <w:tcPr>
            <w:tcW w:w="265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83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3029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738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</w:tr>
    </w:tbl>
    <w:p w:rsidR="006941BC" w:rsidRPr="00F3233C" w:rsidRDefault="006941BC" w:rsidP="006941BC">
      <w:pPr>
        <w:rPr>
          <w:rFonts w:ascii="Inpi" w:hAnsi="Inpi"/>
        </w:rPr>
      </w:pPr>
    </w:p>
    <w:p w:rsidR="006941BC" w:rsidRPr="006941BC" w:rsidRDefault="006941BC" w:rsidP="006941BC">
      <w:pPr>
        <w:pStyle w:val="Paragraphedeliste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Inpi" w:hAnsi="Inpi"/>
          <w:b/>
          <w:sz w:val="24"/>
        </w:rPr>
      </w:pPr>
      <w:r>
        <w:rPr>
          <w:rFonts w:ascii="Inpi" w:hAnsi="Inpi"/>
          <w:b/>
          <w:sz w:val="24"/>
        </w:rPr>
        <w:t xml:space="preserve">Équipe dédiée au marché 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F3233C">
        <w:rPr>
          <w:rFonts w:ascii="Inpi" w:hAnsi="Inpi"/>
        </w:rPr>
        <w:t>Le CV de chaque membre de l’équipe est attendu dans un document ad hoc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F3233C">
        <w:rPr>
          <w:rFonts w:ascii="Inpi" w:hAnsi="Inpi"/>
        </w:rPr>
        <w:t>Des lignes peuvent être ajoutées au tableau ci-dessous si besoin.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Désignation du membre de l’équipe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Fonction/activité dans ce marché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Nombre d’années d’expérience dans ce même type de fonction</w:t>
            </w: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</w:tbl>
    <w:p w:rsidR="00A90BBA" w:rsidRPr="00F3233C" w:rsidRDefault="00A90BBA" w:rsidP="006941BC">
      <w:pPr>
        <w:rPr>
          <w:rFonts w:ascii="Inpi" w:hAnsi="Inpi"/>
        </w:rPr>
      </w:pPr>
    </w:p>
    <w:sectPr w:rsidR="00A90BBA" w:rsidRPr="00F32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pi">
    <w:altName w:val="Inpi"/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38"/>
    <w:multiLevelType w:val="hybridMultilevel"/>
    <w:tmpl w:val="6EE49CA0"/>
    <w:lvl w:ilvl="0" w:tplc="040C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1A51469B"/>
    <w:multiLevelType w:val="hybridMultilevel"/>
    <w:tmpl w:val="5726E24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244F2"/>
    <w:multiLevelType w:val="hybridMultilevel"/>
    <w:tmpl w:val="69C4FD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4691E"/>
    <w:multiLevelType w:val="hybridMultilevel"/>
    <w:tmpl w:val="ACEC536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30653"/>
    <w:multiLevelType w:val="hybridMultilevel"/>
    <w:tmpl w:val="D962267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D3F24"/>
    <w:multiLevelType w:val="hybridMultilevel"/>
    <w:tmpl w:val="6AA2463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86432"/>
    <w:multiLevelType w:val="hybridMultilevel"/>
    <w:tmpl w:val="6AA2463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D72A8"/>
    <w:multiLevelType w:val="hybridMultilevel"/>
    <w:tmpl w:val="D51068E8"/>
    <w:lvl w:ilvl="0" w:tplc="040C001B">
      <w:start w:val="1"/>
      <w:numFmt w:val="lowerRoman"/>
      <w:lvlText w:val="%1."/>
      <w:lvlJc w:val="right"/>
      <w:pPr>
        <w:ind w:left="2160" w:hanging="18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23F47"/>
    <w:multiLevelType w:val="hybridMultilevel"/>
    <w:tmpl w:val="97ECA5B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770E38"/>
    <w:multiLevelType w:val="hybridMultilevel"/>
    <w:tmpl w:val="4668922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54"/>
    <w:rsid w:val="001860FD"/>
    <w:rsid w:val="001C530D"/>
    <w:rsid w:val="00231E9E"/>
    <w:rsid w:val="002C7BD7"/>
    <w:rsid w:val="002D40B9"/>
    <w:rsid w:val="00440721"/>
    <w:rsid w:val="004C75D2"/>
    <w:rsid w:val="006941BC"/>
    <w:rsid w:val="00750C2A"/>
    <w:rsid w:val="009F4792"/>
    <w:rsid w:val="00A90BBA"/>
    <w:rsid w:val="00B54F12"/>
    <w:rsid w:val="00C41231"/>
    <w:rsid w:val="00C526DF"/>
    <w:rsid w:val="00DB5B54"/>
    <w:rsid w:val="00E64716"/>
    <w:rsid w:val="00F3233C"/>
    <w:rsid w:val="00F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9C386"/>
  <w15:chartTrackingRefBased/>
  <w15:docId w15:val="{60C69BBC-D0DF-419F-80F2-6BE62724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B5B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rsid w:val="00DB5B54"/>
    <w:pPr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B5B54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B5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INPI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Geraldine</dc:creator>
  <cp:keywords/>
  <dc:description/>
  <cp:lastModifiedBy>Boutasghount Sana</cp:lastModifiedBy>
  <cp:revision>4</cp:revision>
  <dcterms:created xsi:type="dcterms:W3CDTF">2024-12-09T14:03:00Z</dcterms:created>
  <dcterms:modified xsi:type="dcterms:W3CDTF">2024-12-13T14:05:00Z</dcterms:modified>
</cp:coreProperties>
</file>