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F56A" w14:textId="77777777" w:rsidR="00685000" w:rsidRDefault="00685000" w:rsidP="00685000">
      <w:pPr>
        <w:jc w:val="center"/>
      </w:pPr>
    </w:p>
    <w:p w14:paraId="5C1FA0F3" w14:textId="77777777" w:rsidR="00643E0B" w:rsidRPr="00643E0B" w:rsidRDefault="00643E0B" w:rsidP="00643E0B">
      <w:pPr>
        <w:autoSpaceDN w:val="0"/>
        <w:jc w:val="center"/>
        <w:rPr>
          <w:rFonts w:ascii="Calibri" w:eastAsia="Calibri" w:hAnsi="Calibri"/>
          <w:szCs w:val="22"/>
          <w:lang w:eastAsia="en-US"/>
        </w:rPr>
      </w:pPr>
    </w:p>
    <w:p w14:paraId="446E6205" w14:textId="3331CD73" w:rsidR="00643E0B" w:rsidRPr="00643E0B" w:rsidRDefault="00F02361" w:rsidP="00643E0B">
      <w:pPr>
        <w:autoSpaceDN w:val="0"/>
        <w:jc w:val="center"/>
      </w:pPr>
      <w:r>
        <w:rPr>
          <w:noProof/>
        </w:rPr>
        <w:drawing>
          <wp:inline distT="0" distB="0" distL="0" distR="0" wp14:anchorId="18A378BD" wp14:editId="525BBAD5">
            <wp:extent cx="2190605" cy="200693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368" cy="2014042"/>
                    </a:xfrm>
                    <a:prstGeom prst="rect">
                      <a:avLst/>
                    </a:prstGeom>
                    <a:noFill/>
                    <a:ln>
                      <a:noFill/>
                    </a:ln>
                  </pic:spPr>
                </pic:pic>
              </a:graphicData>
            </a:graphic>
          </wp:inline>
        </w:drawing>
      </w:r>
    </w:p>
    <w:p w14:paraId="59B32831" w14:textId="77777777" w:rsidR="00643E0B" w:rsidRPr="00643E0B" w:rsidRDefault="00643E0B" w:rsidP="00643E0B">
      <w:pPr>
        <w:autoSpaceDN w:val="0"/>
        <w:rPr>
          <w:b/>
          <w:bCs/>
          <w:color w:val="000000"/>
          <w:sz w:val="12"/>
        </w:rPr>
      </w:pPr>
    </w:p>
    <w:p w14:paraId="4919B97D" w14:textId="77777777" w:rsidR="00643E0B" w:rsidRPr="00643E0B" w:rsidRDefault="00643E0B" w:rsidP="00643E0B">
      <w:pPr>
        <w:autoSpaceDN w:val="0"/>
        <w:rPr>
          <w:b/>
          <w:bCs/>
          <w:color w:val="000000"/>
          <w:sz w:val="12"/>
        </w:rPr>
      </w:pPr>
    </w:p>
    <w:p w14:paraId="7AEDDA81" w14:textId="77777777" w:rsidR="00643E0B" w:rsidRPr="00643E0B" w:rsidRDefault="00643E0B" w:rsidP="00643E0B">
      <w:pPr>
        <w:autoSpaceDN w:val="0"/>
        <w:rPr>
          <w:b/>
          <w:bCs/>
          <w:color w:val="000000"/>
          <w:sz w:val="12"/>
        </w:rPr>
      </w:pPr>
    </w:p>
    <w:p w14:paraId="11E48EDC" w14:textId="77777777" w:rsidR="00643E0B" w:rsidRPr="00643E0B" w:rsidRDefault="00643E0B" w:rsidP="00643E0B">
      <w:pPr>
        <w:autoSpaceDN w:val="0"/>
        <w:rPr>
          <w:b/>
          <w:bCs/>
          <w:color w:val="000000"/>
          <w:sz w:val="12"/>
        </w:rPr>
      </w:pPr>
    </w:p>
    <w:p w14:paraId="08495B7A" w14:textId="77777777" w:rsidR="00643E0B" w:rsidRPr="00643E0B" w:rsidRDefault="00643E0B" w:rsidP="00643E0B">
      <w:pPr>
        <w:autoSpaceDN w:val="0"/>
        <w:rPr>
          <w:b/>
          <w:bCs/>
          <w:color w:val="000000"/>
          <w:sz w:val="12"/>
        </w:rPr>
      </w:pPr>
    </w:p>
    <w:p w14:paraId="01470ABA" w14:textId="77777777" w:rsidR="00643E0B" w:rsidRPr="00643E0B" w:rsidRDefault="00643E0B" w:rsidP="00643E0B">
      <w:pPr>
        <w:autoSpaceDN w:val="0"/>
        <w:rPr>
          <w:b/>
          <w:bCs/>
          <w:color w:val="000000"/>
          <w:sz w:val="12"/>
        </w:rPr>
      </w:pPr>
    </w:p>
    <w:p w14:paraId="1D7325EA" w14:textId="77777777" w:rsidR="00643E0B" w:rsidRPr="00643E0B" w:rsidRDefault="00643E0B" w:rsidP="00643E0B">
      <w:pPr>
        <w:autoSpaceDN w:val="0"/>
        <w:rPr>
          <w:b/>
          <w:bCs/>
          <w:color w:val="000000"/>
          <w:sz w:val="12"/>
        </w:rPr>
      </w:pPr>
    </w:p>
    <w:p w14:paraId="65823927" w14:textId="77777777" w:rsidR="00643E0B" w:rsidRPr="00643E0B" w:rsidRDefault="00643E0B" w:rsidP="00643E0B">
      <w:pPr>
        <w:autoSpaceDN w:val="0"/>
        <w:rPr>
          <w:b/>
          <w:bCs/>
          <w:color w:val="000000"/>
          <w:sz w:val="12"/>
        </w:rPr>
      </w:pPr>
    </w:p>
    <w:p w14:paraId="4FD78CE2" w14:textId="77777777" w:rsidR="00643E0B" w:rsidRPr="00643E0B" w:rsidRDefault="00643E0B" w:rsidP="00643E0B">
      <w:pPr>
        <w:pBdr>
          <w:top w:val="single" w:sz="4" w:space="1" w:color="000000"/>
          <w:left w:val="single" w:sz="4" w:space="4" w:color="000000"/>
          <w:bottom w:val="single" w:sz="4" w:space="9" w:color="000000"/>
          <w:right w:val="single" w:sz="4" w:space="4" w:color="000000"/>
        </w:pBdr>
        <w:shd w:val="clear" w:color="auto" w:fill="DDD9C3"/>
        <w:autoSpaceDN w:val="0"/>
        <w:ind w:left="70"/>
        <w:jc w:val="center"/>
        <w:rPr>
          <w:rFonts w:cs="Arial"/>
          <w:b/>
          <w:color w:val="000000"/>
          <w:sz w:val="16"/>
          <w:szCs w:val="22"/>
        </w:rPr>
      </w:pPr>
    </w:p>
    <w:p w14:paraId="759F51E1" w14:textId="77777777" w:rsidR="00CD24B3" w:rsidRPr="00CD24B3" w:rsidRDefault="00CD24B3" w:rsidP="00CD24B3">
      <w:pPr>
        <w:pBdr>
          <w:top w:val="single" w:sz="4" w:space="1" w:color="000000"/>
          <w:left w:val="single" w:sz="4" w:space="4" w:color="000000"/>
          <w:bottom w:val="single" w:sz="4" w:space="9" w:color="000000"/>
          <w:right w:val="single" w:sz="4" w:space="4" w:color="000000"/>
        </w:pBdr>
        <w:shd w:val="clear" w:color="auto" w:fill="DDD9C3"/>
        <w:ind w:left="70"/>
        <w:jc w:val="center"/>
        <w:rPr>
          <w:b/>
          <w:sz w:val="36"/>
          <w:szCs w:val="28"/>
        </w:rPr>
      </w:pPr>
      <w:bookmarkStart w:id="0" w:name="_Hlk62029421"/>
      <w:r w:rsidRPr="00CD24B3">
        <w:rPr>
          <w:b/>
          <w:sz w:val="36"/>
          <w:szCs w:val="28"/>
        </w:rPr>
        <w:t xml:space="preserve">NETTOYAGE DES LOCAUX ET FOURNITURE DES CONSOMMABLES ASSOCIES DANS LES ETABLISSEMENTS DE </w:t>
      </w:r>
    </w:p>
    <w:p w14:paraId="42B96489" w14:textId="4D2042C4" w:rsidR="00662389" w:rsidRPr="0056016D" w:rsidRDefault="00CD24B3" w:rsidP="00CD24B3">
      <w:pPr>
        <w:pBdr>
          <w:top w:val="single" w:sz="4" w:space="1" w:color="000000"/>
          <w:left w:val="single" w:sz="4" w:space="4" w:color="000000"/>
          <w:bottom w:val="single" w:sz="4" w:space="9" w:color="000000"/>
          <w:right w:val="single" w:sz="4" w:space="4" w:color="000000"/>
        </w:pBdr>
        <w:shd w:val="clear" w:color="auto" w:fill="DDD9C3"/>
        <w:ind w:left="70"/>
        <w:jc w:val="center"/>
        <w:rPr>
          <w:rFonts w:cstheme="minorBidi"/>
          <w:b/>
          <w:sz w:val="28"/>
          <w:szCs w:val="28"/>
          <w:highlight w:val="yellow"/>
        </w:rPr>
      </w:pPr>
      <w:r w:rsidRPr="00CD24B3">
        <w:rPr>
          <w:b/>
          <w:sz w:val="36"/>
          <w:szCs w:val="28"/>
        </w:rPr>
        <w:t>GRENOBLE ECOLE DE MANAGEMENT</w:t>
      </w:r>
      <w:r>
        <w:rPr>
          <w:b/>
          <w:sz w:val="36"/>
          <w:szCs w:val="28"/>
        </w:rPr>
        <w:t xml:space="preserve"> </w:t>
      </w:r>
    </w:p>
    <w:bookmarkEnd w:id="0"/>
    <w:p w14:paraId="318A6F1C" w14:textId="77777777" w:rsidR="00643E0B" w:rsidRPr="00643E0B" w:rsidRDefault="00643E0B" w:rsidP="00643E0B">
      <w:pPr>
        <w:tabs>
          <w:tab w:val="left" w:pos="9072"/>
        </w:tabs>
        <w:autoSpaceDN w:val="0"/>
        <w:jc w:val="center"/>
        <w:rPr>
          <w:b/>
          <w:sz w:val="20"/>
        </w:rPr>
      </w:pPr>
    </w:p>
    <w:p w14:paraId="26D56216" w14:textId="77777777" w:rsidR="00643E0B" w:rsidRPr="00643E0B" w:rsidRDefault="00643E0B" w:rsidP="00643E0B">
      <w:pPr>
        <w:tabs>
          <w:tab w:val="left" w:pos="9072"/>
        </w:tabs>
        <w:autoSpaceDN w:val="0"/>
        <w:jc w:val="center"/>
        <w:rPr>
          <w:b/>
          <w:sz w:val="20"/>
        </w:rPr>
      </w:pPr>
    </w:p>
    <w:p w14:paraId="6320A275" w14:textId="77777777" w:rsidR="00643E0B" w:rsidRPr="00643E0B" w:rsidRDefault="00643E0B" w:rsidP="00643E0B">
      <w:pPr>
        <w:tabs>
          <w:tab w:val="left" w:pos="9072"/>
        </w:tabs>
        <w:autoSpaceDN w:val="0"/>
        <w:jc w:val="center"/>
        <w:rPr>
          <w:b/>
          <w:sz w:val="28"/>
          <w:szCs w:val="28"/>
        </w:rPr>
      </w:pPr>
    </w:p>
    <w:p w14:paraId="67639359" w14:textId="77777777" w:rsidR="00685000" w:rsidRDefault="00685000" w:rsidP="00685000">
      <w:pPr>
        <w:jc w:val="center"/>
      </w:pPr>
    </w:p>
    <w:p w14:paraId="0A5596B3" w14:textId="329F003E" w:rsidR="007C3E2F" w:rsidRDefault="00685000" w:rsidP="007C3E2F">
      <w:pPr>
        <w:pBdr>
          <w:top w:val="single" w:sz="4" w:space="10" w:color="4472C4" w:themeColor="accent1"/>
          <w:bottom w:val="single" w:sz="4" w:space="10" w:color="4472C4" w:themeColor="accent1"/>
        </w:pBdr>
        <w:spacing w:before="360" w:after="360" w:line="259" w:lineRule="auto"/>
        <w:ind w:left="864" w:right="864"/>
        <w:jc w:val="center"/>
        <w:rPr>
          <w:rFonts w:asciiTheme="minorHAnsi" w:eastAsiaTheme="minorHAnsi" w:hAnsiTheme="minorHAnsi" w:cstheme="minorBidi"/>
          <w:b/>
          <w:bCs/>
          <w:i/>
          <w:iCs/>
          <w:smallCaps/>
          <w:color w:val="222A35" w:themeColor="text2" w:themeShade="80"/>
          <w:spacing w:val="5"/>
          <w:sz w:val="44"/>
          <w:szCs w:val="44"/>
          <w:lang w:eastAsia="en-US"/>
        </w:rPr>
      </w:pPr>
      <w:r w:rsidRPr="00685000">
        <w:rPr>
          <w:rFonts w:asciiTheme="minorHAnsi" w:eastAsiaTheme="minorHAnsi" w:hAnsiTheme="minorHAnsi" w:cstheme="minorBidi"/>
          <w:b/>
          <w:bCs/>
          <w:i/>
          <w:iCs/>
          <w:smallCaps/>
          <w:color w:val="222A35" w:themeColor="text2" w:themeShade="80"/>
          <w:spacing w:val="5"/>
          <w:sz w:val="44"/>
          <w:szCs w:val="44"/>
          <w:lang w:eastAsia="en-US"/>
        </w:rPr>
        <w:t>REGLEMENT DE CONSULTATION</w:t>
      </w:r>
    </w:p>
    <w:p w14:paraId="7218B5D0" w14:textId="719F60E8" w:rsidR="00685000" w:rsidRPr="00685000" w:rsidRDefault="007C3E2F" w:rsidP="007C3E2F">
      <w:pPr>
        <w:pBdr>
          <w:top w:val="single" w:sz="4" w:space="10" w:color="4472C4" w:themeColor="accent1"/>
          <w:bottom w:val="single" w:sz="4" w:space="10" w:color="4472C4" w:themeColor="accent1"/>
        </w:pBdr>
        <w:spacing w:before="360" w:after="360" w:line="259" w:lineRule="auto"/>
        <w:ind w:left="864" w:right="864"/>
        <w:jc w:val="center"/>
        <w:rPr>
          <w:rFonts w:asciiTheme="minorHAnsi" w:eastAsiaTheme="minorHAnsi" w:hAnsiTheme="minorHAnsi" w:cstheme="minorBidi"/>
          <w:b/>
          <w:bCs/>
          <w:i/>
          <w:iCs/>
          <w:smallCaps/>
          <w:color w:val="222A35" w:themeColor="text2" w:themeShade="80"/>
          <w:spacing w:val="5"/>
          <w:sz w:val="44"/>
          <w:szCs w:val="44"/>
          <w:lang w:eastAsia="en-US"/>
        </w:rPr>
      </w:pPr>
      <w:r>
        <w:rPr>
          <w:rFonts w:asciiTheme="minorHAnsi" w:eastAsiaTheme="minorHAnsi" w:hAnsiTheme="minorHAnsi" w:cstheme="minorBidi"/>
          <w:b/>
          <w:bCs/>
          <w:i/>
          <w:iCs/>
          <w:smallCaps/>
          <w:color w:val="222A35" w:themeColor="text2" w:themeShade="80"/>
          <w:spacing w:val="5"/>
          <w:sz w:val="44"/>
          <w:szCs w:val="44"/>
          <w:lang w:eastAsia="en-US"/>
        </w:rPr>
        <w:t>DE L’ACCORD CADRE</w:t>
      </w:r>
    </w:p>
    <w:p w14:paraId="6711E7C6" w14:textId="77777777" w:rsidR="00685000" w:rsidRPr="00EF692C" w:rsidRDefault="00685000" w:rsidP="00685000">
      <w:pPr>
        <w:tabs>
          <w:tab w:val="left" w:pos="9072"/>
        </w:tabs>
        <w:jc w:val="center"/>
        <w:rPr>
          <w:b/>
          <w:sz w:val="20"/>
        </w:rPr>
      </w:pPr>
    </w:p>
    <w:p w14:paraId="782258B8" w14:textId="77777777" w:rsidR="00FF6033" w:rsidRDefault="00FF6033" w:rsidP="00FF6033">
      <w:pPr>
        <w:tabs>
          <w:tab w:val="left" w:pos="9072"/>
        </w:tabs>
        <w:jc w:val="center"/>
        <w:rPr>
          <w:b/>
          <w:sz w:val="28"/>
          <w:szCs w:val="28"/>
        </w:rPr>
      </w:pPr>
      <w:bookmarkStart w:id="1" w:name="_GoBack"/>
      <w:bookmarkEnd w:id="1"/>
      <w:r>
        <w:rPr>
          <w:b/>
          <w:sz w:val="28"/>
          <w:szCs w:val="28"/>
        </w:rPr>
        <w:t>Affaire n° 24GEM0055</w:t>
      </w:r>
    </w:p>
    <w:p w14:paraId="58B29516" w14:textId="77777777" w:rsidR="00FF6033" w:rsidRDefault="00FF6033" w:rsidP="00FF6033">
      <w:pPr>
        <w:tabs>
          <w:tab w:val="left" w:pos="9072"/>
        </w:tabs>
        <w:jc w:val="center"/>
        <w:rPr>
          <w:b/>
          <w:sz w:val="28"/>
          <w:szCs w:val="28"/>
        </w:rPr>
      </w:pPr>
      <w:r>
        <w:rPr>
          <w:b/>
          <w:sz w:val="28"/>
          <w:szCs w:val="28"/>
        </w:rPr>
        <w:t>Lot 1 : 24GEM0069</w:t>
      </w:r>
    </w:p>
    <w:p w14:paraId="560E4BC7" w14:textId="77777777" w:rsidR="00FF6033" w:rsidRDefault="00FF6033" w:rsidP="00FF6033">
      <w:pPr>
        <w:tabs>
          <w:tab w:val="left" w:pos="9072"/>
        </w:tabs>
        <w:jc w:val="center"/>
        <w:rPr>
          <w:b/>
          <w:sz w:val="28"/>
          <w:szCs w:val="28"/>
        </w:rPr>
      </w:pPr>
      <w:r>
        <w:rPr>
          <w:b/>
          <w:sz w:val="28"/>
          <w:szCs w:val="28"/>
        </w:rPr>
        <w:t>Lot 2 : 24GEM0070</w:t>
      </w:r>
    </w:p>
    <w:p w14:paraId="38DADA90" w14:textId="77777777" w:rsidR="00685000" w:rsidRDefault="00685000" w:rsidP="00685000">
      <w:pPr>
        <w:spacing w:line="280" w:lineRule="exact"/>
      </w:pPr>
    </w:p>
    <w:p w14:paraId="3EFFA087" w14:textId="77777777" w:rsidR="00685000" w:rsidRDefault="00685000" w:rsidP="00685000">
      <w:pPr>
        <w:spacing w:line="280" w:lineRule="exact"/>
      </w:pPr>
    </w:p>
    <w:p w14:paraId="2AEC6587" w14:textId="77777777" w:rsidR="00685000" w:rsidRPr="00685000" w:rsidRDefault="00685000" w:rsidP="00685000">
      <w:pPr>
        <w:keepNext/>
        <w:jc w:val="center"/>
        <w:outlineLvl w:val="1"/>
        <w:rPr>
          <w:rFonts w:asciiTheme="minorHAnsi" w:eastAsiaTheme="minorHAnsi" w:hAnsiTheme="minorHAnsi" w:cstheme="minorBidi"/>
          <w:b/>
          <w:bCs/>
          <w:i/>
          <w:iCs/>
          <w:smallCaps/>
          <w:color w:val="222A35" w:themeColor="text2" w:themeShade="80"/>
          <w:spacing w:val="5"/>
          <w:sz w:val="44"/>
          <w:szCs w:val="44"/>
          <w:lang w:eastAsia="en-US"/>
        </w:rPr>
      </w:pPr>
      <w:bookmarkStart w:id="2" w:name="_Toc115958916"/>
      <w:r w:rsidRPr="00685000">
        <w:rPr>
          <w:rFonts w:asciiTheme="minorHAnsi" w:eastAsiaTheme="minorHAnsi" w:hAnsiTheme="minorHAnsi" w:cstheme="minorBidi"/>
          <w:b/>
          <w:bCs/>
          <w:i/>
          <w:iCs/>
          <w:smallCaps/>
          <w:color w:val="222A35" w:themeColor="text2" w:themeShade="80"/>
          <w:spacing w:val="5"/>
          <w:sz w:val="44"/>
          <w:szCs w:val="44"/>
          <w:lang w:eastAsia="en-US"/>
        </w:rPr>
        <w:t>Date limite de remise des offres</w:t>
      </w:r>
      <w:r>
        <w:rPr>
          <w:rFonts w:asciiTheme="minorHAnsi" w:eastAsiaTheme="minorHAnsi" w:hAnsiTheme="minorHAnsi" w:cstheme="minorBidi"/>
          <w:b/>
          <w:bCs/>
          <w:i/>
          <w:iCs/>
          <w:smallCaps/>
          <w:color w:val="222A35" w:themeColor="text2" w:themeShade="80"/>
          <w:spacing w:val="5"/>
          <w:sz w:val="44"/>
          <w:szCs w:val="44"/>
          <w:lang w:eastAsia="en-US"/>
        </w:rPr>
        <w:t> :</w:t>
      </w:r>
      <w:bookmarkEnd w:id="2"/>
    </w:p>
    <w:p w14:paraId="49FFB433" w14:textId="77777777" w:rsidR="00685000" w:rsidRPr="00685000" w:rsidRDefault="00685000" w:rsidP="00685000">
      <w:pPr>
        <w:keepNext/>
        <w:ind w:left="432"/>
        <w:outlineLvl w:val="1"/>
        <w:rPr>
          <w:rFonts w:asciiTheme="minorHAnsi" w:eastAsiaTheme="minorHAnsi" w:hAnsiTheme="minorHAnsi" w:cstheme="minorBidi"/>
          <w:b/>
          <w:bCs/>
          <w:i/>
          <w:iCs/>
          <w:smallCaps/>
          <w:color w:val="222A35" w:themeColor="text2" w:themeShade="80"/>
          <w:spacing w:val="5"/>
          <w:sz w:val="44"/>
          <w:szCs w:val="44"/>
          <w:lang w:eastAsia="en-US"/>
        </w:rPr>
      </w:pPr>
      <w:r w:rsidRPr="00685000">
        <w:rPr>
          <w:rFonts w:asciiTheme="minorHAnsi" w:eastAsiaTheme="minorHAnsi" w:hAnsiTheme="minorHAnsi" w:cstheme="minorBidi"/>
          <w:b/>
          <w:bCs/>
          <w:i/>
          <w:iCs/>
          <w:smallCaps/>
          <w:color w:val="222A35" w:themeColor="text2" w:themeShade="80"/>
          <w:spacing w:val="5"/>
          <w:sz w:val="44"/>
          <w:szCs w:val="44"/>
          <w:lang w:eastAsia="en-US"/>
        </w:rPr>
        <w:tab/>
      </w:r>
    </w:p>
    <w:p w14:paraId="71B0DF4B" w14:textId="6BEE9D80" w:rsidR="00685000" w:rsidRPr="00685000" w:rsidRDefault="0003080B" w:rsidP="00685000">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b/>
          <w:bCs/>
          <w:i/>
          <w:iCs/>
          <w:smallCaps/>
          <w:color w:val="222A35" w:themeColor="text2" w:themeShade="80"/>
          <w:spacing w:val="5"/>
          <w:sz w:val="44"/>
          <w:szCs w:val="44"/>
          <w:lang w:eastAsia="en-US"/>
        </w:rPr>
      </w:pPr>
      <w:r>
        <w:rPr>
          <w:rFonts w:asciiTheme="minorHAnsi" w:eastAsiaTheme="minorHAnsi" w:hAnsiTheme="minorHAnsi" w:cstheme="minorBidi"/>
          <w:b/>
          <w:bCs/>
          <w:i/>
          <w:iCs/>
          <w:smallCaps/>
          <w:color w:val="222A35" w:themeColor="text2" w:themeShade="80"/>
          <w:spacing w:val="5"/>
          <w:sz w:val="44"/>
          <w:szCs w:val="44"/>
          <w:lang w:eastAsia="en-US"/>
        </w:rPr>
        <w:t>LUNDI 3 FEVRIER</w:t>
      </w:r>
      <w:r w:rsidR="00D12F3E" w:rsidRPr="00D12F3E">
        <w:rPr>
          <w:rFonts w:asciiTheme="minorHAnsi" w:eastAsiaTheme="minorHAnsi" w:hAnsiTheme="minorHAnsi" w:cstheme="minorBidi"/>
          <w:b/>
          <w:bCs/>
          <w:i/>
          <w:iCs/>
          <w:smallCaps/>
          <w:color w:val="222A35" w:themeColor="text2" w:themeShade="80"/>
          <w:spacing w:val="5"/>
          <w:sz w:val="44"/>
          <w:szCs w:val="44"/>
          <w:lang w:eastAsia="en-US"/>
        </w:rPr>
        <w:t xml:space="preserve"> 2025</w:t>
      </w:r>
      <w:r w:rsidR="00D12F3E">
        <w:rPr>
          <w:rFonts w:asciiTheme="minorHAnsi" w:eastAsiaTheme="minorHAnsi" w:hAnsiTheme="minorHAnsi" w:cstheme="minorBidi"/>
          <w:b/>
          <w:bCs/>
          <w:i/>
          <w:iCs/>
          <w:smallCaps/>
          <w:color w:val="222A35" w:themeColor="text2" w:themeShade="80"/>
          <w:spacing w:val="5"/>
          <w:sz w:val="44"/>
          <w:szCs w:val="44"/>
          <w:lang w:eastAsia="en-US"/>
        </w:rPr>
        <w:t xml:space="preserve"> </w:t>
      </w:r>
      <w:r w:rsidR="00685000" w:rsidRPr="004D790C">
        <w:rPr>
          <w:rFonts w:asciiTheme="minorHAnsi" w:eastAsiaTheme="minorHAnsi" w:hAnsiTheme="minorHAnsi" w:cstheme="minorBidi"/>
          <w:b/>
          <w:bCs/>
          <w:i/>
          <w:iCs/>
          <w:smallCaps/>
          <w:color w:val="222A35" w:themeColor="text2" w:themeShade="80"/>
          <w:spacing w:val="5"/>
          <w:sz w:val="44"/>
          <w:szCs w:val="44"/>
          <w:lang w:eastAsia="en-US"/>
        </w:rPr>
        <w:t>à 1</w:t>
      </w:r>
      <w:r w:rsidR="00CB6264">
        <w:rPr>
          <w:rFonts w:asciiTheme="minorHAnsi" w:eastAsiaTheme="minorHAnsi" w:hAnsiTheme="minorHAnsi" w:cstheme="minorBidi"/>
          <w:b/>
          <w:bCs/>
          <w:i/>
          <w:iCs/>
          <w:smallCaps/>
          <w:color w:val="222A35" w:themeColor="text2" w:themeShade="80"/>
          <w:spacing w:val="5"/>
          <w:sz w:val="44"/>
          <w:szCs w:val="44"/>
          <w:lang w:eastAsia="en-US"/>
        </w:rPr>
        <w:t>2</w:t>
      </w:r>
      <w:r w:rsidR="006748E9" w:rsidRPr="004D790C">
        <w:rPr>
          <w:rFonts w:asciiTheme="minorHAnsi" w:eastAsiaTheme="minorHAnsi" w:hAnsiTheme="minorHAnsi" w:cstheme="minorBidi"/>
          <w:b/>
          <w:bCs/>
          <w:i/>
          <w:iCs/>
          <w:smallCaps/>
          <w:color w:val="222A35" w:themeColor="text2" w:themeShade="80"/>
          <w:spacing w:val="5"/>
          <w:sz w:val="44"/>
          <w:szCs w:val="44"/>
          <w:lang w:eastAsia="en-US"/>
        </w:rPr>
        <w:t>H30</w:t>
      </w:r>
    </w:p>
    <w:sdt>
      <w:sdtPr>
        <w:rPr>
          <w:rFonts w:ascii="Arial" w:eastAsia="Times New Roman" w:hAnsi="Arial" w:cs="Times New Roman"/>
          <w:color w:val="auto"/>
          <w:sz w:val="22"/>
          <w:szCs w:val="24"/>
        </w:rPr>
        <w:id w:val="-150831009"/>
        <w:docPartObj>
          <w:docPartGallery w:val="Table of Contents"/>
          <w:docPartUnique/>
        </w:docPartObj>
      </w:sdtPr>
      <w:sdtEndPr>
        <w:rPr>
          <w:b/>
          <w:bCs/>
        </w:rPr>
      </w:sdtEndPr>
      <w:sdtContent>
        <w:p w14:paraId="38B55555" w14:textId="77777777" w:rsidR="00D12F3E" w:rsidRDefault="00D12F3E">
          <w:pPr>
            <w:pStyle w:val="En-ttedetabledesmatires"/>
            <w:rPr>
              <w:rFonts w:ascii="Arial" w:eastAsia="Times New Roman" w:hAnsi="Arial" w:cs="Times New Roman"/>
              <w:color w:val="auto"/>
              <w:sz w:val="22"/>
              <w:szCs w:val="24"/>
            </w:rPr>
          </w:pPr>
        </w:p>
        <w:p w14:paraId="540704B8" w14:textId="695FFC75" w:rsidR="00D12F3E" w:rsidRDefault="00D12F3E">
          <w:pPr>
            <w:spacing w:after="160" w:line="259" w:lineRule="auto"/>
          </w:pPr>
        </w:p>
        <w:p w14:paraId="29732720" w14:textId="308E0949" w:rsidR="00685000" w:rsidRDefault="00685000">
          <w:pPr>
            <w:pStyle w:val="En-ttedetabledesmatires"/>
          </w:pPr>
          <w:r>
            <w:t>Table des matières</w:t>
          </w:r>
        </w:p>
        <w:p w14:paraId="10280DF1" w14:textId="545700EB" w:rsidR="00BE2EC5" w:rsidRDefault="00685000">
          <w:pPr>
            <w:pStyle w:val="TM2"/>
            <w:tabs>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15958916" w:history="1">
            <w:r w:rsidR="00BE2EC5" w:rsidRPr="00144EE0">
              <w:rPr>
                <w:rStyle w:val="Lienhypertexte"/>
                <w:rFonts w:eastAsiaTheme="minorHAnsi"/>
                <w:b/>
                <w:bCs/>
                <w:i/>
                <w:iCs/>
                <w:smallCaps/>
                <w:noProof/>
                <w:spacing w:val="5"/>
                <w:lang w:eastAsia="en-US"/>
              </w:rPr>
              <w:t>Date limite de remise des offres :</w:t>
            </w:r>
            <w:r w:rsidR="00BE2EC5">
              <w:rPr>
                <w:noProof/>
                <w:webHidden/>
              </w:rPr>
              <w:tab/>
            </w:r>
            <w:r w:rsidR="00BE2EC5">
              <w:rPr>
                <w:noProof/>
                <w:webHidden/>
              </w:rPr>
              <w:fldChar w:fldCharType="begin"/>
            </w:r>
            <w:r w:rsidR="00BE2EC5">
              <w:rPr>
                <w:noProof/>
                <w:webHidden/>
              </w:rPr>
              <w:instrText xml:space="preserve"> PAGEREF _Toc115958916 \h </w:instrText>
            </w:r>
            <w:r w:rsidR="00BE2EC5">
              <w:rPr>
                <w:noProof/>
                <w:webHidden/>
              </w:rPr>
            </w:r>
            <w:r w:rsidR="00BE2EC5">
              <w:rPr>
                <w:noProof/>
                <w:webHidden/>
              </w:rPr>
              <w:fldChar w:fldCharType="separate"/>
            </w:r>
            <w:r w:rsidR="00BE2EC5">
              <w:rPr>
                <w:noProof/>
                <w:webHidden/>
              </w:rPr>
              <w:t>1</w:t>
            </w:r>
            <w:r w:rsidR="00BE2EC5">
              <w:rPr>
                <w:noProof/>
                <w:webHidden/>
              </w:rPr>
              <w:fldChar w:fldCharType="end"/>
            </w:r>
          </w:hyperlink>
        </w:p>
        <w:p w14:paraId="6BAB9F27" w14:textId="21725796" w:rsidR="00BE2EC5" w:rsidRDefault="00FF6033">
          <w:pPr>
            <w:pStyle w:val="TM1"/>
            <w:tabs>
              <w:tab w:val="right" w:leader="dot" w:pos="9062"/>
            </w:tabs>
            <w:rPr>
              <w:rFonts w:asciiTheme="minorHAnsi" w:eastAsiaTheme="minorEastAsia" w:hAnsiTheme="minorHAnsi" w:cstheme="minorBidi"/>
              <w:noProof/>
              <w:szCs w:val="22"/>
            </w:rPr>
          </w:pPr>
          <w:hyperlink w:anchor="_Toc115958917" w:history="1">
            <w:r w:rsidR="00BE2EC5" w:rsidRPr="00144EE0">
              <w:rPr>
                <w:rStyle w:val="Lienhypertexte"/>
                <w:rFonts w:asciiTheme="majorHAnsi" w:eastAsia="Calibri" w:hAnsiTheme="majorHAnsi" w:cstheme="majorBidi"/>
                <w:noProof/>
              </w:rPr>
              <w:t>Article premier : Objet et étendue de la consultation</w:t>
            </w:r>
            <w:r w:rsidR="00BE2EC5">
              <w:rPr>
                <w:noProof/>
                <w:webHidden/>
              </w:rPr>
              <w:tab/>
            </w:r>
            <w:r w:rsidR="00BE2EC5">
              <w:rPr>
                <w:noProof/>
                <w:webHidden/>
              </w:rPr>
              <w:fldChar w:fldCharType="begin"/>
            </w:r>
            <w:r w:rsidR="00BE2EC5">
              <w:rPr>
                <w:noProof/>
                <w:webHidden/>
              </w:rPr>
              <w:instrText xml:space="preserve"> PAGEREF _Toc115958917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32059BBF" w14:textId="5B078B20" w:rsidR="00BE2EC5" w:rsidRDefault="00FF6033">
          <w:pPr>
            <w:pStyle w:val="TM2"/>
            <w:tabs>
              <w:tab w:val="right" w:leader="dot" w:pos="9062"/>
            </w:tabs>
            <w:rPr>
              <w:rFonts w:asciiTheme="minorHAnsi" w:eastAsiaTheme="minorEastAsia" w:hAnsiTheme="minorHAnsi" w:cstheme="minorBidi"/>
              <w:noProof/>
              <w:szCs w:val="22"/>
            </w:rPr>
          </w:pPr>
          <w:hyperlink w:anchor="_Toc115958918" w:history="1">
            <w:r w:rsidR="00BE2EC5" w:rsidRPr="00144EE0">
              <w:rPr>
                <w:rStyle w:val="Lienhypertexte"/>
                <w:rFonts w:eastAsia="Calibri" w:cs="Arial"/>
                <w:i/>
                <w:noProof/>
              </w:rPr>
              <w:t>1.1 - Objet de la consultation</w:t>
            </w:r>
            <w:r w:rsidR="00BE2EC5">
              <w:rPr>
                <w:noProof/>
                <w:webHidden/>
              </w:rPr>
              <w:tab/>
            </w:r>
            <w:r w:rsidR="00BE2EC5">
              <w:rPr>
                <w:noProof/>
                <w:webHidden/>
              </w:rPr>
              <w:fldChar w:fldCharType="begin"/>
            </w:r>
            <w:r w:rsidR="00BE2EC5">
              <w:rPr>
                <w:noProof/>
                <w:webHidden/>
              </w:rPr>
              <w:instrText xml:space="preserve"> PAGEREF _Toc115958918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1C34BC8A" w14:textId="7F490D46" w:rsidR="00BE2EC5" w:rsidRDefault="00FF6033">
          <w:pPr>
            <w:pStyle w:val="TM2"/>
            <w:tabs>
              <w:tab w:val="right" w:leader="dot" w:pos="9062"/>
            </w:tabs>
            <w:rPr>
              <w:rFonts w:asciiTheme="minorHAnsi" w:eastAsiaTheme="minorEastAsia" w:hAnsiTheme="minorHAnsi" w:cstheme="minorBidi"/>
              <w:noProof/>
              <w:szCs w:val="22"/>
            </w:rPr>
          </w:pPr>
          <w:hyperlink w:anchor="_Toc115958919" w:history="1">
            <w:r w:rsidR="00BE2EC5" w:rsidRPr="00144EE0">
              <w:rPr>
                <w:rStyle w:val="Lienhypertexte"/>
                <w:rFonts w:eastAsia="Calibri" w:cs="Arial"/>
                <w:i/>
                <w:noProof/>
              </w:rPr>
              <w:t>1.2 – Forme du contrat</w:t>
            </w:r>
            <w:r w:rsidR="00BE2EC5">
              <w:rPr>
                <w:noProof/>
                <w:webHidden/>
              </w:rPr>
              <w:tab/>
            </w:r>
            <w:r w:rsidR="00BE2EC5">
              <w:rPr>
                <w:noProof/>
                <w:webHidden/>
              </w:rPr>
              <w:fldChar w:fldCharType="begin"/>
            </w:r>
            <w:r w:rsidR="00BE2EC5">
              <w:rPr>
                <w:noProof/>
                <w:webHidden/>
              </w:rPr>
              <w:instrText xml:space="preserve"> PAGEREF _Toc115958919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2E31BEEB" w14:textId="539B9F0F" w:rsidR="00BE2EC5" w:rsidRDefault="00FF6033">
          <w:pPr>
            <w:pStyle w:val="TM2"/>
            <w:tabs>
              <w:tab w:val="right" w:leader="dot" w:pos="9062"/>
            </w:tabs>
            <w:rPr>
              <w:rFonts w:asciiTheme="minorHAnsi" w:eastAsiaTheme="minorEastAsia" w:hAnsiTheme="minorHAnsi" w:cstheme="minorBidi"/>
              <w:noProof/>
              <w:szCs w:val="22"/>
            </w:rPr>
          </w:pPr>
          <w:hyperlink w:anchor="_Toc115958920" w:history="1">
            <w:r w:rsidR="00BE2EC5" w:rsidRPr="00144EE0">
              <w:rPr>
                <w:rStyle w:val="Lienhypertexte"/>
                <w:rFonts w:eastAsia="Calibri" w:cs="Arial"/>
                <w:i/>
                <w:noProof/>
              </w:rPr>
              <w:t>1.3 - Mode de passation</w:t>
            </w:r>
            <w:r w:rsidR="00BE2EC5">
              <w:rPr>
                <w:noProof/>
                <w:webHidden/>
              </w:rPr>
              <w:tab/>
            </w:r>
            <w:r w:rsidR="00BE2EC5">
              <w:rPr>
                <w:noProof/>
                <w:webHidden/>
              </w:rPr>
              <w:fldChar w:fldCharType="begin"/>
            </w:r>
            <w:r w:rsidR="00BE2EC5">
              <w:rPr>
                <w:noProof/>
                <w:webHidden/>
              </w:rPr>
              <w:instrText xml:space="preserve"> PAGEREF _Toc115958920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45760D78" w14:textId="325161A5" w:rsidR="00BE2EC5" w:rsidRDefault="00FF6033">
          <w:pPr>
            <w:pStyle w:val="TM2"/>
            <w:tabs>
              <w:tab w:val="right" w:leader="dot" w:pos="9062"/>
            </w:tabs>
            <w:rPr>
              <w:rFonts w:asciiTheme="minorHAnsi" w:eastAsiaTheme="minorEastAsia" w:hAnsiTheme="minorHAnsi" w:cstheme="minorBidi"/>
              <w:noProof/>
              <w:szCs w:val="22"/>
            </w:rPr>
          </w:pPr>
          <w:hyperlink w:anchor="_Toc115958921" w:history="1">
            <w:r w:rsidR="00BE2EC5" w:rsidRPr="00144EE0">
              <w:rPr>
                <w:rStyle w:val="Lienhypertexte"/>
                <w:rFonts w:eastAsia="Calibri" w:cs="Arial"/>
                <w:i/>
                <w:noProof/>
              </w:rPr>
              <w:t>1.4 - Décomposition de la consultation</w:t>
            </w:r>
            <w:r w:rsidR="00BE2EC5">
              <w:rPr>
                <w:noProof/>
                <w:webHidden/>
              </w:rPr>
              <w:tab/>
            </w:r>
            <w:r w:rsidR="00BE2EC5">
              <w:rPr>
                <w:noProof/>
                <w:webHidden/>
              </w:rPr>
              <w:fldChar w:fldCharType="begin"/>
            </w:r>
            <w:r w:rsidR="00BE2EC5">
              <w:rPr>
                <w:noProof/>
                <w:webHidden/>
              </w:rPr>
              <w:instrText xml:space="preserve"> PAGEREF _Toc115958921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5CEF951A" w14:textId="0C925603" w:rsidR="00BE2EC5" w:rsidRDefault="00FF6033">
          <w:pPr>
            <w:pStyle w:val="TM2"/>
            <w:tabs>
              <w:tab w:val="right" w:leader="dot" w:pos="9062"/>
            </w:tabs>
            <w:rPr>
              <w:rFonts w:asciiTheme="minorHAnsi" w:eastAsiaTheme="minorEastAsia" w:hAnsiTheme="minorHAnsi" w:cstheme="minorBidi"/>
              <w:noProof/>
              <w:szCs w:val="22"/>
            </w:rPr>
          </w:pPr>
          <w:hyperlink w:anchor="_Toc115958922" w:history="1">
            <w:r w:rsidR="00BE2EC5" w:rsidRPr="00144EE0">
              <w:rPr>
                <w:rStyle w:val="Lienhypertexte"/>
                <w:rFonts w:eastAsia="Calibri" w:cs="Arial"/>
                <w:i/>
                <w:noProof/>
              </w:rPr>
              <w:t>1.5 - Nomenclature communautaire</w:t>
            </w:r>
            <w:r w:rsidR="00BE2EC5">
              <w:rPr>
                <w:noProof/>
                <w:webHidden/>
              </w:rPr>
              <w:tab/>
            </w:r>
            <w:r w:rsidR="00BE2EC5">
              <w:rPr>
                <w:noProof/>
                <w:webHidden/>
              </w:rPr>
              <w:fldChar w:fldCharType="begin"/>
            </w:r>
            <w:r w:rsidR="00BE2EC5">
              <w:rPr>
                <w:noProof/>
                <w:webHidden/>
              </w:rPr>
              <w:instrText xml:space="preserve"> PAGEREF _Toc115958922 \h </w:instrText>
            </w:r>
            <w:r w:rsidR="00BE2EC5">
              <w:rPr>
                <w:noProof/>
                <w:webHidden/>
              </w:rPr>
            </w:r>
            <w:r w:rsidR="00BE2EC5">
              <w:rPr>
                <w:noProof/>
                <w:webHidden/>
              </w:rPr>
              <w:fldChar w:fldCharType="separate"/>
            </w:r>
            <w:r w:rsidR="00BE2EC5">
              <w:rPr>
                <w:noProof/>
                <w:webHidden/>
              </w:rPr>
              <w:t>3</w:t>
            </w:r>
            <w:r w:rsidR="00BE2EC5">
              <w:rPr>
                <w:noProof/>
                <w:webHidden/>
              </w:rPr>
              <w:fldChar w:fldCharType="end"/>
            </w:r>
          </w:hyperlink>
        </w:p>
        <w:p w14:paraId="6E37DE7C" w14:textId="22C56F18" w:rsidR="00BE2EC5" w:rsidRDefault="00FF6033">
          <w:pPr>
            <w:pStyle w:val="TM1"/>
            <w:tabs>
              <w:tab w:val="right" w:leader="dot" w:pos="9062"/>
            </w:tabs>
            <w:rPr>
              <w:rFonts w:asciiTheme="minorHAnsi" w:eastAsiaTheme="minorEastAsia" w:hAnsiTheme="minorHAnsi" w:cstheme="minorBidi"/>
              <w:noProof/>
              <w:szCs w:val="22"/>
            </w:rPr>
          </w:pPr>
          <w:hyperlink w:anchor="_Toc115958923" w:history="1">
            <w:r w:rsidR="00BE2EC5" w:rsidRPr="00144EE0">
              <w:rPr>
                <w:rStyle w:val="Lienhypertexte"/>
                <w:rFonts w:asciiTheme="majorHAnsi" w:eastAsia="Calibri" w:hAnsiTheme="majorHAnsi" w:cstheme="majorBidi"/>
                <w:noProof/>
              </w:rPr>
              <w:t>Article 2 : Conditions de la consultation</w:t>
            </w:r>
            <w:r w:rsidR="00BE2EC5">
              <w:rPr>
                <w:noProof/>
                <w:webHidden/>
              </w:rPr>
              <w:tab/>
            </w:r>
            <w:r w:rsidR="00BE2EC5">
              <w:rPr>
                <w:noProof/>
                <w:webHidden/>
              </w:rPr>
              <w:fldChar w:fldCharType="begin"/>
            </w:r>
            <w:r w:rsidR="00BE2EC5">
              <w:rPr>
                <w:noProof/>
                <w:webHidden/>
              </w:rPr>
              <w:instrText xml:space="preserve"> PAGEREF _Toc115958923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705F254B" w14:textId="44ACD3AD" w:rsidR="00BE2EC5" w:rsidRDefault="00FF6033">
          <w:pPr>
            <w:pStyle w:val="TM2"/>
            <w:tabs>
              <w:tab w:val="right" w:leader="dot" w:pos="9062"/>
            </w:tabs>
            <w:rPr>
              <w:rFonts w:asciiTheme="minorHAnsi" w:eastAsiaTheme="minorEastAsia" w:hAnsiTheme="minorHAnsi" w:cstheme="minorBidi"/>
              <w:noProof/>
              <w:szCs w:val="22"/>
            </w:rPr>
          </w:pPr>
          <w:hyperlink w:anchor="_Toc115958924" w:history="1">
            <w:r w:rsidR="00BE2EC5" w:rsidRPr="00144EE0">
              <w:rPr>
                <w:rStyle w:val="Lienhypertexte"/>
                <w:rFonts w:eastAsia="Calibri" w:cs="Arial"/>
                <w:i/>
                <w:noProof/>
              </w:rPr>
              <w:t>2.1 - Durée du marché - Délais d’exécution</w:t>
            </w:r>
            <w:r w:rsidR="00BE2EC5">
              <w:rPr>
                <w:noProof/>
                <w:webHidden/>
              </w:rPr>
              <w:tab/>
            </w:r>
            <w:r w:rsidR="00BE2EC5">
              <w:rPr>
                <w:noProof/>
                <w:webHidden/>
              </w:rPr>
              <w:fldChar w:fldCharType="begin"/>
            </w:r>
            <w:r w:rsidR="00BE2EC5">
              <w:rPr>
                <w:noProof/>
                <w:webHidden/>
              </w:rPr>
              <w:instrText xml:space="preserve"> PAGEREF _Toc115958924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0D269DF8" w14:textId="63207B84" w:rsidR="00BE2EC5" w:rsidRDefault="00FF6033">
          <w:pPr>
            <w:pStyle w:val="TM2"/>
            <w:tabs>
              <w:tab w:val="right" w:leader="dot" w:pos="9062"/>
            </w:tabs>
            <w:rPr>
              <w:rFonts w:asciiTheme="minorHAnsi" w:eastAsiaTheme="minorEastAsia" w:hAnsiTheme="minorHAnsi" w:cstheme="minorBidi"/>
              <w:noProof/>
              <w:szCs w:val="22"/>
            </w:rPr>
          </w:pPr>
          <w:hyperlink w:anchor="_Toc115958925" w:history="1">
            <w:r w:rsidR="00BE2EC5" w:rsidRPr="00144EE0">
              <w:rPr>
                <w:rStyle w:val="Lienhypertexte"/>
                <w:rFonts w:eastAsia="Calibri" w:cs="Arial"/>
                <w:i/>
                <w:noProof/>
              </w:rPr>
              <w:t>2.2 - Variantes</w:t>
            </w:r>
            <w:r w:rsidR="00BE2EC5">
              <w:rPr>
                <w:noProof/>
                <w:webHidden/>
              </w:rPr>
              <w:tab/>
            </w:r>
            <w:r w:rsidR="00BE2EC5">
              <w:rPr>
                <w:noProof/>
                <w:webHidden/>
              </w:rPr>
              <w:fldChar w:fldCharType="begin"/>
            </w:r>
            <w:r w:rsidR="00BE2EC5">
              <w:rPr>
                <w:noProof/>
                <w:webHidden/>
              </w:rPr>
              <w:instrText xml:space="preserve"> PAGEREF _Toc115958925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1D86DFFA" w14:textId="10C9E9E7" w:rsidR="00BE2EC5" w:rsidRDefault="00FF6033">
          <w:pPr>
            <w:pStyle w:val="TM2"/>
            <w:tabs>
              <w:tab w:val="right" w:leader="dot" w:pos="9062"/>
            </w:tabs>
            <w:rPr>
              <w:rFonts w:asciiTheme="minorHAnsi" w:eastAsiaTheme="minorEastAsia" w:hAnsiTheme="minorHAnsi" w:cstheme="minorBidi"/>
              <w:noProof/>
              <w:szCs w:val="22"/>
            </w:rPr>
          </w:pPr>
          <w:hyperlink w:anchor="_Toc115958926" w:history="1">
            <w:r w:rsidR="00BE2EC5" w:rsidRPr="00144EE0">
              <w:rPr>
                <w:rStyle w:val="Lienhypertexte"/>
                <w:rFonts w:eastAsia="Calibri" w:cs="Arial"/>
                <w:i/>
                <w:noProof/>
              </w:rPr>
              <w:t>2.3 - Conditions de participation des concurrents</w:t>
            </w:r>
            <w:r w:rsidR="00BE2EC5">
              <w:rPr>
                <w:noProof/>
                <w:webHidden/>
              </w:rPr>
              <w:tab/>
            </w:r>
            <w:r w:rsidR="00BE2EC5">
              <w:rPr>
                <w:noProof/>
                <w:webHidden/>
              </w:rPr>
              <w:fldChar w:fldCharType="begin"/>
            </w:r>
            <w:r w:rsidR="00BE2EC5">
              <w:rPr>
                <w:noProof/>
                <w:webHidden/>
              </w:rPr>
              <w:instrText xml:space="preserve"> PAGEREF _Toc115958926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5A4B4C17" w14:textId="5B5BABFB" w:rsidR="00BE2EC5" w:rsidRDefault="00FF6033">
          <w:pPr>
            <w:pStyle w:val="TM2"/>
            <w:tabs>
              <w:tab w:val="right" w:leader="dot" w:pos="9062"/>
            </w:tabs>
            <w:rPr>
              <w:rFonts w:asciiTheme="minorHAnsi" w:eastAsiaTheme="minorEastAsia" w:hAnsiTheme="minorHAnsi" w:cstheme="minorBidi"/>
              <w:noProof/>
              <w:szCs w:val="22"/>
            </w:rPr>
          </w:pPr>
          <w:hyperlink w:anchor="_Toc115958927" w:history="1">
            <w:r w:rsidR="00BE2EC5" w:rsidRPr="00144EE0">
              <w:rPr>
                <w:rStyle w:val="Lienhypertexte"/>
                <w:rFonts w:eastAsia="Calibri" w:cs="Arial"/>
                <w:i/>
                <w:noProof/>
              </w:rPr>
              <w:t>2.4 - Forme juridique du groupement</w:t>
            </w:r>
            <w:r w:rsidR="00BE2EC5">
              <w:rPr>
                <w:noProof/>
                <w:webHidden/>
              </w:rPr>
              <w:tab/>
            </w:r>
            <w:r w:rsidR="00BE2EC5">
              <w:rPr>
                <w:noProof/>
                <w:webHidden/>
              </w:rPr>
              <w:fldChar w:fldCharType="begin"/>
            </w:r>
            <w:r w:rsidR="00BE2EC5">
              <w:rPr>
                <w:noProof/>
                <w:webHidden/>
              </w:rPr>
              <w:instrText xml:space="preserve"> PAGEREF _Toc115958927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15B2F922" w14:textId="142E083E" w:rsidR="00BE2EC5" w:rsidRDefault="00FF6033">
          <w:pPr>
            <w:pStyle w:val="TM2"/>
            <w:tabs>
              <w:tab w:val="right" w:leader="dot" w:pos="9062"/>
            </w:tabs>
            <w:rPr>
              <w:rFonts w:asciiTheme="minorHAnsi" w:eastAsiaTheme="minorEastAsia" w:hAnsiTheme="minorHAnsi" w:cstheme="minorBidi"/>
              <w:noProof/>
              <w:szCs w:val="22"/>
            </w:rPr>
          </w:pPr>
          <w:hyperlink w:anchor="_Toc115958928" w:history="1">
            <w:r w:rsidR="00BE2EC5" w:rsidRPr="00144EE0">
              <w:rPr>
                <w:rStyle w:val="Lienhypertexte"/>
                <w:rFonts w:eastAsia="Calibri" w:cs="Arial"/>
                <w:i/>
                <w:noProof/>
              </w:rPr>
              <w:t>2.5 - Délai de validité des offres</w:t>
            </w:r>
            <w:r w:rsidR="00BE2EC5">
              <w:rPr>
                <w:noProof/>
                <w:webHidden/>
              </w:rPr>
              <w:tab/>
            </w:r>
            <w:r w:rsidR="00BE2EC5">
              <w:rPr>
                <w:noProof/>
                <w:webHidden/>
              </w:rPr>
              <w:fldChar w:fldCharType="begin"/>
            </w:r>
            <w:r w:rsidR="00BE2EC5">
              <w:rPr>
                <w:noProof/>
                <w:webHidden/>
              </w:rPr>
              <w:instrText xml:space="preserve"> PAGEREF _Toc115958928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0E0C3A9D" w14:textId="186562B7" w:rsidR="00BE2EC5" w:rsidRDefault="00FF6033">
          <w:pPr>
            <w:pStyle w:val="TM2"/>
            <w:tabs>
              <w:tab w:val="right" w:leader="dot" w:pos="9062"/>
            </w:tabs>
            <w:rPr>
              <w:rFonts w:asciiTheme="minorHAnsi" w:eastAsiaTheme="minorEastAsia" w:hAnsiTheme="minorHAnsi" w:cstheme="minorBidi"/>
              <w:noProof/>
              <w:szCs w:val="22"/>
            </w:rPr>
          </w:pPr>
          <w:hyperlink w:anchor="_Toc115958929" w:history="1">
            <w:r w:rsidR="00BE2EC5" w:rsidRPr="00144EE0">
              <w:rPr>
                <w:rStyle w:val="Lienhypertexte"/>
                <w:rFonts w:eastAsia="Calibri" w:cs="Arial"/>
                <w:i/>
                <w:noProof/>
              </w:rPr>
              <w:t>2.6 - Mode de règlement du marché et modalités de financement</w:t>
            </w:r>
            <w:r w:rsidR="00BE2EC5">
              <w:rPr>
                <w:noProof/>
                <w:webHidden/>
              </w:rPr>
              <w:tab/>
            </w:r>
            <w:r w:rsidR="00BE2EC5">
              <w:rPr>
                <w:noProof/>
                <w:webHidden/>
              </w:rPr>
              <w:fldChar w:fldCharType="begin"/>
            </w:r>
            <w:r w:rsidR="00BE2EC5">
              <w:rPr>
                <w:noProof/>
                <w:webHidden/>
              </w:rPr>
              <w:instrText xml:space="preserve"> PAGEREF _Toc115958929 \h </w:instrText>
            </w:r>
            <w:r w:rsidR="00BE2EC5">
              <w:rPr>
                <w:noProof/>
                <w:webHidden/>
              </w:rPr>
            </w:r>
            <w:r w:rsidR="00BE2EC5">
              <w:rPr>
                <w:noProof/>
                <w:webHidden/>
              </w:rPr>
              <w:fldChar w:fldCharType="separate"/>
            </w:r>
            <w:r w:rsidR="00BE2EC5">
              <w:rPr>
                <w:noProof/>
                <w:webHidden/>
              </w:rPr>
              <w:t>4</w:t>
            </w:r>
            <w:r w:rsidR="00BE2EC5">
              <w:rPr>
                <w:noProof/>
                <w:webHidden/>
              </w:rPr>
              <w:fldChar w:fldCharType="end"/>
            </w:r>
          </w:hyperlink>
        </w:p>
        <w:p w14:paraId="0631416D" w14:textId="74032C9C" w:rsidR="00BE2EC5" w:rsidRDefault="00FF6033">
          <w:pPr>
            <w:pStyle w:val="TM1"/>
            <w:tabs>
              <w:tab w:val="right" w:leader="dot" w:pos="9062"/>
            </w:tabs>
            <w:rPr>
              <w:rFonts w:asciiTheme="minorHAnsi" w:eastAsiaTheme="minorEastAsia" w:hAnsiTheme="minorHAnsi" w:cstheme="minorBidi"/>
              <w:noProof/>
              <w:szCs w:val="22"/>
            </w:rPr>
          </w:pPr>
          <w:hyperlink w:anchor="_Toc115958930" w:history="1">
            <w:r w:rsidR="00BE2EC5" w:rsidRPr="00144EE0">
              <w:rPr>
                <w:rStyle w:val="Lienhypertexte"/>
                <w:rFonts w:asciiTheme="majorHAnsi" w:eastAsia="Calibri" w:hAnsiTheme="majorHAnsi" w:cstheme="majorBidi"/>
                <w:noProof/>
              </w:rPr>
              <w:t>Article 3 : contenu du dossier de consultation</w:t>
            </w:r>
            <w:r w:rsidR="00BE2EC5">
              <w:rPr>
                <w:noProof/>
                <w:webHidden/>
              </w:rPr>
              <w:tab/>
            </w:r>
            <w:r w:rsidR="00BE2EC5">
              <w:rPr>
                <w:noProof/>
                <w:webHidden/>
              </w:rPr>
              <w:fldChar w:fldCharType="begin"/>
            </w:r>
            <w:r w:rsidR="00BE2EC5">
              <w:rPr>
                <w:noProof/>
                <w:webHidden/>
              </w:rPr>
              <w:instrText xml:space="preserve"> PAGEREF _Toc115958930 \h </w:instrText>
            </w:r>
            <w:r w:rsidR="00BE2EC5">
              <w:rPr>
                <w:noProof/>
                <w:webHidden/>
              </w:rPr>
            </w:r>
            <w:r w:rsidR="00BE2EC5">
              <w:rPr>
                <w:noProof/>
                <w:webHidden/>
              </w:rPr>
              <w:fldChar w:fldCharType="separate"/>
            </w:r>
            <w:r w:rsidR="00BE2EC5">
              <w:rPr>
                <w:noProof/>
                <w:webHidden/>
              </w:rPr>
              <w:t>5</w:t>
            </w:r>
            <w:r w:rsidR="00BE2EC5">
              <w:rPr>
                <w:noProof/>
                <w:webHidden/>
              </w:rPr>
              <w:fldChar w:fldCharType="end"/>
            </w:r>
          </w:hyperlink>
        </w:p>
        <w:p w14:paraId="2AA7A267" w14:textId="2D4A8415" w:rsidR="00BE2EC5" w:rsidRDefault="00FF6033">
          <w:pPr>
            <w:pStyle w:val="TM1"/>
            <w:tabs>
              <w:tab w:val="right" w:leader="dot" w:pos="9062"/>
            </w:tabs>
            <w:rPr>
              <w:rFonts w:asciiTheme="minorHAnsi" w:eastAsiaTheme="minorEastAsia" w:hAnsiTheme="minorHAnsi" w:cstheme="minorBidi"/>
              <w:noProof/>
              <w:szCs w:val="22"/>
            </w:rPr>
          </w:pPr>
          <w:hyperlink w:anchor="_Toc115958931" w:history="1">
            <w:r w:rsidR="00BE2EC5" w:rsidRPr="00144EE0">
              <w:rPr>
                <w:rStyle w:val="Lienhypertexte"/>
                <w:rFonts w:asciiTheme="majorHAnsi" w:eastAsia="Calibri" w:hAnsiTheme="majorHAnsi" w:cstheme="majorBidi"/>
                <w:noProof/>
              </w:rPr>
              <w:t>Article 4 : présentation des candidatures et des offres</w:t>
            </w:r>
            <w:r w:rsidR="00BE2EC5">
              <w:rPr>
                <w:noProof/>
                <w:webHidden/>
              </w:rPr>
              <w:tab/>
            </w:r>
            <w:r w:rsidR="00BE2EC5">
              <w:rPr>
                <w:noProof/>
                <w:webHidden/>
              </w:rPr>
              <w:fldChar w:fldCharType="begin"/>
            </w:r>
            <w:r w:rsidR="00BE2EC5">
              <w:rPr>
                <w:noProof/>
                <w:webHidden/>
              </w:rPr>
              <w:instrText xml:space="preserve"> PAGEREF _Toc115958931 \h </w:instrText>
            </w:r>
            <w:r w:rsidR="00BE2EC5">
              <w:rPr>
                <w:noProof/>
                <w:webHidden/>
              </w:rPr>
            </w:r>
            <w:r w:rsidR="00BE2EC5">
              <w:rPr>
                <w:noProof/>
                <w:webHidden/>
              </w:rPr>
              <w:fldChar w:fldCharType="separate"/>
            </w:r>
            <w:r w:rsidR="00BE2EC5">
              <w:rPr>
                <w:noProof/>
                <w:webHidden/>
              </w:rPr>
              <w:t>5</w:t>
            </w:r>
            <w:r w:rsidR="00BE2EC5">
              <w:rPr>
                <w:noProof/>
                <w:webHidden/>
              </w:rPr>
              <w:fldChar w:fldCharType="end"/>
            </w:r>
          </w:hyperlink>
        </w:p>
        <w:p w14:paraId="7C0E1EE8" w14:textId="40C1DD4B" w:rsidR="00BE2EC5" w:rsidRDefault="00FF6033">
          <w:pPr>
            <w:pStyle w:val="TM2"/>
            <w:tabs>
              <w:tab w:val="right" w:leader="dot" w:pos="9062"/>
            </w:tabs>
            <w:rPr>
              <w:rFonts w:asciiTheme="minorHAnsi" w:eastAsiaTheme="minorEastAsia" w:hAnsiTheme="minorHAnsi" w:cstheme="minorBidi"/>
              <w:noProof/>
              <w:szCs w:val="22"/>
            </w:rPr>
          </w:pPr>
          <w:hyperlink w:anchor="_Toc115958932" w:history="1">
            <w:r w:rsidR="00BE2EC5" w:rsidRPr="00144EE0">
              <w:rPr>
                <w:rStyle w:val="Lienhypertexte"/>
                <w:rFonts w:eastAsia="Calibri" w:cs="Arial"/>
                <w:i/>
                <w:noProof/>
              </w:rPr>
              <w:t>4.1 – Présentation des plis</w:t>
            </w:r>
            <w:r w:rsidR="00BE2EC5">
              <w:rPr>
                <w:noProof/>
                <w:webHidden/>
              </w:rPr>
              <w:tab/>
            </w:r>
            <w:r w:rsidR="00BE2EC5">
              <w:rPr>
                <w:noProof/>
                <w:webHidden/>
              </w:rPr>
              <w:fldChar w:fldCharType="begin"/>
            </w:r>
            <w:r w:rsidR="00BE2EC5">
              <w:rPr>
                <w:noProof/>
                <w:webHidden/>
              </w:rPr>
              <w:instrText xml:space="preserve"> PAGEREF _Toc115958932 \h </w:instrText>
            </w:r>
            <w:r w:rsidR="00BE2EC5">
              <w:rPr>
                <w:noProof/>
                <w:webHidden/>
              </w:rPr>
            </w:r>
            <w:r w:rsidR="00BE2EC5">
              <w:rPr>
                <w:noProof/>
                <w:webHidden/>
              </w:rPr>
              <w:fldChar w:fldCharType="separate"/>
            </w:r>
            <w:r w:rsidR="00BE2EC5">
              <w:rPr>
                <w:noProof/>
                <w:webHidden/>
              </w:rPr>
              <w:t>5</w:t>
            </w:r>
            <w:r w:rsidR="00BE2EC5">
              <w:rPr>
                <w:noProof/>
                <w:webHidden/>
              </w:rPr>
              <w:fldChar w:fldCharType="end"/>
            </w:r>
          </w:hyperlink>
        </w:p>
        <w:p w14:paraId="44C4B426" w14:textId="4E5664D4" w:rsidR="00BE2EC5" w:rsidRDefault="00FF6033">
          <w:pPr>
            <w:pStyle w:val="TM2"/>
            <w:tabs>
              <w:tab w:val="right" w:leader="dot" w:pos="9062"/>
            </w:tabs>
            <w:rPr>
              <w:rFonts w:asciiTheme="minorHAnsi" w:eastAsiaTheme="minorEastAsia" w:hAnsiTheme="minorHAnsi" w:cstheme="minorBidi"/>
              <w:noProof/>
              <w:szCs w:val="22"/>
            </w:rPr>
          </w:pPr>
          <w:hyperlink w:anchor="_Toc115958933" w:history="1">
            <w:r w:rsidR="00BE2EC5" w:rsidRPr="00144EE0">
              <w:rPr>
                <w:rStyle w:val="Lienhypertexte"/>
                <w:rFonts w:eastAsia="Calibri" w:cs="Arial"/>
                <w:i/>
                <w:noProof/>
              </w:rPr>
              <w:t>4.3 – Négociations</w:t>
            </w:r>
            <w:r w:rsidR="00BE2EC5">
              <w:rPr>
                <w:noProof/>
                <w:webHidden/>
              </w:rPr>
              <w:tab/>
            </w:r>
            <w:r w:rsidR="00BE2EC5">
              <w:rPr>
                <w:noProof/>
                <w:webHidden/>
              </w:rPr>
              <w:fldChar w:fldCharType="begin"/>
            </w:r>
            <w:r w:rsidR="00BE2EC5">
              <w:rPr>
                <w:noProof/>
                <w:webHidden/>
              </w:rPr>
              <w:instrText xml:space="preserve"> PAGEREF _Toc115958933 \h </w:instrText>
            </w:r>
            <w:r w:rsidR="00BE2EC5">
              <w:rPr>
                <w:noProof/>
                <w:webHidden/>
              </w:rPr>
            </w:r>
            <w:r w:rsidR="00BE2EC5">
              <w:rPr>
                <w:noProof/>
                <w:webHidden/>
              </w:rPr>
              <w:fldChar w:fldCharType="separate"/>
            </w:r>
            <w:r w:rsidR="00BE2EC5">
              <w:rPr>
                <w:noProof/>
                <w:webHidden/>
              </w:rPr>
              <w:t>6</w:t>
            </w:r>
            <w:r w:rsidR="00BE2EC5">
              <w:rPr>
                <w:noProof/>
                <w:webHidden/>
              </w:rPr>
              <w:fldChar w:fldCharType="end"/>
            </w:r>
          </w:hyperlink>
        </w:p>
        <w:p w14:paraId="493FF809" w14:textId="44EF97D9" w:rsidR="00BE2EC5" w:rsidRDefault="00FF6033">
          <w:pPr>
            <w:pStyle w:val="TM1"/>
            <w:tabs>
              <w:tab w:val="right" w:leader="dot" w:pos="9062"/>
            </w:tabs>
            <w:rPr>
              <w:rFonts w:asciiTheme="minorHAnsi" w:eastAsiaTheme="minorEastAsia" w:hAnsiTheme="minorHAnsi" w:cstheme="minorBidi"/>
              <w:noProof/>
              <w:szCs w:val="22"/>
            </w:rPr>
          </w:pPr>
          <w:hyperlink w:anchor="_Toc115958934" w:history="1">
            <w:r w:rsidR="00BE2EC5" w:rsidRPr="00144EE0">
              <w:rPr>
                <w:rStyle w:val="Lienhypertexte"/>
                <w:rFonts w:asciiTheme="majorHAnsi" w:eastAsia="Calibri" w:hAnsiTheme="majorHAnsi" w:cstheme="majorBidi"/>
                <w:noProof/>
              </w:rPr>
              <w:t>Article 5 : sélection des candidatures et jugement des offres</w:t>
            </w:r>
            <w:r w:rsidR="00BE2EC5">
              <w:rPr>
                <w:noProof/>
                <w:webHidden/>
              </w:rPr>
              <w:tab/>
            </w:r>
            <w:r w:rsidR="00BE2EC5">
              <w:rPr>
                <w:noProof/>
                <w:webHidden/>
              </w:rPr>
              <w:fldChar w:fldCharType="begin"/>
            </w:r>
            <w:r w:rsidR="00BE2EC5">
              <w:rPr>
                <w:noProof/>
                <w:webHidden/>
              </w:rPr>
              <w:instrText xml:space="preserve"> PAGEREF _Toc115958934 \h </w:instrText>
            </w:r>
            <w:r w:rsidR="00BE2EC5">
              <w:rPr>
                <w:noProof/>
                <w:webHidden/>
              </w:rPr>
            </w:r>
            <w:r w:rsidR="00BE2EC5">
              <w:rPr>
                <w:noProof/>
                <w:webHidden/>
              </w:rPr>
              <w:fldChar w:fldCharType="separate"/>
            </w:r>
            <w:r w:rsidR="00BE2EC5">
              <w:rPr>
                <w:noProof/>
                <w:webHidden/>
              </w:rPr>
              <w:t>7</w:t>
            </w:r>
            <w:r w:rsidR="00BE2EC5">
              <w:rPr>
                <w:noProof/>
                <w:webHidden/>
              </w:rPr>
              <w:fldChar w:fldCharType="end"/>
            </w:r>
          </w:hyperlink>
        </w:p>
        <w:p w14:paraId="361B5021" w14:textId="3083B3CC" w:rsidR="00BE2EC5" w:rsidRDefault="00FF6033">
          <w:pPr>
            <w:pStyle w:val="TM1"/>
            <w:tabs>
              <w:tab w:val="right" w:leader="dot" w:pos="9062"/>
            </w:tabs>
            <w:rPr>
              <w:rFonts w:asciiTheme="minorHAnsi" w:eastAsiaTheme="minorEastAsia" w:hAnsiTheme="minorHAnsi" w:cstheme="minorBidi"/>
              <w:noProof/>
              <w:szCs w:val="22"/>
            </w:rPr>
          </w:pPr>
          <w:hyperlink w:anchor="_Toc115958935" w:history="1">
            <w:r w:rsidR="00BE2EC5" w:rsidRPr="00144EE0">
              <w:rPr>
                <w:rStyle w:val="Lienhypertexte"/>
                <w:rFonts w:asciiTheme="majorHAnsi" w:eastAsia="Calibri" w:hAnsiTheme="majorHAnsi" w:cstheme="majorBidi"/>
                <w:noProof/>
              </w:rPr>
              <w:t>Article 6 : renseignements complémentaires</w:t>
            </w:r>
            <w:r w:rsidR="00BE2EC5">
              <w:rPr>
                <w:noProof/>
                <w:webHidden/>
              </w:rPr>
              <w:tab/>
            </w:r>
            <w:r w:rsidR="00BE2EC5">
              <w:rPr>
                <w:noProof/>
                <w:webHidden/>
              </w:rPr>
              <w:fldChar w:fldCharType="begin"/>
            </w:r>
            <w:r w:rsidR="00BE2EC5">
              <w:rPr>
                <w:noProof/>
                <w:webHidden/>
              </w:rPr>
              <w:instrText xml:space="preserve"> PAGEREF _Toc115958935 \h </w:instrText>
            </w:r>
            <w:r w:rsidR="00BE2EC5">
              <w:rPr>
                <w:noProof/>
                <w:webHidden/>
              </w:rPr>
            </w:r>
            <w:r w:rsidR="00BE2EC5">
              <w:rPr>
                <w:noProof/>
                <w:webHidden/>
              </w:rPr>
              <w:fldChar w:fldCharType="separate"/>
            </w:r>
            <w:r w:rsidR="00BE2EC5">
              <w:rPr>
                <w:noProof/>
                <w:webHidden/>
              </w:rPr>
              <w:t>8</w:t>
            </w:r>
            <w:r w:rsidR="00BE2EC5">
              <w:rPr>
                <w:noProof/>
                <w:webHidden/>
              </w:rPr>
              <w:fldChar w:fldCharType="end"/>
            </w:r>
          </w:hyperlink>
        </w:p>
        <w:p w14:paraId="50DDDA2E" w14:textId="2ED1E7DA" w:rsidR="00BE2EC5" w:rsidRDefault="00FF6033">
          <w:pPr>
            <w:pStyle w:val="TM1"/>
            <w:tabs>
              <w:tab w:val="right" w:leader="dot" w:pos="9062"/>
            </w:tabs>
            <w:rPr>
              <w:rFonts w:asciiTheme="minorHAnsi" w:eastAsiaTheme="minorEastAsia" w:hAnsiTheme="minorHAnsi" w:cstheme="minorBidi"/>
              <w:noProof/>
              <w:szCs w:val="22"/>
            </w:rPr>
          </w:pPr>
          <w:hyperlink w:anchor="_Toc115958936" w:history="1">
            <w:r w:rsidR="00BE2EC5" w:rsidRPr="00144EE0">
              <w:rPr>
                <w:rStyle w:val="Lienhypertexte"/>
                <w:rFonts w:asciiTheme="majorHAnsi" w:eastAsia="Calibri" w:hAnsiTheme="majorHAnsi" w:cstheme="majorBidi"/>
                <w:noProof/>
              </w:rPr>
              <w:t>Article 7 : voies et délais de recours</w:t>
            </w:r>
            <w:r w:rsidR="00BE2EC5">
              <w:rPr>
                <w:noProof/>
                <w:webHidden/>
              </w:rPr>
              <w:tab/>
            </w:r>
            <w:r w:rsidR="00BE2EC5">
              <w:rPr>
                <w:noProof/>
                <w:webHidden/>
              </w:rPr>
              <w:fldChar w:fldCharType="begin"/>
            </w:r>
            <w:r w:rsidR="00BE2EC5">
              <w:rPr>
                <w:noProof/>
                <w:webHidden/>
              </w:rPr>
              <w:instrText xml:space="preserve"> PAGEREF _Toc115958936 \h </w:instrText>
            </w:r>
            <w:r w:rsidR="00BE2EC5">
              <w:rPr>
                <w:noProof/>
                <w:webHidden/>
              </w:rPr>
            </w:r>
            <w:r w:rsidR="00BE2EC5">
              <w:rPr>
                <w:noProof/>
                <w:webHidden/>
              </w:rPr>
              <w:fldChar w:fldCharType="separate"/>
            </w:r>
            <w:r w:rsidR="00BE2EC5">
              <w:rPr>
                <w:noProof/>
                <w:webHidden/>
              </w:rPr>
              <w:t>8</w:t>
            </w:r>
            <w:r w:rsidR="00BE2EC5">
              <w:rPr>
                <w:noProof/>
                <w:webHidden/>
              </w:rPr>
              <w:fldChar w:fldCharType="end"/>
            </w:r>
          </w:hyperlink>
        </w:p>
        <w:p w14:paraId="7CB5083E" w14:textId="290A6DEE" w:rsidR="00685000" w:rsidRDefault="00685000">
          <w:r>
            <w:rPr>
              <w:b/>
              <w:bCs/>
            </w:rPr>
            <w:fldChar w:fldCharType="end"/>
          </w:r>
        </w:p>
      </w:sdtContent>
    </w:sdt>
    <w:p w14:paraId="480A2025" w14:textId="77777777" w:rsidR="00685000" w:rsidRDefault="00685000" w:rsidP="00685000">
      <w:pPr>
        <w:spacing w:line="280" w:lineRule="exact"/>
      </w:pPr>
    </w:p>
    <w:p w14:paraId="477FFB64" w14:textId="77777777" w:rsidR="00685000" w:rsidRDefault="00685000" w:rsidP="00685000">
      <w:pPr>
        <w:spacing w:line="280" w:lineRule="exact"/>
      </w:pPr>
    </w:p>
    <w:p w14:paraId="13DBFDE7" w14:textId="77777777" w:rsidR="00D13D67" w:rsidRDefault="00D13D67" w:rsidP="00685000">
      <w:pPr>
        <w:spacing w:line="280" w:lineRule="exact"/>
      </w:pPr>
    </w:p>
    <w:p w14:paraId="79A840D6" w14:textId="77777777" w:rsidR="00D13D67" w:rsidRDefault="00D13D67" w:rsidP="00685000">
      <w:pPr>
        <w:spacing w:line="280" w:lineRule="exact"/>
      </w:pPr>
    </w:p>
    <w:p w14:paraId="46CC3B3E" w14:textId="77777777" w:rsidR="00D13D67" w:rsidRDefault="00D13D67" w:rsidP="00685000">
      <w:pPr>
        <w:spacing w:line="280" w:lineRule="exact"/>
      </w:pPr>
    </w:p>
    <w:p w14:paraId="240989C6" w14:textId="77777777" w:rsidR="00D13D67" w:rsidRDefault="00D13D67" w:rsidP="00685000">
      <w:pPr>
        <w:spacing w:line="280" w:lineRule="exact"/>
      </w:pPr>
    </w:p>
    <w:p w14:paraId="1CF73903" w14:textId="77777777" w:rsidR="00D13D67" w:rsidRDefault="00D13D67" w:rsidP="00685000">
      <w:pPr>
        <w:spacing w:line="280" w:lineRule="exact"/>
      </w:pPr>
    </w:p>
    <w:p w14:paraId="5352F7E3" w14:textId="77777777" w:rsidR="00D13D67" w:rsidRDefault="00D13D67" w:rsidP="00685000">
      <w:pPr>
        <w:spacing w:line="280" w:lineRule="exact"/>
      </w:pPr>
    </w:p>
    <w:p w14:paraId="30FCAA77" w14:textId="77777777" w:rsidR="00D13D67" w:rsidRDefault="00D13D67" w:rsidP="00685000">
      <w:pPr>
        <w:spacing w:line="280" w:lineRule="exact"/>
      </w:pPr>
    </w:p>
    <w:p w14:paraId="68245964" w14:textId="77777777" w:rsidR="00D13D67" w:rsidRDefault="00D13D67" w:rsidP="00685000">
      <w:pPr>
        <w:spacing w:line="280" w:lineRule="exact"/>
      </w:pPr>
    </w:p>
    <w:p w14:paraId="55863A14" w14:textId="77777777" w:rsidR="004E1B99" w:rsidRDefault="004E1B99" w:rsidP="00685000">
      <w:pPr>
        <w:spacing w:line="280" w:lineRule="exact"/>
      </w:pPr>
    </w:p>
    <w:p w14:paraId="196EE88F" w14:textId="51D8CD87" w:rsidR="004E1B99" w:rsidRDefault="004E1B99" w:rsidP="00685000">
      <w:pPr>
        <w:spacing w:line="280" w:lineRule="exact"/>
      </w:pPr>
    </w:p>
    <w:p w14:paraId="05519EE5" w14:textId="27496B6B" w:rsidR="00FF735A" w:rsidRDefault="00FF735A" w:rsidP="00685000">
      <w:pPr>
        <w:spacing w:line="280" w:lineRule="exact"/>
      </w:pPr>
    </w:p>
    <w:p w14:paraId="46AAB280" w14:textId="77777777" w:rsidR="00FF735A" w:rsidRDefault="00FF735A" w:rsidP="00685000">
      <w:pPr>
        <w:spacing w:line="280" w:lineRule="exact"/>
      </w:pPr>
    </w:p>
    <w:p w14:paraId="4EDC80E0" w14:textId="77777777" w:rsidR="00D13D67" w:rsidRDefault="00D13D67" w:rsidP="00685000">
      <w:pPr>
        <w:spacing w:line="280" w:lineRule="exact"/>
      </w:pPr>
    </w:p>
    <w:p w14:paraId="7C4903CA" w14:textId="77777777" w:rsidR="00D13D67" w:rsidRDefault="00D13D67" w:rsidP="00685000">
      <w:pPr>
        <w:spacing w:line="280" w:lineRule="exact"/>
      </w:pPr>
    </w:p>
    <w:p w14:paraId="1823443C" w14:textId="77777777" w:rsidR="00685000" w:rsidRPr="00BE3794" w:rsidRDefault="00685000" w:rsidP="00685000">
      <w:pPr>
        <w:pStyle w:val="Titre1"/>
        <w:keepLines/>
        <w:suppressAutoHyphens/>
        <w:autoSpaceDN w:val="0"/>
        <w:spacing w:before="240"/>
        <w:textAlignment w:val="baseline"/>
        <w:rPr>
          <w:b w:val="0"/>
        </w:rPr>
      </w:pPr>
      <w:bookmarkStart w:id="3" w:name="_Toc454959808"/>
      <w:bookmarkStart w:id="4" w:name="_Toc115958917"/>
      <w:r w:rsidRPr="00685000">
        <w:rPr>
          <w:rFonts w:asciiTheme="majorHAnsi" w:hAnsiTheme="majorHAnsi" w:cstheme="majorBidi"/>
          <w:b w:val="0"/>
          <w:bCs w:val="0"/>
          <w:caps w:val="0"/>
          <w:color w:val="2F5496" w:themeColor="accent1" w:themeShade="BF"/>
          <w:sz w:val="32"/>
          <w:szCs w:val="32"/>
        </w:rPr>
        <w:lastRenderedPageBreak/>
        <w:t>Article premier : Objet et étendue de la consultation</w:t>
      </w:r>
      <w:bookmarkEnd w:id="3"/>
      <w:bookmarkEnd w:id="4"/>
    </w:p>
    <w:p w14:paraId="1BFD8259" w14:textId="77777777" w:rsidR="00685000" w:rsidRPr="0012390F" w:rsidRDefault="00685000" w:rsidP="00685000">
      <w:pPr>
        <w:keepNext/>
        <w:spacing w:before="240" w:after="60"/>
        <w:outlineLvl w:val="1"/>
        <w:rPr>
          <w:rFonts w:cs="Arial"/>
          <w:i/>
          <w:szCs w:val="22"/>
          <w:u w:val="single"/>
        </w:rPr>
      </w:pPr>
      <w:bookmarkStart w:id="5" w:name="_Toc454959809"/>
      <w:bookmarkStart w:id="6" w:name="_Toc115958918"/>
      <w:r w:rsidRPr="0012390F">
        <w:rPr>
          <w:rFonts w:cs="Arial"/>
          <w:i/>
          <w:szCs w:val="22"/>
          <w:u w:val="single"/>
        </w:rPr>
        <w:t>1.1 - Objet de la consultation</w:t>
      </w:r>
      <w:bookmarkEnd w:id="5"/>
      <w:bookmarkEnd w:id="6"/>
    </w:p>
    <w:p w14:paraId="3BE462CC" w14:textId="2A5C76FE" w:rsidR="00E2031F" w:rsidRPr="008C399A" w:rsidRDefault="00E2031F" w:rsidP="008C399A">
      <w:pPr>
        <w:keepLines/>
        <w:tabs>
          <w:tab w:val="left" w:pos="567"/>
          <w:tab w:val="left" w:pos="851"/>
          <w:tab w:val="left" w:pos="1134"/>
        </w:tabs>
        <w:jc w:val="both"/>
        <w:rPr>
          <w:rFonts w:eastAsia="Calibri" w:cs="Calibri"/>
          <w:sz w:val="24"/>
          <w:szCs w:val="22"/>
        </w:rPr>
      </w:pPr>
      <w:bookmarkStart w:id="7" w:name="_Toc454959810"/>
      <w:r w:rsidRPr="008C399A">
        <w:rPr>
          <w:rFonts w:eastAsia="Calibri" w:cs="Calibri"/>
          <w:sz w:val="24"/>
          <w:szCs w:val="22"/>
        </w:rPr>
        <w:t xml:space="preserve">Grenoble Ecole de Management recherche un prestataire pour </w:t>
      </w:r>
      <w:r w:rsidR="008C399A" w:rsidRPr="008C399A">
        <w:rPr>
          <w:rFonts w:eastAsia="Calibri" w:cs="Calibri"/>
          <w:sz w:val="24"/>
          <w:szCs w:val="22"/>
        </w:rPr>
        <w:t xml:space="preserve">assurer </w:t>
      </w:r>
      <w:r w:rsidR="008C399A" w:rsidRPr="008C399A">
        <w:rPr>
          <w:rFonts w:cs="Arial"/>
          <w:sz w:val="24"/>
          <w:szCs w:val="22"/>
        </w:rPr>
        <w:t>les prestations de nettoyage courant sur l’ensemble de ses campus</w:t>
      </w:r>
      <w:r w:rsidRPr="008C399A">
        <w:rPr>
          <w:rFonts w:eastAsia="Calibri" w:cs="Calibri"/>
          <w:sz w:val="24"/>
          <w:szCs w:val="22"/>
        </w:rPr>
        <w:t xml:space="preserve">. </w:t>
      </w:r>
    </w:p>
    <w:p w14:paraId="1820EDBB" w14:textId="77777777" w:rsidR="0020184E" w:rsidRDefault="0020184E" w:rsidP="0020184E">
      <w:pPr>
        <w:keepLines/>
        <w:tabs>
          <w:tab w:val="left" w:pos="567"/>
          <w:tab w:val="left" w:pos="851"/>
          <w:tab w:val="left" w:pos="1134"/>
        </w:tabs>
        <w:autoSpaceDN w:val="0"/>
        <w:jc w:val="both"/>
        <w:rPr>
          <w:rFonts w:cs="Arial"/>
          <w:szCs w:val="20"/>
          <w:lang w:eastAsia="en-US"/>
        </w:rPr>
      </w:pPr>
    </w:p>
    <w:p w14:paraId="199A74A5" w14:textId="77777777" w:rsidR="00685000" w:rsidRDefault="00685000" w:rsidP="00685000">
      <w:pPr>
        <w:keepNext/>
        <w:spacing w:before="240" w:after="60"/>
        <w:outlineLvl w:val="1"/>
        <w:rPr>
          <w:rFonts w:cs="Arial"/>
          <w:i/>
          <w:szCs w:val="22"/>
          <w:u w:val="single"/>
        </w:rPr>
      </w:pPr>
      <w:bookmarkStart w:id="8" w:name="_Toc115958919"/>
      <w:r w:rsidRPr="0012390F">
        <w:rPr>
          <w:rFonts w:cs="Arial"/>
          <w:i/>
          <w:szCs w:val="22"/>
          <w:u w:val="single"/>
        </w:rPr>
        <w:t>1.2 – Forme du contrat</w:t>
      </w:r>
      <w:bookmarkEnd w:id="8"/>
    </w:p>
    <w:p w14:paraId="1C610795" w14:textId="77777777" w:rsidR="0020184E" w:rsidRDefault="0020184E" w:rsidP="0020184E">
      <w:pPr>
        <w:rPr>
          <w:rFonts w:eastAsia="Calibri" w:cs="Calibri"/>
        </w:rPr>
      </w:pPr>
    </w:p>
    <w:p w14:paraId="04D5973C" w14:textId="33D9536E" w:rsidR="008C399A" w:rsidRDefault="001250ED" w:rsidP="008C399A">
      <w:pPr>
        <w:jc w:val="both"/>
        <w:rPr>
          <w:rFonts w:cs="Arial"/>
          <w:sz w:val="24"/>
        </w:rPr>
      </w:pPr>
      <w:r w:rsidRPr="00E2031F">
        <w:rPr>
          <w:rFonts w:eastAsia="Calibri" w:cs="Calibri"/>
          <w:sz w:val="24"/>
        </w:rPr>
        <w:t xml:space="preserve">Il s’agit d’un accord-cadre </w:t>
      </w:r>
      <w:r w:rsidR="008C399A">
        <w:rPr>
          <w:rFonts w:eastAsia="Calibri" w:cs="Calibri"/>
          <w:sz w:val="24"/>
        </w:rPr>
        <w:t>à bons de commande</w:t>
      </w:r>
      <w:r w:rsidR="008C399A">
        <w:rPr>
          <w:rFonts w:cs="Arial"/>
          <w:sz w:val="24"/>
        </w:rPr>
        <w:t xml:space="preserve"> avec maximum, </w:t>
      </w:r>
      <w:r w:rsidR="008C399A" w:rsidRPr="008C399A">
        <w:rPr>
          <w:rFonts w:cs="Arial"/>
          <w:sz w:val="24"/>
        </w:rPr>
        <w:t>passé en application des articles L2125-1 1°, R. 2162-1 à R. 2162-6, R. 2162-13 et R. 2162-14 du Code de la commande publique. Il donnera lieu à l'émission de bons de commande.</w:t>
      </w:r>
    </w:p>
    <w:p w14:paraId="1117987D" w14:textId="6FBBA3B0" w:rsidR="008C399A" w:rsidRPr="008C399A" w:rsidRDefault="008C399A" w:rsidP="008C399A">
      <w:pPr>
        <w:jc w:val="both"/>
        <w:rPr>
          <w:rFonts w:eastAsia="Calibri" w:cs="Calibri"/>
          <w:sz w:val="24"/>
        </w:rPr>
      </w:pPr>
      <w:r>
        <w:rPr>
          <w:rFonts w:eastAsia="Calibri" w:cs="Calibri"/>
          <w:sz w:val="24"/>
        </w:rPr>
        <w:t xml:space="preserve">Il est alloti par site géographique, </w:t>
      </w:r>
      <w:r w:rsidRPr="00E2031F">
        <w:rPr>
          <w:rFonts w:eastAsia="Calibri" w:cs="Calibri"/>
          <w:sz w:val="24"/>
        </w:rPr>
        <w:t>avec un seul attributaire</w:t>
      </w:r>
      <w:r>
        <w:rPr>
          <w:rFonts w:eastAsia="Calibri" w:cs="Calibri"/>
          <w:sz w:val="24"/>
        </w:rPr>
        <w:t xml:space="preserve"> par lot</w:t>
      </w:r>
      <w:r w:rsidRPr="00E2031F">
        <w:rPr>
          <w:rFonts w:eastAsia="Calibri" w:cs="Calibri"/>
          <w:sz w:val="24"/>
        </w:rPr>
        <w:t xml:space="preserve">, sans montant minimum mais avec un montant maximum </w:t>
      </w:r>
      <w:r>
        <w:rPr>
          <w:rFonts w:eastAsia="Calibri" w:cs="Calibri"/>
          <w:sz w:val="24"/>
        </w:rPr>
        <w:t>pour chacun des lots </w:t>
      </w:r>
      <w:r w:rsidRPr="008C399A">
        <w:rPr>
          <w:rFonts w:cs="Arial"/>
          <w:sz w:val="24"/>
        </w:rPr>
        <w:t xml:space="preserve">définis comme suit : </w:t>
      </w:r>
    </w:p>
    <w:tbl>
      <w:tblPr>
        <w:tblStyle w:val="Grilledutableau"/>
        <w:tblW w:w="0" w:type="auto"/>
        <w:tblLook w:val="04A0" w:firstRow="1" w:lastRow="0" w:firstColumn="1" w:lastColumn="0" w:noHBand="0" w:noVBand="1"/>
      </w:tblPr>
      <w:tblGrid>
        <w:gridCol w:w="3020"/>
        <w:gridCol w:w="3021"/>
        <w:gridCol w:w="3021"/>
      </w:tblGrid>
      <w:tr w:rsidR="008C399A" w:rsidRPr="008C399A" w14:paraId="02271EFF" w14:textId="77777777" w:rsidTr="0022446A">
        <w:tc>
          <w:tcPr>
            <w:tcW w:w="3020" w:type="dxa"/>
          </w:tcPr>
          <w:p w14:paraId="5141B605" w14:textId="77777777" w:rsidR="008C399A" w:rsidRPr="008C399A" w:rsidRDefault="008C399A" w:rsidP="0022446A">
            <w:pPr>
              <w:autoSpaceDE w:val="0"/>
              <w:autoSpaceDN w:val="0"/>
              <w:adjustRightInd w:val="0"/>
              <w:jc w:val="both"/>
              <w:rPr>
                <w:rFonts w:cs="Arial"/>
                <w:sz w:val="24"/>
              </w:rPr>
            </w:pPr>
            <w:r w:rsidRPr="008C399A">
              <w:rPr>
                <w:rFonts w:cs="Arial"/>
                <w:color w:val="000000"/>
                <w:sz w:val="24"/>
              </w:rPr>
              <w:t xml:space="preserve">Lots </w:t>
            </w:r>
          </w:p>
        </w:tc>
        <w:tc>
          <w:tcPr>
            <w:tcW w:w="3021" w:type="dxa"/>
          </w:tcPr>
          <w:p w14:paraId="60F0CA03" w14:textId="77777777" w:rsidR="008C399A" w:rsidRPr="008C399A" w:rsidRDefault="008C399A" w:rsidP="0022446A">
            <w:pPr>
              <w:autoSpaceDE w:val="0"/>
              <w:autoSpaceDN w:val="0"/>
              <w:adjustRightInd w:val="0"/>
              <w:jc w:val="both"/>
              <w:rPr>
                <w:rFonts w:cs="Arial"/>
                <w:sz w:val="24"/>
              </w:rPr>
            </w:pPr>
            <w:r w:rsidRPr="008C399A">
              <w:rPr>
                <w:rFonts w:cs="Arial"/>
                <w:color w:val="000000"/>
                <w:sz w:val="24"/>
              </w:rPr>
              <w:t>Désignation</w:t>
            </w:r>
          </w:p>
        </w:tc>
        <w:tc>
          <w:tcPr>
            <w:tcW w:w="3021" w:type="dxa"/>
          </w:tcPr>
          <w:p w14:paraId="1082BA05" w14:textId="77777777" w:rsidR="008C399A" w:rsidRPr="008C399A" w:rsidRDefault="008C399A" w:rsidP="0022446A">
            <w:pPr>
              <w:autoSpaceDE w:val="0"/>
              <w:autoSpaceDN w:val="0"/>
              <w:adjustRightInd w:val="0"/>
              <w:jc w:val="both"/>
              <w:rPr>
                <w:rFonts w:cs="Arial"/>
                <w:sz w:val="24"/>
              </w:rPr>
            </w:pPr>
            <w:r w:rsidRPr="008C399A">
              <w:rPr>
                <w:rFonts w:cs="Arial"/>
                <w:color w:val="000000"/>
                <w:sz w:val="24"/>
              </w:rPr>
              <w:t xml:space="preserve">Montant maximum annuel H.T </w:t>
            </w:r>
          </w:p>
        </w:tc>
      </w:tr>
      <w:tr w:rsidR="008C399A" w:rsidRPr="008C399A" w14:paraId="5123D5F1" w14:textId="77777777" w:rsidTr="00D808AF">
        <w:tc>
          <w:tcPr>
            <w:tcW w:w="3020" w:type="dxa"/>
          </w:tcPr>
          <w:p w14:paraId="31DCD38F" w14:textId="77777777" w:rsidR="008C399A" w:rsidRPr="008C399A" w:rsidRDefault="008C399A" w:rsidP="0022446A">
            <w:pPr>
              <w:autoSpaceDE w:val="0"/>
              <w:autoSpaceDN w:val="0"/>
              <w:adjustRightInd w:val="0"/>
              <w:jc w:val="both"/>
              <w:rPr>
                <w:rFonts w:cs="Arial"/>
                <w:sz w:val="24"/>
              </w:rPr>
            </w:pPr>
            <w:r w:rsidRPr="008C399A">
              <w:rPr>
                <w:rFonts w:cs="Arial"/>
                <w:color w:val="000000"/>
                <w:sz w:val="24"/>
              </w:rPr>
              <w:t xml:space="preserve">01 </w:t>
            </w:r>
          </w:p>
        </w:tc>
        <w:tc>
          <w:tcPr>
            <w:tcW w:w="3021" w:type="dxa"/>
          </w:tcPr>
          <w:p w14:paraId="7FACF442" w14:textId="77777777" w:rsidR="008C399A" w:rsidRPr="008C399A" w:rsidRDefault="008C399A" w:rsidP="0022446A">
            <w:pPr>
              <w:autoSpaceDE w:val="0"/>
              <w:autoSpaceDN w:val="0"/>
              <w:adjustRightInd w:val="0"/>
              <w:jc w:val="both"/>
              <w:rPr>
                <w:rFonts w:cs="Arial"/>
                <w:sz w:val="24"/>
              </w:rPr>
            </w:pPr>
            <w:r w:rsidRPr="008C399A">
              <w:rPr>
                <w:rFonts w:cs="Arial"/>
                <w:sz w:val="24"/>
              </w:rPr>
              <w:t xml:space="preserve">Grenoble (campus Sémard et campus </w:t>
            </w:r>
            <w:proofErr w:type="spellStart"/>
            <w:r w:rsidRPr="008C399A">
              <w:rPr>
                <w:rFonts w:cs="Arial"/>
                <w:sz w:val="24"/>
              </w:rPr>
              <w:t>Gemlab</w:t>
            </w:r>
            <w:proofErr w:type="spellEnd"/>
            <w:r w:rsidRPr="008C399A">
              <w:rPr>
                <w:rFonts w:cs="Arial"/>
                <w:sz w:val="24"/>
              </w:rPr>
              <w:t>)</w:t>
            </w:r>
          </w:p>
        </w:tc>
        <w:tc>
          <w:tcPr>
            <w:tcW w:w="3021" w:type="dxa"/>
            <w:shd w:val="clear" w:color="auto" w:fill="auto"/>
          </w:tcPr>
          <w:p w14:paraId="29237A9E" w14:textId="77777777" w:rsidR="008C399A" w:rsidRPr="008C399A" w:rsidRDefault="008C399A" w:rsidP="0022446A">
            <w:pPr>
              <w:autoSpaceDE w:val="0"/>
              <w:autoSpaceDN w:val="0"/>
              <w:adjustRightInd w:val="0"/>
              <w:jc w:val="both"/>
              <w:rPr>
                <w:rFonts w:cs="Arial"/>
                <w:sz w:val="24"/>
              </w:rPr>
            </w:pPr>
            <w:r w:rsidRPr="00D808AF">
              <w:rPr>
                <w:rFonts w:eastAsia="Calibri" w:cs="Calibri"/>
                <w:sz w:val="24"/>
              </w:rPr>
              <w:t>600 000,00 €</w:t>
            </w:r>
            <w:r w:rsidRPr="008C399A">
              <w:rPr>
                <w:rFonts w:cs="Arial"/>
                <w:color w:val="000000"/>
                <w:sz w:val="24"/>
              </w:rPr>
              <w:t xml:space="preserve"> </w:t>
            </w:r>
          </w:p>
        </w:tc>
      </w:tr>
      <w:tr w:rsidR="008C399A" w:rsidRPr="008C399A" w14:paraId="257B3044" w14:textId="77777777" w:rsidTr="00D808AF">
        <w:tc>
          <w:tcPr>
            <w:tcW w:w="3020" w:type="dxa"/>
          </w:tcPr>
          <w:p w14:paraId="66D35085" w14:textId="77777777" w:rsidR="008C399A" w:rsidRPr="008C399A" w:rsidRDefault="008C399A" w:rsidP="0022446A">
            <w:pPr>
              <w:autoSpaceDE w:val="0"/>
              <w:autoSpaceDN w:val="0"/>
              <w:adjustRightInd w:val="0"/>
              <w:jc w:val="both"/>
              <w:rPr>
                <w:rFonts w:cs="Arial"/>
                <w:sz w:val="24"/>
              </w:rPr>
            </w:pPr>
            <w:r w:rsidRPr="008C399A">
              <w:rPr>
                <w:rFonts w:cs="Arial"/>
                <w:color w:val="000000"/>
                <w:sz w:val="24"/>
              </w:rPr>
              <w:t xml:space="preserve">02 </w:t>
            </w:r>
          </w:p>
        </w:tc>
        <w:tc>
          <w:tcPr>
            <w:tcW w:w="3021" w:type="dxa"/>
          </w:tcPr>
          <w:p w14:paraId="53C4F394" w14:textId="77777777" w:rsidR="008C399A" w:rsidRPr="008C399A" w:rsidRDefault="008C399A" w:rsidP="0022446A">
            <w:pPr>
              <w:autoSpaceDE w:val="0"/>
              <w:autoSpaceDN w:val="0"/>
              <w:adjustRightInd w:val="0"/>
              <w:jc w:val="both"/>
              <w:rPr>
                <w:rFonts w:cs="Arial"/>
                <w:sz w:val="24"/>
              </w:rPr>
            </w:pPr>
            <w:r w:rsidRPr="008C399A">
              <w:rPr>
                <w:rFonts w:cs="Arial"/>
                <w:sz w:val="24"/>
              </w:rPr>
              <w:t>Pantin (campus parisien de GEM)</w:t>
            </w:r>
          </w:p>
        </w:tc>
        <w:tc>
          <w:tcPr>
            <w:tcW w:w="3021" w:type="dxa"/>
            <w:shd w:val="clear" w:color="auto" w:fill="auto"/>
          </w:tcPr>
          <w:p w14:paraId="45C158DF" w14:textId="77777777" w:rsidR="008C399A" w:rsidRPr="00D808AF" w:rsidRDefault="008C399A" w:rsidP="0022446A">
            <w:pPr>
              <w:autoSpaceDE w:val="0"/>
              <w:autoSpaceDN w:val="0"/>
              <w:adjustRightInd w:val="0"/>
              <w:jc w:val="both"/>
              <w:rPr>
                <w:rFonts w:eastAsia="Calibri" w:cs="Calibri"/>
                <w:sz w:val="24"/>
              </w:rPr>
            </w:pPr>
            <w:r w:rsidRPr="00D808AF">
              <w:rPr>
                <w:rFonts w:eastAsia="Calibri" w:cs="Calibri"/>
                <w:sz w:val="24"/>
              </w:rPr>
              <w:t xml:space="preserve">200 000,00 € </w:t>
            </w:r>
          </w:p>
        </w:tc>
      </w:tr>
    </w:tbl>
    <w:p w14:paraId="7A32EF5C" w14:textId="77777777" w:rsidR="008C399A" w:rsidRPr="00002B17" w:rsidRDefault="008C399A" w:rsidP="00E2031F">
      <w:pPr>
        <w:jc w:val="both"/>
        <w:rPr>
          <w:rFonts w:eastAsia="Calibri" w:cs="Calibri"/>
        </w:rPr>
      </w:pPr>
    </w:p>
    <w:p w14:paraId="33E38682" w14:textId="77777777" w:rsidR="00685000" w:rsidRPr="0012390F" w:rsidRDefault="00685000" w:rsidP="00563910">
      <w:pPr>
        <w:keepNext/>
        <w:spacing w:before="240" w:after="60"/>
        <w:outlineLvl w:val="1"/>
        <w:rPr>
          <w:rFonts w:cs="Arial"/>
          <w:i/>
          <w:szCs w:val="22"/>
          <w:u w:val="single"/>
        </w:rPr>
      </w:pPr>
      <w:bookmarkStart w:id="9" w:name="_Toc115958920"/>
      <w:r w:rsidRPr="0012390F">
        <w:rPr>
          <w:rFonts w:cs="Arial"/>
          <w:i/>
          <w:szCs w:val="22"/>
          <w:u w:val="single"/>
        </w:rPr>
        <w:t>1.3 - Mode de passation</w:t>
      </w:r>
      <w:bookmarkEnd w:id="7"/>
      <w:bookmarkEnd w:id="9"/>
    </w:p>
    <w:p w14:paraId="3AAC0803" w14:textId="77777777" w:rsidR="00685000" w:rsidRPr="0012390F" w:rsidRDefault="00685000" w:rsidP="00685000">
      <w:pPr>
        <w:keepLines/>
        <w:tabs>
          <w:tab w:val="left" w:pos="567"/>
          <w:tab w:val="left" w:pos="851"/>
          <w:tab w:val="left" w:pos="1134"/>
        </w:tabs>
        <w:jc w:val="both"/>
        <w:rPr>
          <w:rFonts w:cs="Arial"/>
          <w:szCs w:val="22"/>
        </w:rPr>
      </w:pPr>
    </w:p>
    <w:p w14:paraId="74BC2C4F" w14:textId="5F50E1A1" w:rsidR="00685000" w:rsidRPr="00E2031F" w:rsidRDefault="00685000" w:rsidP="0020184E">
      <w:pPr>
        <w:keepLines/>
        <w:tabs>
          <w:tab w:val="left" w:pos="567"/>
          <w:tab w:val="left" w:pos="851"/>
          <w:tab w:val="left" w:pos="1134"/>
        </w:tabs>
        <w:jc w:val="both"/>
        <w:rPr>
          <w:rFonts w:eastAsia="Calibri" w:cs="Calibri"/>
          <w:sz w:val="24"/>
        </w:rPr>
      </w:pPr>
      <w:r w:rsidRPr="00E2031F">
        <w:rPr>
          <w:rFonts w:eastAsia="Calibri" w:cs="Calibri"/>
          <w:sz w:val="24"/>
        </w:rPr>
        <w:t xml:space="preserve">La procédure de passation utilisée est : l'appel d'offres ouvert. Elle est soumise aux dispositions des articles </w:t>
      </w:r>
      <w:r w:rsidR="0020184E" w:rsidRPr="00E2031F">
        <w:rPr>
          <w:rFonts w:eastAsia="Calibri" w:cs="Calibri"/>
          <w:sz w:val="24"/>
        </w:rPr>
        <w:t>L 2124-2 et suivants, R 2124-2 et suivants du Code de la commande publique.</w:t>
      </w:r>
    </w:p>
    <w:p w14:paraId="71FCCF01" w14:textId="77777777" w:rsidR="00685000" w:rsidRPr="00BE3794" w:rsidRDefault="00685000" w:rsidP="00685000">
      <w:pPr>
        <w:keepNext/>
        <w:spacing w:before="240" w:after="60"/>
        <w:outlineLvl w:val="1"/>
        <w:rPr>
          <w:rFonts w:cs="Arial"/>
          <w:i/>
          <w:sz w:val="24"/>
          <w:szCs w:val="20"/>
          <w:u w:val="single"/>
        </w:rPr>
      </w:pPr>
      <w:bookmarkStart w:id="10" w:name="_Toc454959811"/>
      <w:bookmarkStart w:id="11" w:name="_Toc115958921"/>
      <w:r>
        <w:rPr>
          <w:rFonts w:cs="Arial"/>
          <w:i/>
          <w:sz w:val="24"/>
          <w:szCs w:val="20"/>
          <w:u w:val="single"/>
        </w:rPr>
        <w:t>1.4</w:t>
      </w:r>
      <w:r w:rsidRPr="00BE3794">
        <w:rPr>
          <w:rFonts w:cs="Arial"/>
          <w:i/>
          <w:sz w:val="24"/>
          <w:szCs w:val="20"/>
          <w:u w:val="single"/>
        </w:rPr>
        <w:t xml:space="preserve"> - Décomposition de la consultation</w:t>
      </w:r>
      <w:bookmarkEnd w:id="10"/>
      <w:bookmarkEnd w:id="11"/>
    </w:p>
    <w:p w14:paraId="0A9E4065" w14:textId="77777777" w:rsidR="00685000" w:rsidRPr="00E2031F" w:rsidRDefault="00685000" w:rsidP="00685000">
      <w:pPr>
        <w:keepLines/>
        <w:tabs>
          <w:tab w:val="left" w:pos="567"/>
          <w:tab w:val="left" w:pos="851"/>
          <w:tab w:val="left" w:pos="1134"/>
        </w:tabs>
        <w:jc w:val="both"/>
        <w:rPr>
          <w:rFonts w:eastAsia="Calibri" w:cs="Calibri"/>
          <w:sz w:val="24"/>
        </w:rPr>
      </w:pPr>
    </w:p>
    <w:p w14:paraId="3440E0C7" w14:textId="24C56C9C" w:rsidR="00822703" w:rsidRDefault="00822703" w:rsidP="00387FC2">
      <w:pPr>
        <w:keepLines/>
        <w:tabs>
          <w:tab w:val="left" w:pos="567"/>
          <w:tab w:val="left" w:pos="851"/>
          <w:tab w:val="left" w:pos="1134"/>
        </w:tabs>
        <w:spacing w:line="259" w:lineRule="auto"/>
        <w:jc w:val="both"/>
        <w:rPr>
          <w:rFonts w:eastAsia="Calibri" w:cs="Calibri"/>
          <w:sz w:val="24"/>
        </w:rPr>
      </w:pPr>
      <w:r>
        <w:rPr>
          <w:rFonts w:eastAsia="Calibri" w:cs="Calibri"/>
          <w:sz w:val="24"/>
        </w:rPr>
        <w:t xml:space="preserve">L’accord cadre est </w:t>
      </w:r>
      <w:r w:rsidR="007C53D3" w:rsidRPr="00E2031F">
        <w:rPr>
          <w:rFonts w:eastAsia="Calibri" w:cs="Calibri"/>
          <w:sz w:val="24"/>
        </w:rPr>
        <w:t xml:space="preserve">alloti </w:t>
      </w:r>
      <w:r>
        <w:rPr>
          <w:rFonts w:eastAsia="Calibri" w:cs="Calibri"/>
          <w:sz w:val="24"/>
        </w:rPr>
        <w:t>selon les lieux géographiques de prestation :</w:t>
      </w:r>
    </w:p>
    <w:p w14:paraId="44E4540B" w14:textId="77777777" w:rsidR="00454A2B" w:rsidRDefault="00454A2B" w:rsidP="00387FC2">
      <w:pPr>
        <w:keepLines/>
        <w:tabs>
          <w:tab w:val="left" w:pos="567"/>
          <w:tab w:val="left" w:pos="851"/>
          <w:tab w:val="left" w:pos="1134"/>
        </w:tabs>
        <w:spacing w:line="259" w:lineRule="auto"/>
        <w:jc w:val="both"/>
        <w:rPr>
          <w:rFonts w:eastAsia="Calibri" w:cs="Calibri"/>
          <w:sz w:val="24"/>
        </w:rPr>
      </w:pPr>
    </w:p>
    <w:p w14:paraId="52DA93F1" w14:textId="77777777" w:rsidR="00822703" w:rsidRPr="00822703" w:rsidRDefault="00822703" w:rsidP="00822703">
      <w:pPr>
        <w:rPr>
          <w:rFonts w:cs="Arial"/>
          <w:b/>
          <w:sz w:val="24"/>
        </w:rPr>
      </w:pPr>
      <w:r w:rsidRPr="00822703">
        <w:rPr>
          <w:rFonts w:cs="Arial"/>
          <w:b/>
          <w:sz w:val="24"/>
        </w:rPr>
        <w:t>Lot n°1 : Grenoble</w:t>
      </w:r>
    </w:p>
    <w:p w14:paraId="266A59E5" w14:textId="77777777" w:rsidR="00822703" w:rsidRPr="00822703" w:rsidRDefault="00822703" w:rsidP="00822703">
      <w:pPr>
        <w:pStyle w:val="Paragraphedeliste"/>
        <w:numPr>
          <w:ilvl w:val="0"/>
          <w:numId w:val="15"/>
        </w:numPr>
        <w:spacing w:after="160" w:line="259" w:lineRule="auto"/>
        <w:contextualSpacing/>
        <w:rPr>
          <w:rFonts w:cs="Arial"/>
          <w:sz w:val="24"/>
        </w:rPr>
      </w:pPr>
      <w:proofErr w:type="gramStart"/>
      <w:r w:rsidRPr="00822703">
        <w:rPr>
          <w:rFonts w:cs="Arial"/>
          <w:sz w:val="24"/>
        </w:rPr>
        <w:t>campus</w:t>
      </w:r>
      <w:proofErr w:type="gramEnd"/>
      <w:r w:rsidRPr="00822703">
        <w:rPr>
          <w:rFonts w:cs="Arial"/>
          <w:sz w:val="24"/>
        </w:rPr>
        <w:t xml:space="preserve"> Sémard : 12 rue Pierre Sémard - 38000 Grenoble</w:t>
      </w:r>
    </w:p>
    <w:p w14:paraId="59077BC2" w14:textId="77777777" w:rsidR="00822703" w:rsidRPr="00822703" w:rsidRDefault="00822703" w:rsidP="00822703">
      <w:pPr>
        <w:pStyle w:val="Paragraphedeliste"/>
        <w:numPr>
          <w:ilvl w:val="0"/>
          <w:numId w:val="15"/>
        </w:numPr>
        <w:spacing w:after="160" w:line="259" w:lineRule="auto"/>
        <w:contextualSpacing/>
        <w:rPr>
          <w:rFonts w:cs="Arial"/>
          <w:sz w:val="24"/>
        </w:rPr>
      </w:pPr>
      <w:proofErr w:type="gramStart"/>
      <w:r w:rsidRPr="00822703">
        <w:rPr>
          <w:rFonts w:cs="Arial"/>
          <w:sz w:val="24"/>
        </w:rPr>
        <w:t>campus</w:t>
      </w:r>
      <w:proofErr w:type="gramEnd"/>
      <w:r w:rsidRPr="00822703">
        <w:rPr>
          <w:rFonts w:cs="Arial"/>
          <w:sz w:val="24"/>
        </w:rPr>
        <w:t xml:space="preserve"> </w:t>
      </w:r>
      <w:proofErr w:type="spellStart"/>
      <w:r w:rsidRPr="00822703">
        <w:rPr>
          <w:rFonts w:cs="Arial"/>
          <w:sz w:val="24"/>
        </w:rPr>
        <w:t>Gemlab</w:t>
      </w:r>
      <w:proofErr w:type="spellEnd"/>
      <w:r w:rsidRPr="00822703">
        <w:rPr>
          <w:rFonts w:cs="Arial"/>
          <w:sz w:val="24"/>
        </w:rPr>
        <w:t> : 142 avenue des martyrs – 38000 Grenoble</w:t>
      </w:r>
    </w:p>
    <w:p w14:paraId="0F23ABF4" w14:textId="77777777" w:rsidR="00822703" w:rsidRPr="00822703" w:rsidRDefault="00822703" w:rsidP="00454A2B">
      <w:pPr>
        <w:pStyle w:val="Paragraphedeliste"/>
        <w:spacing w:after="160" w:line="259" w:lineRule="auto"/>
        <w:ind w:left="720"/>
        <w:contextualSpacing/>
        <w:rPr>
          <w:rFonts w:cs="Arial"/>
          <w:sz w:val="24"/>
        </w:rPr>
      </w:pPr>
    </w:p>
    <w:p w14:paraId="66886763" w14:textId="77777777" w:rsidR="00822703" w:rsidRPr="00822703" w:rsidRDefault="00822703" w:rsidP="00822703">
      <w:pPr>
        <w:rPr>
          <w:rFonts w:cs="Arial"/>
          <w:b/>
          <w:sz w:val="24"/>
        </w:rPr>
      </w:pPr>
      <w:r w:rsidRPr="00822703">
        <w:rPr>
          <w:rFonts w:cs="Arial"/>
          <w:b/>
          <w:sz w:val="24"/>
        </w:rPr>
        <w:t>Lot n°2 : Pantin (campus parisien de GEM)</w:t>
      </w:r>
    </w:p>
    <w:p w14:paraId="19F32034" w14:textId="3B357325" w:rsidR="00822703" w:rsidRPr="00822703" w:rsidRDefault="00822703" w:rsidP="00822703">
      <w:pPr>
        <w:pStyle w:val="Paragraphedeliste"/>
        <w:numPr>
          <w:ilvl w:val="0"/>
          <w:numId w:val="16"/>
        </w:numPr>
        <w:spacing w:after="160" w:line="259" w:lineRule="auto"/>
        <w:contextualSpacing/>
        <w:rPr>
          <w:rFonts w:cs="Arial"/>
          <w:sz w:val="24"/>
        </w:rPr>
      </w:pPr>
      <w:proofErr w:type="gramStart"/>
      <w:r w:rsidRPr="00822703">
        <w:rPr>
          <w:rFonts w:cs="Arial"/>
          <w:sz w:val="24"/>
        </w:rPr>
        <w:t>campus</w:t>
      </w:r>
      <w:proofErr w:type="gramEnd"/>
      <w:r w:rsidRPr="00822703">
        <w:rPr>
          <w:rFonts w:cs="Arial"/>
          <w:sz w:val="24"/>
        </w:rPr>
        <w:t xml:space="preserve"> Paris-Pantin : 183 </w:t>
      </w:r>
      <w:r w:rsidR="00454A2B">
        <w:rPr>
          <w:rFonts w:cs="Arial"/>
          <w:sz w:val="24"/>
        </w:rPr>
        <w:t>Avenue</w:t>
      </w:r>
      <w:r w:rsidRPr="00822703">
        <w:rPr>
          <w:rFonts w:cs="Arial"/>
          <w:sz w:val="24"/>
        </w:rPr>
        <w:t xml:space="preserve"> Jean </w:t>
      </w:r>
      <w:proofErr w:type="spellStart"/>
      <w:r w:rsidRPr="00822703">
        <w:rPr>
          <w:rFonts w:cs="Arial"/>
          <w:sz w:val="24"/>
        </w:rPr>
        <w:t>Lolive</w:t>
      </w:r>
      <w:proofErr w:type="spellEnd"/>
      <w:r w:rsidRPr="00822703">
        <w:rPr>
          <w:rFonts w:cs="Arial"/>
          <w:sz w:val="24"/>
        </w:rPr>
        <w:t xml:space="preserve"> – 93500 Pantin</w:t>
      </w:r>
    </w:p>
    <w:p w14:paraId="021C073C" w14:textId="7BB932EB" w:rsidR="007C53D3" w:rsidRPr="007336D9" w:rsidRDefault="00822703" w:rsidP="00387FC2">
      <w:pPr>
        <w:keepLines/>
        <w:tabs>
          <w:tab w:val="left" w:pos="567"/>
          <w:tab w:val="left" w:pos="851"/>
          <w:tab w:val="left" w:pos="1134"/>
        </w:tabs>
        <w:spacing w:line="259" w:lineRule="auto"/>
        <w:jc w:val="both"/>
        <w:rPr>
          <w:rFonts w:eastAsia="Calibri" w:cs="Calibri"/>
          <w:sz w:val="24"/>
        </w:rPr>
      </w:pPr>
      <w:r w:rsidRPr="007336D9">
        <w:rPr>
          <w:rFonts w:eastAsia="Calibri" w:cs="Calibri"/>
          <w:sz w:val="24"/>
        </w:rPr>
        <w:t xml:space="preserve">Chaque lot </w:t>
      </w:r>
      <w:r w:rsidR="007336D9" w:rsidRPr="007336D9">
        <w:rPr>
          <w:sz w:val="24"/>
        </w:rPr>
        <w:t>fera l'objet d'un accord-cadre</w:t>
      </w:r>
      <w:r w:rsidR="007336D9" w:rsidRPr="007336D9">
        <w:rPr>
          <w:rFonts w:eastAsia="Calibri" w:cs="Calibri"/>
          <w:sz w:val="24"/>
        </w:rPr>
        <w:t xml:space="preserve"> </w:t>
      </w:r>
      <w:r w:rsidRPr="007336D9">
        <w:rPr>
          <w:rFonts w:eastAsia="Calibri" w:cs="Calibri"/>
          <w:sz w:val="24"/>
        </w:rPr>
        <w:t>sera attribué à un seul opérateur économique.</w:t>
      </w:r>
    </w:p>
    <w:p w14:paraId="501927B1" w14:textId="4757B349" w:rsidR="007336D9" w:rsidRDefault="007336D9" w:rsidP="007336D9">
      <w:pPr>
        <w:keepLines/>
        <w:tabs>
          <w:tab w:val="left" w:pos="567"/>
          <w:tab w:val="left" w:pos="851"/>
          <w:tab w:val="left" w:pos="1134"/>
        </w:tabs>
        <w:spacing w:line="259" w:lineRule="auto"/>
        <w:jc w:val="both"/>
        <w:rPr>
          <w:sz w:val="20"/>
          <w:szCs w:val="20"/>
        </w:rPr>
      </w:pPr>
      <w:r w:rsidRPr="007336D9">
        <w:rPr>
          <w:sz w:val="24"/>
        </w:rPr>
        <w:t>Les candidats ont la possibilité de soumettre des offres pour les 2 lots</w:t>
      </w:r>
      <w:r>
        <w:rPr>
          <w:sz w:val="20"/>
          <w:szCs w:val="20"/>
        </w:rPr>
        <w:t>.</w:t>
      </w:r>
    </w:p>
    <w:p w14:paraId="0A85C42D" w14:textId="040558DA" w:rsidR="00454A2B" w:rsidRDefault="00454A2B" w:rsidP="007336D9">
      <w:pPr>
        <w:keepLines/>
        <w:tabs>
          <w:tab w:val="left" w:pos="567"/>
          <w:tab w:val="left" w:pos="851"/>
          <w:tab w:val="left" w:pos="1134"/>
        </w:tabs>
        <w:spacing w:line="259" w:lineRule="auto"/>
        <w:jc w:val="both"/>
        <w:rPr>
          <w:sz w:val="20"/>
          <w:szCs w:val="20"/>
        </w:rPr>
      </w:pPr>
    </w:p>
    <w:p w14:paraId="5C2E63B5" w14:textId="1DCF11BB" w:rsidR="00454A2B" w:rsidRDefault="00454A2B" w:rsidP="007336D9">
      <w:pPr>
        <w:keepLines/>
        <w:tabs>
          <w:tab w:val="left" w:pos="567"/>
          <w:tab w:val="left" w:pos="851"/>
          <w:tab w:val="left" w:pos="1134"/>
        </w:tabs>
        <w:spacing w:line="259" w:lineRule="auto"/>
        <w:jc w:val="both"/>
        <w:rPr>
          <w:sz w:val="20"/>
          <w:szCs w:val="20"/>
        </w:rPr>
      </w:pPr>
    </w:p>
    <w:p w14:paraId="2BE7F087" w14:textId="7DCDE71C" w:rsidR="00454A2B" w:rsidRDefault="00454A2B" w:rsidP="007336D9">
      <w:pPr>
        <w:keepLines/>
        <w:tabs>
          <w:tab w:val="left" w:pos="567"/>
          <w:tab w:val="left" w:pos="851"/>
          <w:tab w:val="left" w:pos="1134"/>
        </w:tabs>
        <w:spacing w:line="259" w:lineRule="auto"/>
        <w:jc w:val="both"/>
        <w:rPr>
          <w:sz w:val="20"/>
          <w:szCs w:val="20"/>
        </w:rPr>
      </w:pPr>
    </w:p>
    <w:p w14:paraId="5F2827A3" w14:textId="77777777" w:rsidR="00454A2B" w:rsidRPr="00822703" w:rsidRDefault="00454A2B" w:rsidP="007336D9">
      <w:pPr>
        <w:keepLines/>
        <w:tabs>
          <w:tab w:val="left" w:pos="567"/>
          <w:tab w:val="left" w:pos="851"/>
          <w:tab w:val="left" w:pos="1134"/>
        </w:tabs>
        <w:spacing w:line="259" w:lineRule="auto"/>
        <w:jc w:val="both"/>
        <w:rPr>
          <w:rFonts w:eastAsia="Calibri" w:cs="Calibri"/>
          <w:sz w:val="24"/>
        </w:rPr>
      </w:pPr>
    </w:p>
    <w:p w14:paraId="38382F06" w14:textId="674B6118" w:rsidR="00685000" w:rsidRPr="00BE3794" w:rsidRDefault="00685000" w:rsidP="00685000">
      <w:pPr>
        <w:keepNext/>
        <w:spacing w:before="240" w:after="60"/>
        <w:outlineLvl w:val="1"/>
        <w:rPr>
          <w:rFonts w:cs="Arial"/>
          <w:i/>
          <w:sz w:val="24"/>
          <w:szCs w:val="20"/>
          <w:u w:val="single"/>
        </w:rPr>
      </w:pPr>
      <w:bookmarkStart w:id="12" w:name="_Toc454959813"/>
      <w:bookmarkStart w:id="13" w:name="_Toc115958922"/>
      <w:r>
        <w:rPr>
          <w:rFonts w:cs="Arial"/>
          <w:i/>
          <w:sz w:val="24"/>
          <w:szCs w:val="20"/>
          <w:u w:val="single"/>
        </w:rPr>
        <w:lastRenderedPageBreak/>
        <w:t>1.</w:t>
      </w:r>
      <w:r w:rsidR="00FF735A">
        <w:rPr>
          <w:rFonts w:cs="Arial"/>
          <w:i/>
          <w:sz w:val="24"/>
          <w:szCs w:val="20"/>
          <w:u w:val="single"/>
        </w:rPr>
        <w:t>5</w:t>
      </w:r>
      <w:r w:rsidRPr="00BE3794">
        <w:rPr>
          <w:rFonts w:cs="Arial"/>
          <w:i/>
          <w:sz w:val="24"/>
          <w:szCs w:val="20"/>
          <w:u w:val="single"/>
        </w:rPr>
        <w:t xml:space="preserve"> - Nomenclature communautaire</w:t>
      </w:r>
      <w:bookmarkEnd w:id="12"/>
      <w:bookmarkEnd w:id="13"/>
    </w:p>
    <w:p w14:paraId="5E70D9E9" w14:textId="77777777" w:rsidR="00685000" w:rsidRPr="00BE3794" w:rsidRDefault="00685000" w:rsidP="00685000">
      <w:pPr>
        <w:keepLines/>
        <w:tabs>
          <w:tab w:val="left" w:pos="567"/>
          <w:tab w:val="left" w:pos="851"/>
          <w:tab w:val="left" w:pos="1134"/>
        </w:tabs>
        <w:jc w:val="both"/>
        <w:rPr>
          <w:rFonts w:cs="Arial"/>
          <w:szCs w:val="20"/>
        </w:rPr>
      </w:pPr>
    </w:p>
    <w:p w14:paraId="2A64AC98" w14:textId="77777777" w:rsidR="00685000" w:rsidRPr="00E2031F" w:rsidRDefault="00685000" w:rsidP="00E2031F">
      <w:pPr>
        <w:keepLines/>
        <w:tabs>
          <w:tab w:val="left" w:pos="567"/>
          <w:tab w:val="left" w:pos="851"/>
          <w:tab w:val="left" w:pos="1134"/>
        </w:tabs>
        <w:jc w:val="both"/>
        <w:rPr>
          <w:rFonts w:eastAsia="Calibri" w:cs="Calibri"/>
          <w:sz w:val="24"/>
        </w:rPr>
      </w:pPr>
      <w:r w:rsidRPr="00E2031F">
        <w:rPr>
          <w:rFonts w:eastAsia="Calibri" w:cs="Calibri"/>
          <w:sz w:val="24"/>
        </w:rPr>
        <w:t>Les classifications principales conformes au vocabulaire commun des marchés européens (CPV) sont :</w:t>
      </w:r>
    </w:p>
    <w:p w14:paraId="733DFABD" w14:textId="77777777" w:rsidR="00685000" w:rsidRPr="00BE3794" w:rsidRDefault="00685000" w:rsidP="00685000">
      <w:pPr>
        <w:keepLines/>
        <w:tabs>
          <w:tab w:val="left" w:pos="567"/>
          <w:tab w:val="left" w:pos="851"/>
          <w:tab w:val="left" w:pos="1134"/>
        </w:tabs>
        <w:ind w:left="284" w:firstLine="284"/>
        <w:jc w:val="both"/>
        <w:rPr>
          <w:rFonts w:cs="Arial"/>
          <w:szCs w:val="20"/>
        </w:rPr>
      </w:pPr>
    </w:p>
    <w:tbl>
      <w:tblPr>
        <w:tblW w:w="9098" w:type="dxa"/>
        <w:tblBorders>
          <w:top w:val="single" w:sz="6" w:space="0" w:color="000000"/>
          <w:left w:val="single" w:sz="6" w:space="0" w:color="auto"/>
          <w:bottom w:val="single" w:sz="6" w:space="0" w:color="000000"/>
          <w:right w:val="single" w:sz="6"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098"/>
      </w:tblGrid>
      <w:tr w:rsidR="00685000" w:rsidRPr="00BE3794" w14:paraId="5C44FEBA" w14:textId="77777777" w:rsidTr="00C76CD3">
        <w:trPr>
          <w:cantSplit/>
          <w:trHeight w:val="269"/>
          <w:tblHeader/>
        </w:trPr>
        <w:tc>
          <w:tcPr>
            <w:tcW w:w="9098" w:type="dxa"/>
            <w:shd w:val="pct30" w:color="FFFF00" w:fill="FFFFFF"/>
          </w:tcPr>
          <w:tbl>
            <w:tblPr>
              <w:tblW w:w="0" w:type="auto"/>
              <w:tblBorders>
                <w:top w:val="nil"/>
                <w:left w:val="nil"/>
                <w:bottom w:val="nil"/>
                <w:right w:val="nil"/>
              </w:tblBorders>
              <w:tblLayout w:type="fixed"/>
              <w:tblLook w:val="0000" w:firstRow="0" w:lastRow="0" w:firstColumn="0" w:lastColumn="0" w:noHBand="0" w:noVBand="0"/>
            </w:tblPr>
            <w:tblGrid>
              <w:gridCol w:w="2969"/>
              <w:gridCol w:w="2969"/>
            </w:tblGrid>
            <w:tr w:rsidR="00DA2BB4" w:rsidRPr="00DA2BB4" w14:paraId="7B295197" w14:textId="77777777">
              <w:trPr>
                <w:trHeight w:val="93"/>
              </w:trPr>
              <w:tc>
                <w:tcPr>
                  <w:tcW w:w="2969" w:type="dxa"/>
                </w:tcPr>
                <w:p w14:paraId="10B6D6C3"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Code principal </w:t>
                  </w:r>
                </w:p>
              </w:tc>
              <w:tc>
                <w:tcPr>
                  <w:tcW w:w="2969" w:type="dxa"/>
                </w:tcPr>
                <w:p w14:paraId="5159C00B"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Description </w:t>
                  </w:r>
                </w:p>
              </w:tc>
            </w:tr>
          </w:tbl>
          <w:p w14:paraId="2BC9155B" w14:textId="2B90640A" w:rsidR="00685000" w:rsidRPr="00BE3794" w:rsidRDefault="00685000" w:rsidP="00FE46B2">
            <w:pPr>
              <w:keepNext/>
              <w:keepLines/>
              <w:jc w:val="center"/>
              <w:rPr>
                <w:rFonts w:cs="Arial"/>
                <w:i/>
                <w:szCs w:val="20"/>
              </w:rPr>
            </w:pPr>
          </w:p>
        </w:tc>
      </w:tr>
      <w:tr w:rsidR="00685000" w:rsidRPr="00BE3794" w14:paraId="1D74D1DB" w14:textId="77777777" w:rsidTr="00C76CD3">
        <w:trPr>
          <w:cantSplit/>
          <w:trHeight w:val="793"/>
        </w:trPr>
        <w:tc>
          <w:tcPr>
            <w:tcW w:w="9098" w:type="dxa"/>
            <w:tcBorders>
              <w:top w:val="single" w:sz="4" w:space="0" w:color="auto"/>
              <w:left w:val="single" w:sz="6" w:space="0" w:color="auto"/>
              <w:bottom w:val="single" w:sz="6" w:space="0" w:color="000000"/>
              <w:right w:val="single" w:sz="6"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327"/>
              <w:gridCol w:w="4402"/>
            </w:tblGrid>
            <w:tr w:rsidR="00DA2BB4" w:rsidRPr="00DA2BB4" w14:paraId="7BBA5433" w14:textId="77777777" w:rsidTr="00DA2BB4">
              <w:trPr>
                <w:trHeight w:val="93"/>
              </w:trPr>
              <w:tc>
                <w:tcPr>
                  <w:tcW w:w="2327" w:type="dxa"/>
                </w:tcPr>
                <w:p w14:paraId="498EB1B1" w14:textId="77777777" w:rsidR="00DA2BB4" w:rsidRPr="00DA2BB4" w:rsidRDefault="00DA2BB4" w:rsidP="00DA2BB4">
                  <w:pPr>
                    <w:autoSpaceDE w:val="0"/>
                    <w:autoSpaceDN w:val="0"/>
                    <w:adjustRightInd w:val="0"/>
                    <w:rPr>
                      <w:rFonts w:eastAsiaTheme="minorHAnsi" w:cs="Arial"/>
                      <w:color w:val="000000"/>
                      <w:sz w:val="20"/>
                      <w:szCs w:val="20"/>
                      <w:lang w:eastAsia="en-US"/>
                    </w:rPr>
                  </w:pPr>
                  <w:bookmarkStart w:id="14" w:name="_Toc454959814"/>
                  <w:r w:rsidRPr="00DA2BB4">
                    <w:rPr>
                      <w:rFonts w:eastAsiaTheme="minorHAnsi" w:cs="Arial"/>
                      <w:color w:val="000000"/>
                      <w:sz w:val="20"/>
                      <w:szCs w:val="20"/>
                      <w:lang w:eastAsia="en-US"/>
                    </w:rPr>
                    <w:t xml:space="preserve">90900000-6 </w:t>
                  </w:r>
                </w:p>
              </w:tc>
              <w:tc>
                <w:tcPr>
                  <w:tcW w:w="4402" w:type="dxa"/>
                </w:tcPr>
                <w:p w14:paraId="02C5F106" w14:textId="77777777" w:rsid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Services de nettoyage et d'hygiène </w:t>
                  </w:r>
                </w:p>
                <w:p w14:paraId="0243BD1B" w14:textId="4B2FC5D9" w:rsidR="00DA2BB4" w:rsidRPr="00DA2BB4" w:rsidRDefault="00DA2BB4" w:rsidP="00DA2BB4">
                  <w:pPr>
                    <w:autoSpaceDE w:val="0"/>
                    <w:autoSpaceDN w:val="0"/>
                    <w:adjustRightInd w:val="0"/>
                    <w:rPr>
                      <w:rFonts w:eastAsiaTheme="minorHAnsi" w:cs="Arial"/>
                      <w:color w:val="000000"/>
                      <w:sz w:val="20"/>
                      <w:szCs w:val="20"/>
                      <w:lang w:eastAsia="en-US"/>
                    </w:rPr>
                  </w:pPr>
                </w:p>
              </w:tc>
            </w:tr>
            <w:tr w:rsidR="00DA2BB4" w:rsidRPr="00DA2BB4" w14:paraId="5206AEDA" w14:textId="77777777" w:rsidTr="00DA2BB4">
              <w:trPr>
                <w:trHeight w:val="93"/>
              </w:trPr>
              <w:tc>
                <w:tcPr>
                  <w:tcW w:w="2327" w:type="dxa"/>
                </w:tcPr>
                <w:p w14:paraId="363D2CDB"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90910000-9 </w:t>
                  </w:r>
                </w:p>
              </w:tc>
              <w:tc>
                <w:tcPr>
                  <w:tcW w:w="4402" w:type="dxa"/>
                </w:tcPr>
                <w:p w14:paraId="74DFECDA" w14:textId="77777777" w:rsid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Services de nettoyage </w:t>
                  </w:r>
                </w:p>
                <w:p w14:paraId="63EE8F92" w14:textId="1BC8793D" w:rsidR="00DA2BB4" w:rsidRPr="00DA2BB4" w:rsidRDefault="00DA2BB4" w:rsidP="00DA2BB4">
                  <w:pPr>
                    <w:autoSpaceDE w:val="0"/>
                    <w:autoSpaceDN w:val="0"/>
                    <w:adjustRightInd w:val="0"/>
                    <w:rPr>
                      <w:rFonts w:eastAsiaTheme="minorHAnsi" w:cs="Arial"/>
                      <w:color w:val="000000"/>
                      <w:sz w:val="20"/>
                      <w:szCs w:val="20"/>
                      <w:lang w:eastAsia="en-US"/>
                    </w:rPr>
                  </w:pPr>
                </w:p>
              </w:tc>
            </w:tr>
            <w:tr w:rsidR="00DA2BB4" w:rsidRPr="00DA2BB4" w14:paraId="2F797BA2" w14:textId="77777777" w:rsidTr="00DA2BB4">
              <w:trPr>
                <w:trHeight w:val="93"/>
              </w:trPr>
              <w:tc>
                <w:tcPr>
                  <w:tcW w:w="2327" w:type="dxa"/>
                </w:tcPr>
                <w:p w14:paraId="656EC0BA"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90911200-8 </w:t>
                  </w:r>
                </w:p>
              </w:tc>
              <w:tc>
                <w:tcPr>
                  <w:tcW w:w="4402" w:type="dxa"/>
                </w:tcPr>
                <w:p w14:paraId="0B7A6B59" w14:textId="77777777" w:rsid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Services de nettoyage de bâtiments </w:t>
                  </w:r>
                </w:p>
                <w:p w14:paraId="64E4901C" w14:textId="72ADAAB2" w:rsidR="00DA2BB4" w:rsidRPr="00DA2BB4" w:rsidRDefault="00DA2BB4" w:rsidP="00DA2BB4">
                  <w:pPr>
                    <w:autoSpaceDE w:val="0"/>
                    <w:autoSpaceDN w:val="0"/>
                    <w:adjustRightInd w:val="0"/>
                    <w:rPr>
                      <w:rFonts w:eastAsiaTheme="minorHAnsi" w:cs="Arial"/>
                      <w:color w:val="000000"/>
                      <w:sz w:val="20"/>
                      <w:szCs w:val="20"/>
                      <w:lang w:eastAsia="en-US"/>
                    </w:rPr>
                  </w:pPr>
                </w:p>
              </w:tc>
            </w:tr>
            <w:tr w:rsidR="00DA2BB4" w:rsidRPr="00DA2BB4" w14:paraId="7DB39539" w14:textId="77777777" w:rsidTr="00DA2BB4">
              <w:trPr>
                <w:trHeight w:val="93"/>
              </w:trPr>
              <w:tc>
                <w:tcPr>
                  <w:tcW w:w="2327" w:type="dxa"/>
                </w:tcPr>
                <w:p w14:paraId="6288BA2F"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90911300-9 </w:t>
                  </w:r>
                </w:p>
              </w:tc>
              <w:tc>
                <w:tcPr>
                  <w:tcW w:w="4402" w:type="dxa"/>
                </w:tcPr>
                <w:p w14:paraId="15E8A182" w14:textId="77777777" w:rsid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Services de nettoyage de vitres </w:t>
                  </w:r>
                </w:p>
                <w:p w14:paraId="325B9017" w14:textId="70660C09" w:rsidR="00DA2BB4" w:rsidRPr="00DA2BB4" w:rsidRDefault="00DA2BB4" w:rsidP="00DA2BB4">
                  <w:pPr>
                    <w:autoSpaceDE w:val="0"/>
                    <w:autoSpaceDN w:val="0"/>
                    <w:adjustRightInd w:val="0"/>
                    <w:rPr>
                      <w:rFonts w:eastAsiaTheme="minorHAnsi" w:cs="Arial"/>
                      <w:color w:val="000000"/>
                      <w:sz w:val="20"/>
                      <w:szCs w:val="20"/>
                      <w:lang w:eastAsia="en-US"/>
                    </w:rPr>
                  </w:pPr>
                </w:p>
              </w:tc>
            </w:tr>
            <w:tr w:rsidR="00DA2BB4" w:rsidRPr="00DA2BB4" w14:paraId="7F3615A9" w14:textId="77777777" w:rsidTr="00DA2BB4">
              <w:trPr>
                <w:trHeight w:val="93"/>
              </w:trPr>
              <w:tc>
                <w:tcPr>
                  <w:tcW w:w="2327" w:type="dxa"/>
                </w:tcPr>
                <w:p w14:paraId="6D70A7DC"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90919200-4 </w:t>
                  </w:r>
                </w:p>
              </w:tc>
              <w:tc>
                <w:tcPr>
                  <w:tcW w:w="4402" w:type="dxa"/>
                </w:tcPr>
                <w:p w14:paraId="15E4A261" w14:textId="77777777" w:rsidR="00DA2BB4" w:rsidRPr="00DA2BB4" w:rsidRDefault="00DA2BB4" w:rsidP="00DA2BB4">
                  <w:pPr>
                    <w:autoSpaceDE w:val="0"/>
                    <w:autoSpaceDN w:val="0"/>
                    <w:adjustRightInd w:val="0"/>
                    <w:rPr>
                      <w:rFonts w:eastAsiaTheme="minorHAnsi" w:cs="Arial"/>
                      <w:color w:val="000000"/>
                      <w:sz w:val="20"/>
                      <w:szCs w:val="20"/>
                      <w:lang w:eastAsia="en-US"/>
                    </w:rPr>
                  </w:pPr>
                  <w:r w:rsidRPr="00DA2BB4">
                    <w:rPr>
                      <w:rFonts w:eastAsiaTheme="minorHAnsi" w:cs="Arial"/>
                      <w:color w:val="000000"/>
                      <w:sz w:val="20"/>
                      <w:szCs w:val="20"/>
                      <w:lang w:eastAsia="en-US"/>
                    </w:rPr>
                    <w:t xml:space="preserve">Services de nettoyage de bureaux </w:t>
                  </w:r>
                </w:p>
              </w:tc>
            </w:tr>
          </w:tbl>
          <w:p w14:paraId="3E2B47F8" w14:textId="5D5AACA5" w:rsidR="00B2412A" w:rsidRPr="00DD68E3" w:rsidRDefault="00B2412A" w:rsidP="00E43143">
            <w:pPr>
              <w:keepLines/>
              <w:rPr>
                <w:rFonts w:cs="Arial"/>
                <w:szCs w:val="20"/>
                <w:highlight w:val="yellow"/>
              </w:rPr>
            </w:pPr>
          </w:p>
        </w:tc>
      </w:tr>
    </w:tbl>
    <w:p w14:paraId="6277620E" w14:textId="19A02218" w:rsidR="00FF735A" w:rsidRDefault="00FF735A" w:rsidP="00C76CD3"/>
    <w:p w14:paraId="2F48BE8C" w14:textId="309C3E65" w:rsidR="0032156A" w:rsidRDefault="0032156A" w:rsidP="00C76CD3"/>
    <w:p w14:paraId="75126E99" w14:textId="5D8927CC" w:rsidR="0032156A" w:rsidRDefault="0032156A" w:rsidP="00C76CD3"/>
    <w:p w14:paraId="71C89E70" w14:textId="3C624A75" w:rsidR="0032156A" w:rsidRDefault="0032156A" w:rsidP="00C76CD3"/>
    <w:p w14:paraId="21CF417F" w14:textId="6D10EC07" w:rsidR="0032156A" w:rsidRDefault="0032156A" w:rsidP="00C76CD3"/>
    <w:p w14:paraId="25A39374" w14:textId="795E3E33" w:rsidR="00685000" w:rsidRPr="00685000" w:rsidRDefault="00685000" w:rsidP="00685000">
      <w:pPr>
        <w:pStyle w:val="Titre1"/>
        <w:keepLines/>
        <w:suppressAutoHyphens/>
        <w:autoSpaceDN w:val="0"/>
        <w:spacing w:before="240"/>
        <w:textAlignment w:val="baseline"/>
        <w:rPr>
          <w:rFonts w:asciiTheme="majorHAnsi" w:hAnsiTheme="majorHAnsi" w:cstheme="majorBidi"/>
          <w:b w:val="0"/>
          <w:bCs w:val="0"/>
          <w:caps w:val="0"/>
          <w:color w:val="2F5496" w:themeColor="accent1" w:themeShade="BF"/>
          <w:sz w:val="32"/>
          <w:szCs w:val="32"/>
        </w:rPr>
      </w:pPr>
      <w:bookmarkStart w:id="15" w:name="_Toc115958923"/>
      <w:r w:rsidRPr="00685000">
        <w:rPr>
          <w:rFonts w:asciiTheme="majorHAnsi" w:hAnsiTheme="majorHAnsi" w:cstheme="majorBidi"/>
          <w:b w:val="0"/>
          <w:bCs w:val="0"/>
          <w:caps w:val="0"/>
          <w:color w:val="2F5496" w:themeColor="accent1" w:themeShade="BF"/>
          <w:sz w:val="32"/>
          <w:szCs w:val="32"/>
        </w:rPr>
        <w:t>Article 2 : Conditions de la consultation</w:t>
      </w:r>
      <w:bookmarkEnd w:id="14"/>
      <w:bookmarkEnd w:id="15"/>
    </w:p>
    <w:p w14:paraId="0F5C9B44" w14:textId="77777777" w:rsidR="00685000" w:rsidRPr="009414BC" w:rsidRDefault="00685000" w:rsidP="00685000">
      <w:pPr>
        <w:spacing w:before="240" w:after="60"/>
        <w:outlineLvl w:val="1"/>
        <w:rPr>
          <w:rFonts w:cs="Arial"/>
          <w:i/>
          <w:sz w:val="24"/>
          <w:szCs w:val="20"/>
          <w:u w:val="single"/>
        </w:rPr>
      </w:pPr>
      <w:bookmarkStart w:id="16" w:name="_Toc454959815"/>
      <w:bookmarkStart w:id="17" w:name="_Toc115958924"/>
      <w:r w:rsidRPr="009414BC">
        <w:rPr>
          <w:rFonts w:cs="Arial"/>
          <w:i/>
          <w:sz w:val="24"/>
          <w:szCs w:val="20"/>
          <w:u w:val="single"/>
        </w:rPr>
        <w:t>2.1 - Durée du marché - Délais d’exécution</w:t>
      </w:r>
      <w:bookmarkEnd w:id="16"/>
      <w:bookmarkEnd w:id="17"/>
    </w:p>
    <w:p w14:paraId="6EBD362C" w14:textId="77777777" w:rsidR="00685000" w:rsidRPr="009414BC" w:rsidRDefault="00685000" w:rsidP="00685000">
      <w:pPr>
        <w:keepLines/>
        <w:tabs>
          <w:tab w:val="left" w:pos="567"/>
          <w:tab w:val="left" w:pos="851"/>
          <w:tab w:val="left" w:pos="1134"/>
        </w:tabs>
        <w:jc w:val="both"/>
        <w:rPr>
          <w:rFonts w:cs="Arial"/>
          <w:szCs w:val="20"/>
        </w:rPr>
      </w:pPr>
    </w:p>
    <w:p w14:paraId="0AEDD4EC" w14:textId="77777777" w:rsidR="00454A2B" w:rsidRDefault="00454A2B" w:rsidP="00454A2B">
      <w:pPr>
        <w:keepNext/>
        <w:spacing w:before="240" w:after="60"/>
        <w:jc w:val="both"/>
        <w:rPr>
          <w:rStyle w:val="eop"/>
          <w:rFonts w:cs="Arial"/>
          <w:szCs w:val="22"/>
          <w:shd w:val="clear" w:color="auto" w:fill="FFFFFF"/>
        </w:rPr>
      </w:pPr>
      <w:bookmarkStart w:id="18" w:name="_Toc454959816"/>
      <w:r>
        <w:rPr>
          <w:rStyle w:val="normaltextrun"/>
          <w:szCs w:val="22"/>
          <w:shd w:val="clear" w:color="auto" w:fill="FFFFFF"/>
        </w:rPr>
        <w:t xml:space="preserve">L'accord-cadre est conclu pour une période </w:t>
      </w:r>
      <w:r w:rsidRPr="002B5479">
        <w:rPr>
          <w:rStyle w:val="normaltextrun"/>
          <w:rFonts w:cs="Arial"/>
          <w:szCs w:val="22"/>
        </w:rPr>
        <w:t>initiale de 2 ans.</w:t>
      </w:r>
      <w:r>
        <w:rPr>
          <w:rStyle w:val="normaltextrun"/>
          <w:szCs w:val="22"/>
          <w:shd w:val="clear" w:color="auto" w:fill="FFFFFF"/>
        </w:rPr>
        <w:t>  L'accord-cadre est conclu à compter de la date de notification du contrat. </w:t>
      </w:r>
      <w:r>
        <w:rPr>
          <w:rStyle w:val="eop"/>
          <w:rFonts w:cs="Arial"/>
          <w:szCs w:val="22"/>
          <w:shd w:val="clear" w:color="auto" w:fill="FFFFFF"/>
        </w:rPr>
        <w:t> </w:t>
      </w:r>
    </w:p>
    <w:p w14:paraId="27F0ED30" w14:textId="54BA5222" w:rsidR="00E243A7" w:rsidRPr="00740C08" w:rsidRDefault="00E243A7" w:rsidP="00E243A7">
      <w:pPr>
        <w:keepNext/>
        <w:spacing w:before="240" w:after="60"/>
        <w:ind w:left="284"/>
        <w:jc w:val="both"/>
        <w:rPr>
          <w:rFonts w:cs="Arial"/>
          <w:szCs w:val="20"/>
          <w:u w:val="single"/>
        </w:rPr>
      </w:pPr>
      <w:r w:rsidRPr="00740C08">
        <w:rPr>
          <w:rFonts w:cs="Arial"/>
          <w:szCs w:val="20"/>
          <w:u w:val="single"/>
        </w:rPr>
        <w:t>Reconduction :</w:t>
      </w:r>
    </w:p>
    <w:p w14:paraId="01722C3A" w14:textId="77777777" w:rsidR="00454A2B" w:rsidRPr="002B5479" w:rsidRDefault="00454A2B" w:rsidP="00454A2B">
      <w:pPr>
        <w:pStyle w:val="paragraph"/>
        <w:spacing w:before="0" w:beforeAutospacing="0" w:after="0" w:afterAutospacing="0"/>
        <w:jc w:val="both"/>
        <w:textAlignment w:val="baseline"/>
        <w:rPr>
          <w:rStyle w:val="normaltextrun"/>
          <w:rFonts w:ascii="Arial" w:hAnsi="Arial" w:cs="Arial"/>
          <w:sz w:val="22"/>
          <w:szCs w:val="22"/>
        </w:rPr>
      </w:pPr>
      <w:r w:rsidRPr="002B5479">
        <w:rPr>
          <w:rStyle w:val="normaltextrun"/>
          <w:rFonts w:ascii="Arial" w:hAnsi="Arial" w:cs="Arial"/>
          <w:sz w:val="22"/>
          <w:szCs w:val="22"/>
        </w:rPr>
        <w:t>Après les deux ans de la période initiale, l'accord-cadre est reconduit tacitement jusqu'à son terme. Le nombre de périodes de reconduction est fixé à 2. La durée de chaque période de reconduction est de 1 an. La durée maximale du contrat, toutes périodes confondues, est de 4 ans. </w:t>
      </w:r>
      <w:r w:rsidRPr="002B5479">
        <w:rPr>
          <w:rStyle w:val="normaltextrun"/>
          <w:rFonts w:ascii="Arial" w:hAnsi="Arial" w:cs="Arial"/>
        </w:rPr>
        <w:t> </w:t>
      </w:r>
    </w:p>
    <w:p w14:paraId="14175A41" w14:textId="5B00FD08" w:rsidR="00454A2B" w:rsidRPr="002B5479" w:rsidRDefault="00454A2B" w:rsidP="00454A2B">
      <w:pPr>
        <w:pStyle w:val="paragraph"/>
        <w:spacing w:before="0" w:beforeAutospacing="0" w:after="0" w:afterAutospacing="0"/>
        <w:jc w:val="both"/>
        <w:textAlignment w:val="baseline"/>
        <w:rPr>
          <w:rFonts w:ascii="Segoe UI" w:hAnsi="Segoe UI" w:cs="Segoe UI"/>
          <w:sz w:val="18"/>
          <w:szCs w:val="18"/>
        </w:rPr>
      </w:pPr>
      <w:r w:rsidRPr="002B5479">
        <w:rPr>
          <w:rStyle w:val="normaltextrun"/>
          <w:rFonts w:ascii="Arial" w:hAnsi="Arial" w:cs="Arial"/>
          <w:sz w:val="22"/>
          <w:szCs w:val="22"/>
        </w:rPr>
        <w:t>La reconduction est considérée comme acceptée si aucune décision écrite contraire n'est prise par GEM 3 mois avant la fin de la durée de validité de l'accord-cadre. Le titulaire ne peut pas refuser la reconduction.</w:t>
      </w:r>
      <w:r w:rsidRPr="002B5479">
        <w:rPr>
          <w:rStyle w:val="eop"/>
          <w:sz w:val="22"/>
          <w:szCs w:val="22"/>
        </w:rPr>
        <w:t> </w:t>
      </w:r>
    </w:p>
    <w:p w14:paraId="60C8210E" w14:textId="69285854" w:rsidR="00E243A7" w:rsidRPr="0032156A" w:rsidRDefault="00454A2B" w:rsidP="00454A2B">
      <w:pPr>
        <w:keepNext/>
        <w:spacing w:before="240" w:after="60"/>
        <w:jc w:val="both"/>
        <w:rPr>
          <w:rFonts w:cs="Arial"/>
          <w:sz w:val="24"/>
        </w:rPr>
      </w:pPr>
      <w:r w:rsidRPr="002B5479">
        <w:rPr>
          <w:rFonts w:cs="Arial"/>
          <w:sz w:val="24"/>
        </w:rPr>
        <w:t>Les délais d’</w:t>
      </w:r>
      <w:r w:rsidR="00740C08" w:rsidRPr="002B5479">
        <w:rPr>
          <w:rFonts w:cs="Arial"/>
          <w:sz w:val="24"/>
        </w:rPr>
        <w:t>exécution</w:t>
      </w:r>
      <w:r w:rsidRPr="002B5479">
        <w:rPr>
          <w:rFonts w:cs="Arial"/>
          <w:sz w:val="24"/>
        </w:rPr>
        <w:t xml:space="preserve"> sont</w:t>
      </w:r>
      <w:r>
        <w:rPr>
          <w:rFonts w:cs="Arial"/>
          <w:sz w:val="24"/>
        </w:rPr>
        <w:t xml:space="preserve"> précisés dans le CCTP ou le seront sur le bon de commande lorsqu’il s’agira de prestation</w:t>
      </w:r>
      <w:r w:rsidR="002C140D">
        <w:rPr>
          <w:rFonts w:cs="Arial"/>
          <w:sz w:val="24"/>
        </w:rPr>
        <w:t>s</w:t>
      </w:r>
      <w:r>
        <w:rPr>
          <w:rFonts w:cs="Arial"/>
          <w:sz w:val="24"/>
        </w:rPr>
        <w:t xml:space="preserve"> complémentaire</w:t>
      </w:r>
      <w:r w:rsidR="002C140D">
        <w:rPr>
          <w:rFonts w:cs="Arial"/>
          <w:sz w:val="24"/>
        </w:rPr>
        <w:t>s</w:t>
      </w:r>
      <w:r w:rsidR="00740C08">
        <w:rPr>
          <w:rFonts w:cs="Arial"/>
          <w:sz w:val="24"/>
        </w:rPr>
        <w:t xml:space="preserve"> commandées selon BPU</w:t>
      </w:r>
      <w:r w:rsidR="00E243A7" w:rsidRPr="0032156A">
        <w:rPr>
          <w:rFonts w:cs="Arial"/>
          <w:sz w:val="24"/>
        </w:rPr>
        <w:t>.</w:t>
      </w:r>
    </w:p>
    <w:p w14:paraId="10379D26" w14:textId="77777777" w:rsidR="00685000" w:rsidRPr="009414BC" w:rsidRDefault="00685000" w:rsidP="00563910">
      <w:pPr>
        <w:spacing w:before="240" w:after="60"/>
        <w:outlineLvl w:val="1"/>
        <w:rPr>
          <w:rFonts w:cs="Arial"/>
          <w:i/>
          <w:sz w:val="24"/>
          <w:szCs w:val="20"/>
          <w:u w:val="single"/>
        </w:rPr>
      </w:pPr>
      <w:bookmarkStart w:id="19" w:name="_Toc115958925"/>
      <w:r w:rsidRPr="009414BC">
        <w:rPr>
          <w:rFonts w:cs="Arial"/>
          <w:i/>
          <w:sz w:val="24"/>
          <w:szCs w:val="20"/>
          <w:u w:val="single"/>
        </w:rPr>
        <w:t>2.2 - Variantes</w:t>
      </w:r>
      <w:bookmarkEnd w:id="18"/>
      <w:bookmarkEnd w:id="19"/>
      <w:r w:rsidRPr="009414BC">
        <w:rPr>
          <w:rFonts w:cs="Arial"/>
          <w:i/>
          <w:sz w:val="24"/>
          <w:szCs w:val="20"/>
          <w:u w:val="single"/>
        </w:rPr>
        <w:t xml:space="preserve"> </w:t>
      </w:r>
    </w:p>
    <w:p w14:paraId="40946CDB" w14:textId="39F6D65B" w:rsidR="00685000" w:rsidRDefault="008468DE" w:rsidP="00685000">
      <w:pPr>
        <w:keepLines/>
        <w:tabs>
          <w:tab w:val="left" w:pos="567"/>
          <w:tab w:val="left" w:pos="851"/>
          <w:tab w:val="left" w:pos="1134"/>
        </w:tabs>
        <w:jc w:val="both"/>
        <w:rPr>
          <w:rFonts w:cs="Arial"/>
          <w:szCs w:val="20"/>
        </w:rPr>
      </w:pPr>
      <w:r>
        <w:rPr>
          <w:rFonts w:cs="Arial"/>
          <w:szCs w:val="20"/>
        </w:rPr>
        <w:t>Il est demandé une variante innovation que le pouvoir adjudicateur choisira ou non d’activer.</w:t>
      </w:r>
    </w:p>
    <w:p w14:paraId="1920F44A" w14:textId="06A0AA34" w:rsidR="002C7F13" w:rsidRDefault="002C7F13" w:rsidP="00AD38F5">
      <w:pPr>
        <w:keepLines/>
        <w:tabs>
          <w:tab w:val="left" w:pos="567"/>
          <w:tab w:val="left" w:pos="851"/>
          <w:tab w:val="left" w:pos="1134"/>
        </w:tabs>
        <w:jc w:val="both"/>
        <w:rPr>
          <w:rFonts w:cs="Arial"/>
          <w:szCs w:val="20"/>
        </w:rPr>
      </w:pPr>
    </w:p>
    <w:p w14:paraId="6637B73A" w14:textId="27DA8C5A" w:rsidR="00FF735A" w:rsidRPr="00BE3794" w:rsidRDefault="00FF735A" w:rsidP="00FF735A">
      <w:pPr>
        <w:spacing w:before="240" w:after="60"/>
        <w:outlineLvl w:val="1"/>
        <w:rPr>
          <w:rFonts w:cs="Arial"/>
          <w:i/>
          <w:sz w:val="24"/>
          <w:szCs w:val="20"/>
          <w:u w:val="single"/>
        </w:rPr>
      </w:pPr>
      <w:bookmarkStart w:id="20" w:name="_Toc454959812"/>
      <w:bookmarkStart w:id="21" w:name="_Toc115958926"/>
      <w:r>
        <w:rPr>
          <w:rFonts w:cs="Arial"/>
          <w:i/>
          <w:sz w:val="24"/>
          <w:szCs w:val="20"/>
          <w:u w:val="single"/>
        </w:rPr>
        <w:t>2.3</w:t>
      </w:r>
      <w:r w:rsidRPr="00BE3794">
        <w:rPr>
          <w:rFonts w:cs="Arial"/>
          <w:i/>
          <w:sz w:val="24"/>
          <w:szCs w:val="20"/>
          <w:u w:val="single"/>
        </w:rPr>
        <w:t xml:space="preserve"> - Conditions d</w:t>
      </w:r>
      <w:r>
        <w:rPr>
          <w:rFonts w:cs="Arial"/>
          <w:i/>
          <w:sz w:val="24"/>
          <w:szCs w:val="20"/>
          <w:u w:val="single"/>
        </w:rPr>
        <w:t>e</w:t>
      </w:r>
      <w:r w:rsidRPr="00BE3794">
        <w:rPr>
          <w:rFonts w:cs="Arial"/>
          <w:i/>
          <w:sz w:val="24"/>
          <w:szCs w:val="20"/>
          <w:u w:val="single"/>
        </w:rPr>
        <w:t xml:space="preserve"> participation des concurrents</w:t>
      </w:r>
      <w:bookmarkEnd w:id="20"/>
      <w:bookmarkEnd w:id="21"/>
    </w:p>
    <w:p w14:paraId="027D229C" w14:textId="77777777" w:rsidR="00FF735A" w:rsidRPr="00BE3794" w:rsidRDefault="00FF735A" w:rsidP="00FF735A">
      <w:pPr>
        <w:widowControl w:val="0"/>
        <w:tabs>
          <w:tab w:val="left" w:pos="567"/>
          <w:tab w:val="left" w:pos="851"/>
          <w:tab w:val="left" w:pos="1134"/>
        </w:tabs>
        <w:jc w:val="both"/>
        <w:rPr>
          <w:rFonts w:cs="Arial"/>
          <w:szCs w:val="20"/>
        </w:rPr>
      </w:pPr>
    </w:p>
    <w:p w14:paraId="15A57BCA" w14:textId="77777777" w:rsidR="00FF735A" w:rsidRPr="0032156A" w:rsidRDefault="00FF735A" w:rsidP="00FF735A">
      <w:pPr>
        <w:keepLines/>
        <w:tabs>
          <w:tab w:val="left" w:pos="567"/>
          <w:tab w:val="left" w:pos="851"/>
          <w:tab w:val="left" w:pos="1134"/>
        </w:tabs>
        <w:jc w:val="both"/>
        <w:rPr>
          <w:rFonts w:cs="Arial"/>
          <w:sz w:val="24"/>
        </w:rPr>
      </w:pPr>
      <w:r w:rsidRPr="0032156A">
        <w:rPr>
          <w:rFonts w:cs="Arial"/>
          <w:sz w:val="24"/>
        </w:rPr>
        <w:t>L’offre devra indiquer tous les sous-traitants connus lors de son dépôt. Elle devra également indiquer les prestations dont la sous-traitance est envisagée, la dénomination et la qualité des sous-traitants qui l’exécuteront à la place du titulaire.</w:t>
      </w:r>
    </w:p>
    <w:p w14:paraId="117BB7FF" w14:textId="77777777" w:rsidR="00FF735A" w:rsidRPr="002C7F13" w:rsidRDefault="00FF735A" w:rsidP="00AD38F5">
      <w:pPr>
        <w:keepLines/>
        <w:tabs>
          <w:tab w:val="left" w:pos="567"/>
          <w:tab w:val="left" w:pos="851"/>
          <w:tab w:val="left" w:pos="1134"/>
        </w:tabs>
        <w:jc w:val="both"/>
        <w:rPr>
          <w:rFonts w:cs="Arial"/>
          <w:szCs w:val="20"/>
        </w:rPr>
      </w:pPr>
    </w:p>
    <w:p w14:paraId="20486F7C" w14:textId="7128E8F1" w:rsidR="00685000" w:rsidRDefault="00685000" w:rsidP="00685000">
      <w:pPr>
        <w:spacing w:before="240" w:after="60"/>
        <w:outlineLvl w:val="1"/>
        <w:rPr>
          <w:rFonts w:cs="Arial"/>
          <w:i/>
          <w:sz w:val="24"/>
          <w:szCs w:val="20"/>
          <w:u w:val="single"/>
        </w:rPr>
      </w:pPr>
      <w:bookmarkStart w:id="22" w:name="_Toc115958927"/>
      <w:r w:rsidRPr="009414BC">
        <w:rPr>
          <w:rFonts w:cs="Arial"/>
          <w:i/>
          <w:sz w:val="24"/>
          <w:szCs w:val="20"/>
          <w:u w:val="single"/>
        </w:rPr>
        <w:t>2.</w:t>
      </w:r>
      <w:r w:rsidR="00FF735A">
        <w:rPr>
          <w:rFonts w:cs="Arial"/>
          <w:i/>
          <w:sz w:val="24"/>
          <w:szCs w:val="20"/>
          <w:u w:val="single"/>
        </w:rPr>
        <w:t>4</w:t>
      </w:r>
      <w:r w:rsidRPr="009414BC">
        <w:rPr>
          <w:rFonts w:cs="Arial"/>
          <w:i/>
          <w:sz w:val="24"/>
          <w:szCs w:val="20"/>
          <w:u w:val="single"/>
        </w:rPr>
        <w:t xml:space="preserve"> - Forme juridique du groupement</w:t>
      </w:r>
      <w:bookmarkEnd w:id="22"/>
    </w:p>
    <w:p w14:paraId="15E9AF28" w14:textId="77777777" w:rsidR="00685000" w:rsidRDefault="00685000" w:rsidP="00685000">
      <w:pPr>
        <w:keepLines/>
        <w:tabs>
          <w:tab w:val="left" w:pos="567"/>
          <w:tab w:val="left" w:pos="851"/>
          <w:tab w:val="left" w:pos="1134"/>
        </w:tabs>
        <w:jc w:val="both"/>
        <w:rPr>
          <w:rFonts w:cs="Arial"/>
          <w:szCs w:val="20"/>
        </w:rPr>
      </w:pPr>
    </w:p>
    <w:p w14:paraId="40F15378" w14:textId="63836FB4" w:rsidR="002C7F13" w:rsidRPr="0032156A" w:rsidRDefault="002C7F13" w:rsidP="00685000">
      <w:pPr>
        <w:keepLines/>
        <w:tabs>
          <w:tab w:val="left" w:pos="567"/>
          <w:tab w:val="left" w:pos="851"/>
          <w:tab w:val="left" w:pos="1134"/>
        </w:tabs>
        <w:jc w:val="both"/>
        <w:rPr>
          <w:rFonts w:cs="Arial"/>
          <w:sz w:val="24"/>
        </w:rPr>
      </w:pPr>
      <w:r w:rsidRPr="0032156A">
        <w:rPr>
          <w:rFonts w:cs="Arial"/>
          <w:sz w:val="24"/>
        </w:rPr>
        <w:t xml:space="preserve">En cas de groupement, </w:t>
      </w:r>
      <w:r w:rsidR="00C76CD3" w:rsidRPr="0032156A">
        <w:rPr>
          <w:rFonts w:cs="Arial"/>
          <w:sz w:val="24"/>
        </w:rPr>
        <w:t xml:space="preserve">il est exigé que le </w:t>
      </w:r>
      <w:r w:rsidRPr="0032156A">
        <w:rPr>
          <w:rFonts w:cs="Arial"/>
          <w:sz w:val="24"/>
        </w:rPr>
        <w:t xml:space="preserve">groupement </w:t>
      </w:r>
      <w:r w:rsidR="00C76CD3" w:rsidRPr="0032156A">
        <w:rPr>
          <w:rFonts w:cs="Arial"/>
          <w:sz w:val="24"/>
        </w:rPr>
        <w:t xml:space="preserve">soit </w:t>
      </w:r>
      <w:r w:rsidRPr="0032156A">
        <w:rPr>
          <w:rFonts w:cs="Arial"/>
          <w:sz w:val="24"/>
        </w:rPr>
        <w:t>solidaire ou conjoint avec mandataire solidaire.</w:t>
      </w:r>
    </w:p>
    <w:p w14:paraId="051BF671" w14:textId="6B84658C" w:rsidR="00685000" w:rsidRPr="009414BC" w:rsidRDefault="00685000" w:rsidP="00685000">
      <w:pPr>
        <w:spacing w:before="240" w:after="60"/>
        <w:outlineLvl w:val="1"/>
        <w:rPr>
          <w:rFonts w:cs="Arial"/>
          <w:i/>
          <w:sz w:val="24"/>
          <w:szCs w:val="20"/>
          <w:u w:val="single"/>
        </w:rPr>
      </w:pPr>
      <w:bookmarkStart w:id="23" w:name="_Toc454959817"/>
      <w:bookmarkStart w:id="24" w:name="_Toc115958928"/>
      <w:r w:rsidRPr="009414BC">
        <w:rPr>
          <w:rFonts w:cs="Arial"/>
          <w:i/>
          <w:sz w:val="24"/>
          <w:szCs w:val="20"/>
          <w:u w:val="single"/>
        </w:rPr>
        <w:t>2.</w:t>
      </w:r>
      <w:r w:rsidR="00FF735A">
        <w:rPr>
          <w:rFonts w:cs="Arial"/>
          <w:i/>
          <w:sz w:val="24"/>
          <w:szCs w:val="20"/>
          <w:u w:val="single"/>
        </w:rPr>
        <w:t>5</w:t>
      </w:r>
      <w:r w:rsidRPr="009414BC">
        <w:rPr>
          <w:rFonts w:cs="Arial"/>
          <w:i/>
          <w:sz w:val="24"/>
          <w:szCs w:val="20"/>
          <w:u w:val="single"/>
        </w:rPr>
        <w:t xml:space="preserve"> - Délai de validité des offres</w:t>
      </w:r>
      <w:bookmarkEnd w:id="23"/>
      <w:bookmarkEnd w:id="24"/>
    </w:p>
    <w:p w14:paraId="1CCA0A58" w14:textId="77777777" w:rsidR="00685000" w:rsidRPr="009414BC" w:rsidRDefault="00685000" w:rsidP="00685000">
      <w:pPr>
        <w:keepLines/>
        <w:tabs>
          <w:tab w:val="left" w:pos="567"/>
          <w:tab w:val="left" w:pos="851"/>
          <w:tab w:val="left" w:pos="1134"/>
        </w:tabs>
        <w:jc w:val="both"/>
        <w:rPr>
          <w:rFonts w:cs="Arial"/>
          <w:szCs w:val="20"/>
        </w:rPr>
      </w:pPr>
    </w:p>
    <w:p w14:paraId="0DFB9BC7" w14:textId="57D49857" w:rsidR="00685000" w:rsidRPr="0032156A" w:rsidRDefault="00685000" w:rsidP="00685000">
      <w:pPr>
        <w:keepLines/>
        <w:tabs>
          <w:tab w:val="left" w:pos="567"/>
          <w:tab w:val="left" w:pos="851"/>
          <w:tab w:val="left" w:pos="1134"/>
        </w:tabs>
        <w:jc w:val="both"/>
        <w:rPr>
          <w:rFonts w:cs="Arial"/>
          <w:sz w:val="24"/>
        </w:rPr>
      </w:pPr>
      <w:r w:rsidRPr="0032156A">
        <w:rPr>
          <w:rFonts w:cs="Arial"/>
          <w:sz w:val="24"/>
        </w:rPr>
        <w:t xml:space="preserve">Le délai de validité des offres est </w:t>
      </w:r>
      <w:r w:rsidRPr="002B5479">
        <w:rPr>
          <w:rFonts w:cs="Arial"/>
          <w:sz w:val="24"/>
        </w:rPr>
        <w:t xml:space="preserve">fixé à </w:t>
      </w:r>
      <w:r w:rsidR="00DE753B" w:rsidRPr="002B5479">
        <w:rPr>
          <w:rFonts w:cs="Arial"/>
          <w:sz w:val="24"/>
        </w:rPr>
        <w:t>90</w:t>
      </w:r>
      <w:r w:rsidRPr="002B5479">
        <w:rPr>
          <w:rFonts w:cs="Arial"/>
          <w:sz w:val="24"/>
        </w:rPr>
        <w:t> jours à compter</w:t>
      </w:r>
      <w:r w:rsidRPr="0032156A">
        <w:rPr>
          <w:rFonts w:cs="Arial"/>
          <w:sz w:val="24"/>
        </w:rPr>
        <w:t xml:space="preserve"> de la date limite de réception des offres.</w:t>
      </w:r>
    </w:p>
    <w:p w14:paraId="0893D18D" w14:textId="02EEF903" w:rsidR="00685000" w:rsidRPr="009414BC" w:rsidRDefault="00685000" w:rsidP="00685000">
      <w:pPr>
        <w:spacing w:before="240" w:after="60"/>
        <w:outlineLvl w:val="1"/>
        <w:rPr>
          <w:rFonts w:cs="Arial"/>
          <w:i/>
          <w:sz w:val="24"/>
          <w:szCs w:val="20"/>
          <w:u w:val="single"/>
        </w:rPr>
      </w:pPr>
      <w:bookmarkStart w:id="25" w:name="_Toc454959818"/>
      <w:bookmarkStart w:id="26" w:name="_Toc115958929"/>
      <w:r>
        <w:rPr>
          <w:rFonts w:cs="Arial"/>
          <w:i/>
          <w:sz w:val="24"/>
          <w:szCs w:val="20"/>
          <w:u w:val="single"/>
        </w:rPr>
        <w:t>2.</w:t>
      </w:r>
      <w:r w:rsidR="00FF735A">
        <w:rPr>
          <w:rFonts w:cs="Arial"/>
          <w:i/>
          <w:sz w:val="24"/>
          <w:szCs w:val="20"/>
          <w:u w:val="single"/>
        </w:rPr>
        <w:t>6</w:t>
      </w:r>
      <w:r w:rsidRPr="009414BC">
        <w:rPr>
          <w:rFonts w:cs="Arial"/>
          <w:i/>
          <w:sz w:val="24"/>
          <w:szCs w:val="20"/>
          <w:u w:val="single"/>
        </w:rPr>
        <w:t xml:space="preserve"> - </w:t>
      </w:r>
      <w:bookmarkEnd w:id="25"/>
      <w:r w:rsidRPr="007644B0">
        <w:rPr>
          <w:rFonts w:cs="Arial"/>
          <w:i/>
          <w:sz w:val="24"/>
          <w:szCs w:val="20"/>
          <w:u w:val="single"/>
        </w:rPr>
        <w:t>Mode de règlement d</w:t>
      </w:r>
      <w:r w:rsidR="00563910">
        <w:rPr>
          <w:rFonts w:cs="Arial"/>
          <w:i/>
          <w:sz w:val="24"/>
          <w:szCs w:val="20"/>
          <w:u w:val="single"/>
        </w:rPr>
        <w:t xml:space="preserve">u </w:t>
      </w:r>
      <w:r w:rsidRPr="007644B0">
        <w:rPr>
          <w:rFonts w:cs="Arial"/>
          <w:i/>
          <w:sz w:val="24"/>
          <w:szCs w:val="20"/>
          <w:u w:val="single"/>
        </w:rPr>
        <w:t>marché et modalités de financement</w:t>
      </w:r>
      <w:bookmarkEnd w:id="26"/>
    </w:p>
    <w:p w14:paraId="29DAC0CD" w14:textId="77777777" w:rsidR="00685000" w:rsidRPr="009414BC" w:rsidRDefault="00685000" w:rsidP="00685000">
      <w:pPr>
        <w:keepLines/>
        <w:tabs>
          <w:tab w:val="left" w:pos="567"/>
          <w:tab w:val="left" w:pos="851"/>
          <w:tab w:val="left" w:pos="1134"/>
        </w:tabs>
        <w:jc w:val="both"/>
        <w:rPr>
          <w:rFonts w:cs="Arial"/>
          <w:szCs w:val="20"/>
        </w:rPr>
      </w:pPr>
    </w:p>
    <w:p w14:paraId="48234340" w14:textId="77777777" w:rsidR="00685000" w:rsidRPr="0032156A" w:rsidRDefault="00685000" w:rsidP="00685000">
      <w:pPr>
        <w:keepLines/>
        <w:tabs>
          <w:tab w:val="left" w:pos="567"/>
          <w:tab w:val="left" w:pos="851"/>
          <w:tab w:val="left" w:pos="1134"/>
        </w:tabs>
        <w:jc w:val="both"/>
        <w:rPr>
          <w:rFonts w:cs="Arial"/>
          <w:sz w:val="24"/>
        </w:rPr>
      </w:pPr>
      <w:r w:rsidRPr="0032156A">
        <w:rPr>
          <w:rFonts w:cs="Arial"/>
          <w:sz w:val="24"/>
        </w:rPr>
        <w:t xml:space="preserve">Les prestations seront financées </w:t>
      </w:r>
      <w:r w:rsidR="00AD38F5" w:rsidRPr="0032156A">
        <w:rPr>
          <w:rFonts w:cs="Arial"/>
          <w:sz w:val="24"/>
        </w:rPr>
        <w:t xml:space="preserve">sur </w:t>
      </w:r>
      <w:r w:rsidR="00643E0B" w:rsidRPr="0032156A">
        <w:rPr>
          <w:rFonts w:cs="Arial"/>
          <w:sz w:val="24"/>
        </w:rPr>
        <w:t xml:space="preserve">fonds </w:t>
      </w:r>
      <w:r w:rsidR="00AD38F5" w:rsidRPr="0032156A">
        <w:rPr>
          <w:rFonts w:cs="Arial"/>
          <w:sz w:val="24"/>
        </w:rPr>
        <w:t>propres de GEM</w:t>
      </w:r>
      <w:r w:rsidRPr="0032156A">
        <w:rPr>
          <w:rFonts w:cs="Arial"/>
          <w:sz w:val="24"/>
        </w:rPr>
        <w:t xml:space="preserve">. </w:t>
      </w:r>
    </w:p>
    <w:p w14:paraId="0BD7D2BB" w14:textId="77777777" w:rsidR="00685000" w:rsidRPr="0032156A" w:rsidRDefault="00685000" w:rsidP="00685000">
      <w:pPr>
        <w:keepLines/>
        <w:tabs>
          <w:tab w:val="left" w:pos="567"/>
          <w:tab w:val="left" w:pos="851"/>
          <w:tab w:val="left" w:pos="1134"/>
        </w:tabs>
        <w:jc w:val="both"/>
        <w:rPr>
          <w:rFonts w:cs="Arial"/>
          <w:sz w:val="24"/>
        </w:rPr>
      </w:pPr>
    </w:p>
    <w:p w14:paraId="71BC19A9" w14:textId="3F7D8963" w:rsidR="00685000" w:rsidRDefault="002C7F13" w:rsidP="00685000">
      <w:pPr>
        <w:keepLines/>
        <w:tabs>
          <w:tab w:val="left" w:pos="567"/>
          <w:tab w:val="left" w:pos="851"/>
          <w:tab w:val="left" w:pos="1134"/>
        </w:tabs>
        <w:jc w:val="both"/>
        <w:rPr>
          <w:rFonts w:cs="Arial"/>
          <w:sz w:val="24"/>
        </w:rPr>
      </w:pPr>
      <w:r w:rsidRPr="0032156A">
        <w:rPr>
          <w:rFonts w:cs="Arial"/>
          <w:sz w:val="24"/>
        </w:rPr>
        <w:t>Paiements selon</w:t>
      </w:r>
      <w:r w:rsidR="00685000" w:rsidRPr="0032156A">
        <w:rPr>
          <w:rFonts w:cs="Arial"/>
          <w:sz w:val="24"/>
        </w:rPr>
        <w:t xml:space="preserve"> Cahier des Clauses Administratives Particulières (C.C.A.P.). Les sommes dues au(x) titulaire(s) et au(x) sous-traitant(s) de premier rang éventuel(s) du marché, seront payées dans un délai global de 30 jours à compter de la date de réception des factures ou des demandes de paiement équivalentes.</w:t>
      </w:r>
    </w:p>
    <w:p w14:paraId="4E0C62F8" w14:textId="7DF8E43F" w:rsidR="0032156A" w:rsidRDefault="0032156A" w:rsidP="00685000">
      <w:pPr>
        <w:keepLines/>
        <w:tabs>
          <w:tab w:val="left" w:pos="567"/>
          <w:tab w:val="left" w:pos="851"/>
          <w:tab w:val="left" w:pos="1134"/>
        </w:tabs>
        <w:jc w:val="both"/>
        <w:rPr>
          <w:rFonts w:cs="Arial"/>
          <w:sz w:val="24"/>
        </w:rPr>
      </w:pPr>
    </w:p>
    <w:p w14:paraId="7860DFBA" w14:textId="77777777" w:rsidR="0032156A" w:rsidRPr="0032156A" w:rsidRDefault="0032156A" w:rsidP="00685000">
      <w:pPr>
        <w:keepLines/>
        <w:tabs>
          <w:tab w:val="left" w:pos="567"/>
          <w:tab w:val="left" w:pos="851"/>
          <w:tab w:val="left" w:pos="1134"/>
        </w:tabs>
        <w:jc w:val="both"/>
        <w:rPr>
          <w:rFonts w:cs="Arial"/>
          <w:sz w:val="24"/>
        </w:rPr>
      </w:pPr>
    </w:p>
    <w:p w14:paraId="58315E68" w14:textId="6D39EEFC" w:rsidR="00685000" w:rsidRDefault="00685000" w:rsidP="00685000">
      <w:pPr>
        <w:pStyle w:val="Titre1"/>
        <w:keepLines/>
        <w:suppressAutoHyphens/>
        <w:autoSpaceDN w:val="0"/>
        <w:spacing w:before="240"/>
        <w:textAlignment w:val="baseline"/>
        <w:rPr>
          <w:rFonts w:asciiTheme="majorHAnsi" w:hAnsiTheme="majorHAnsi" w:cstheme="majorBidi"/>
          <w:b w:val="0"/>
          <w:bCs w:val="0"/>
          <w:caps w:val="0"/>
          <w:color w:val="2F5496" w:themeColor="accent1" w:themeShade="BF"/>
          <w:sz w:val="32"/>
          <w:szCs w:val="32"/>
        </w:rPr>
      </w:pPr>
      <w:bookmarkStart w:id="27" w:name="_Toc115958930"/>
      <w:r>
        <w:rPr>
          <w:rFonts w:asciiTheme="majorHAnsi" w:hAnsiTheme="majorHAnsi" w:cstheme="majorBidi"/>
          <w:b w:val="0"/>
          <w:bCs w:val="0"/>
          <w:caps w:val="0"/>
          <w:color w:val="2F5496" w:themeColor="accent1" w:themeShade="BF"/>
          <w:sz w:val="32"/>
          <w:szCs w:val="32"/>
        </w:rPr>
        <w:t>A</w:t>
      </w:r>
      <w:r w:rsidRPr="00685000">
        <w:rPr>
          <w:rFonts w:asciiTheme="majorHAnsi" w:hAnsiTheme="majorHAnsi" w:cstheme="majorBidi"/>
          <w:b w:val="0"/>
          <w:bCs w:val="0"/>
          <w:caps w:val="0"/>
          <w:color w:val="2F5496" w:themeColor="accent1" w:themeShade="BF"/>
          <w:sz w:val="32"/>
          <w:szCs w:val="32"/>
        </w:rPr>
        <w:t>rticle 3 : contenu du dossier de consultation</w:t>
      </w:r>
      <w:bookmarkEnd w:id="27"/>
    </w:p>
    <w:p w14:paraId="78FF98EA" w14:textId="77777777" w:rsidR="00685000" w:rsidRPr="00685000" w:rsidRDefault="00685000" w:rsidP="00685000"/>
    <w:p w14:paraId="009A40BF" w14:textId="77777777" w:rsidR="00685000" w:rsidRPr="0032156A" w:rsidRDefault="00685000" w:rsidP="00685000">
      <w:pPr>
        <w:keepLines/>
        <w:tabs>
          <w:tab w:val="left" w:pos="851"/>
          <w:tab w:val="left" w:pos="1134"/>
          <w:tab w:val="left" w:pos="1418"/>
        </w:tabs>
        <w:jc w:val="both"/>
        <w:rPr>
          <w:rFonts w:cs="Arial"/>
          <w:sz w:val="24"/>
        </w:rPr>
      </w:pPr>
      <w:r w:rsidRPr="0032156A">
        <w:rPr>
          <w:rFonts w:cs="Arial"/>
          <w:sz w:val="24"/>
        </w:rPr>
        <w:t>Le dossier de consultation des entreprises (DCE) contient les pièces suivantes :</w:t>
      </w:r>
    </w:p>
    <w:p w14:paraId="2ED01F2C" w14:textId="26B62147" w:rsidR="00DE753B" w:rsidRDefault="00685000" w:rsidP="00DE753B">
      <w:pPr>
        <w:autoSpaceDE w:val="0"/>
        <w:autoSpaceDN w:val="0"/>
        <w:adjustRightInd w:val="0"/>
        <w:spacing w:line="276" w:lineRule="auto"/>
        <w:rPr>
          <w:rFonts w:cs="Arial"/>
          <w:color w:val="000000"/>
          <w:szCs w:val="20"/>
        </w:rPr>
      </w:pPr>
      <w:r w:rsidRPr="0032156A">
        <w:rPr>
          <w:rFonts w:cs="Arial"/>
          <w:sz w:val="24"/>
        </w:rPr>
        <w:t xml:space="preserve">- </w:t>
      </w:r>
      <w:r w:rsidR="00DE753B" w:rsidRPr="00AA0525">
        <w:rPr>
          <w:rFonts w:cs="Arial"/>
          <w:color w:val="000000"/>
          <w:szCs w:val="20"/>
        </w:rPr>
        <w:t xml:space="preserve">L'acte d'engagement (AE) ; </w:t>
      </w:r>
    </w:p>
    <w:p w14:paraId="34275C70" w14:textId="6E133A40" w:rsidR="00766529" w:rsidRPr="00AA0525" w:rsidRDefault="00766529" w:rsidP="00DE753B">
      <w:pPr>
        <w:autoSpaceDE w:val="0"/>
        <w:autoSpaceDN w:val="0"/>
        <w:adjustRightInd w:val="0"/>
        <w:spacing w:line="276" w:lineRule="auto"/>
        <w:rPr>
          <w:rFonts w:cs="Arial"/>
          <w:color w:val="000000"/>
          <w:szCs w:val="20"/>
        </w:rPr>
      </w:pPr>
      <w:r>
        <w:rPr>
          <w:rFonts w:cs="Arial"/>
          <w:color w:val="000000"/>
          <w:szCs w:val="20"/>
        </w:rPr>
        <w:t xml:space="preserve">- Le </w:t>
      </w:r>
      <w:r w:rsidRPr="00AA0525">
        <w:rPr>
          <w:rFonts w:cs="Arial"/>
          <w:color w:val="000000"/>
          <w:szCs w:val="20"/>
        </w:rPr>
        <w:t>présent</w:t>
      </w:r>
      <w:r>
        <w:rPr>
          <w:rFonts w:cs="Arial"/>
          <w:color w:val="000000"/>
          <w:szCs w:val="20"/>
        </w:rPr>
        <w:t xml:space="preserve"> Règlement de Consultation (RC)</w:t>
      </w:r>
    </w:p>
    <w:p w14:paraId="0148B354" w14:textId="03233ED0" w:rsidR="00DE753B" w:rsidRPr="00AA0525" w:rsidRDefault="00DE753B" w:rsidP="00DE753B">
      <w:pPr>
        <w:autoSpaceDE w:val="0"/>
        <w:autoSpaceDN w:val="0"/>
        <w:adjustRightInd w:val="0"/>
        <w:spacing w:line="276" w:lineRule="auto"/>
        <w:rPr>
          <w:rFonts w:cs="Arial"/>
          <w:color w:val="000000"/>
          <w:szCs w:val="20"/>
        </w:rPr>
      </w:pPr>
      <w:r w:rsidRPr="00AA0525">
        <w:rPr>
          <w:rFonts w:cs="Arial"/>
          <w:color w:val="000000"/>
          <w:szCs w:val="20"/>
        </w:rPr>
        <w:t xml:space="preserve">- Le Cahier des clauses administratives particulières (CCAP) ; </w:t>
      </w:r>
    </w:p>
    <w:p w14:paraId="5D1456E9" w14:textId="77777777" w:rsidR="00DE753B" w:rsidRPr="00AA0525" w:rsidRDefault="00DE753B" w:rsidP="00DE753B">
      <w:pPr>
        <w:autoSpaceDE w:val="0"/>
        <w:autoSpaceDN w:val="0"/>
        <w:adjustRightInd w:val="0"/>
        <w:spacing w:line="276" w:lineRule="auto"/>
        <w:rPr>
          <w:rFonts w:cs="Arial"/>
          <w:color w:val="000000"/>
          <w:szCs w:val="20"/>
        </w:rPr>
      </w:pPr>
      <w:r w:rsidRPr="00AA0525">
        <w:rPr>
          <w:rFonts w:cs="Arial"/>
          <w:color w:val="000000"/>
          <w:szCs w:val="20"/>
        </w:rPr>
        <w:t xml:space="preserve">- Le Cahier des clauses techniques particulières (CCTP) et ses annexes ; </w:t>
      </w:r>
    </w:p>
    <w:p w14:paraId="705707BA" w14:textId="77777777" w:rsidR="00DE753B" w:rsidRPr="00AA0525" w:rsidRDefault="00DE753B" w:rsidP="00DE753B">
      <w:pPr>
        <w:autoSpaceDE w:val="0"/>
        <w:autoSpaceDN w:val="0"/>
        <w:adjustRightInd w:val="0"/>
        <w:spacing w:line="276" w:lineRule="auto"/>
        <w:rPr>
          <w:rFonts w:cs="Arial"/>
          <w:color w:val="000000"/>
          <w:szCs w:val="20"/>
        </w:rPr>
      </w:pPr>
      <w:r w:rsidRPr="00AA0525">
        <w:rPr>
          <w:rFonts w:cs="Arial"/>
          <w:color w:val="000000"/>
          <w:szCs w:val="20"/>
        </w:rPr>
        <w:t>- Le bordereau de la Décomposition du Prix Global et Forfaitaire (DPGF) et des Prix Unitaires / Devis Quantitatif Estimatif (BPU/DQE)</w:t>
      </w:r>
    </w:p>
    <w:p w14:paraId="55D06321" w14:textId="77777777" w:rsidR="00DE753B" w:rsidRPr="00AA0525" w:rsidRDefault="00DE753B" w:rsidP="00DE753B">
      <w:pPr>
        <w:autoSpaceDE w:val="0"/>
        <w:autoSpaceDN w:val="0"/>
        <w:adjustRightInd w:val="0"/>
        <w:spacing w:line="276" w:lineRule="auto"/>
        <w:rPr>
          <w:rFonts w:cs="Arial"/>
          <w:color w:val="000000"/>
          <w:szCs w:val="20"/>
        </w:rPr>
      </w:pPr>
      <w:r w:rsidRPr="00AA0525">
        <w:rPr>
          <w:rFonts w:cs="Arial"/>
          <w:color w:val="000000"/>
          <w:szCs w:val="20"/>
        </w:rPr>
        <w:t xml:space="preserve">- </w:t>
      </w:r>
      <w:r w:rsidRPr="00AD1DD0">
        <w:rPr>
          <w:rFonts w:cs="Arial"/>
          <w:color w:val="000000"/>
          <w:szCs w:val="20"/>
        </w:rPr>
        <w:t>Le Cadre de Réponse Technique (CRT) ;</w:t>
      </w:r>
      <w:r w:rsidRPr="00AA0525">
        <w:rPr>
          <w:rFonts w:cs="Arial"/>
          <w:color w:val="000000"/>
          <w:szCs w:val="20"/>
        </w:rPr>
        <w:t xml:space="preserve"> </w:t>
      </w:r>
    </w:p>
    <w:p w14:paraId="3677CCDE" w14:textId="77777777" w:rsidR="00DE753B" w:rsidRPr="00AA0525" w:rsidRDefault="00DE753B" w:rsidP="00DE753B">
      <w:pPr>
        <w:autoSpaceDE w:val="0"/>
        <w:autoSpaceDN w:val="0"/>
        <w:adjustRightInd w:val="0"/>
        <w:spacing w:line="276" w:lineRule="auto"/>
        <w:rPr>
          <w:rFonts w:cs="Arial"/>
          <w:color w:val="000000"/>
          <w:szCs w:val="20"/>
        </w:rPr>
      </w:pPr>
      <w:r w:rsidRPr="00AA0525">
        <w:rPr>
          <w:rFonts w:cs="Arial"/>
          <w:color w:val="000000"/>
          <w:szCs w:val="20"/>
        </w:rPr>
        <w:t xml:space="preserve">- Le Cahier des clauses administratives générales (CCAG) applicables aux marchés publics de fournitures courantes et de services, approuvé par l'arrêté du 30 mars 2021 ; </w:t>
      </w:r>
    </w:p>
    <w:p w14:paraId="3567A4EA" w14:textId="77777777" w:rsidR="00DE753B" w:rsidRPr="00AA0525" w:rsidRDefault="00DE753B" w:rsidP="00DE753B">
      <w:pPr>
        <w:spacing w:line="276" w:lineRule="auto"/>
        <w:jc w:val="both"/>
        <w:rPr>
          <w:rFonts w:cs="Arial"/>
          <w:color w:val="000000"/>
          <w:szCs w:val="20"/>
        </w:rPr>
      </w:pPr>
      <w:r w:rsidRPr="00AA0525">
        <w:rPr>
          <w:rFonts w:cs="Arial"/>
          <w:color w:val="000000"/>
          <w:szCs w:val="20"/>
        </w:rPr>
        <w:t>- La charte des achats responsables</w:t>
      </w:r>
    </w:p>
    <w:p w14:paraId="5CADB1E6" w14:textId="35057E6E" w:rsidR="00685000" w:rsidRPr="005A6917" w:rsidRDefault="00685000" w:rsidP="00DE753B">
      <w:pPr>
        <w:keepLines/>
        <w:tabs>
          <w:tab w:val="left" w:pos="851"/>
          <w:tab w:val="left" w:pos="1134"/>
          <w:tab w:val="left" w:pos="1418"/>
        </w:tabs>
        <w:jc w:val="both"/>
        <w:rPr>
          <w:rFonts w:cs="Arial"/>
          <w:szCs w:val="20"/>
        </w:rPr>
      </w:pPr>
    </w:p>
    <w:p w14:paraId="0E8EBC4B" w14:textId="77777777" w:rsidR="00685000" w:rsidRPr="0032156A" w:rsidRDefault="00685000" w:rsidP="00662493">
      <w:pPr>
        <w:keepLines/>
        <w:tabs>
          <w:tab w:val="left" w:pos="851"/>
          <w:tab w:val="left" w:pos="1134"/>
          <w:tab w:val="left" w:pos="1418"/>
        </w:tabs>
        <w:rPr>
          <w:rFonts w:cs="Arial"/>
          <w:sz w:val="24"/>
          <w:u w:val="single"/>
        </w:rPr>
      </w:pPr>
      <w:r w:rsidRPr="0032156A">
        <w:rPr>
          <w:rFonts w:cs="Arial"/>
          <w:sz w:val="24"/>
        </w:rPr>
        <w:t xml:space="preserve">Il est disponible gratuitement à l’adresse électronique suivante : </w:t>
      </w:r>
      <w:hyperlink r:id="rId9" w:history="1">
        <w:r w:rsidR="002C7F13" w:rsidRPr="0032156A">
          <w:rPr>
            <w:rStyle w:val="Lienhypertexte"/>
            <w:sz w:val="24"/>
          </w:rPr>
          <w:t>www.marches-publics.gouv.fr/</w:t>
        </w:r>
      </w:hyperlink>
    </w:p>
    <w:p w14:paraId="14DA46C4" w14:textId="77777777" w:rsidR="00685000" w:rsidRPr="0032156A" w:rsidRDefault="00685000" w:rsidP="00685000">
      <w:pPr>
        <w:keepLines/>
        <w:tabs>
          <w:tab w:val="left" w:pos="851"/>
          <w:tab w:val="left" w:pos="1134"/>
          <w:tab w:val="left" w:pos="1418"/>
        </w:tabs>
        <w:jc w:val="both"/>
        <w:rPr>
          <w:rFonts w:cs="Arial"/>
          <w:sz w:val="24"/>
          <w:u w:val="single"/>
        </w:rPr>
      </w:pPr>
    </w:p>
    <w:p w14:paraId="14D9858D" w14:textId="77777777" w:rsidR="00685000" w:rsidRPr="0032156A" w:rsidRDefault="00685000" w:rsidP="00685000">
      <w:pPr>
        <w:pStyle w:val="RedTxt"/>
        <w:jc w:val="both"/>
        <w:rPr>
          <w:sz w:val="24"/>
          <w:szCs w:val="24"/>
        </w:rPr>
      </w:pPr>
      <w:r w:rsidRPr="0032156A">
        <w:rPr>
          <w:sz w:val="24"/>
          <w:szCs w:val="24"/>
        </w:rPr>
        <w:t>Les soumissionnaires pourront s'authentifier sur le site et notamment indiquer une adresse courriel électronique permettant de façon certaine une correspondance électronique notamment pour l'envoi d'éventuels compléments, précisions ou rectifications.</w:t>
      </w:r>
    </w:p>
    <w:p w14:paraId="77E53C79" w14:textId="77777777" w:rsidR="00685000" w:rsidRPr="0032156A" w:rsidRDefault="00685000" w:rsidP="00685000">
      <w:pPr>
        <w:pStyle w:val="RedTxt"/>
        <w:jc w:val="both"/>
        <w:rPr>
          <w:sz w:val="24"/>
          <w:szCs w:val="24"/>
        </w:rPr>
      </w:pPr>
    </w:p>
    <w:p w14:paraId="304DEE63" w14:textId="77777777" w:rsidR="00685000" w:rsidRPr="0032156A" w:rsidRDefault="00685000" w:rsidP="00685000">
      <w:pPr>
        <w:pStyle w:val="RedTxt"/>
        <w:jc w:val="both"/>
        <w:rPr>
          <w:b/>
          <w:sz w:val="24"/>
          <w:szCs w:val="24"/>
        </w:rPr>
      </w:pPr>
      <w:r w:rsidRPr="0032156A">
        <w:rPr>
          <w:b/>
          <w:sz w:val="24"/>
          <w:szCs w:val="24"/>
        </w:rPr>
        <w:t xml:space="preserve">Les candidats sont informés que l'authentification lors du téléchargement du Dossier de Consultation des Entreprises (DCE) est vivement recommandée, elle permet, tout au long de la procédure, de recevoir les informations relatives à la procédure : modifications de dates, rectificatifs/compléments au DCE, </w:t>
      </w:r>
      <w:proofErr w:type="gramStart"/>
      <w:r w:rsidRPr="0032156A">
        <w:rPr>
          <w:b/>
          <w:sz w:val="24"/>
          <w:szCs w:val="24"/>
        </w:rPr>
        <w:t>etc..</w:t>
      </w:r>
      <w:proofErr w:type="gramEnd"/>
      <w:r w:rsidRPr="0032156A">
        <w:rPr>
          <w:b/>
          <w:sz w:val="24"/>
          <w:szCs w:val="24"/>
        </w:rPr>
        <w:t xml:space="preserve"> </w:t>
      </w:r>
    </w:p>
    <w:p w14:paraId="38BF0C54" w14:textId="77777777" w:rsidR="00685000" w:rsidRPr="00F144D6" w:rsidRDefault="00685000" w:rsidP="00685000">
      <w:pPr>
        <w:pStyle w:val="RedTxt"/>
        <w:jc w:val="both"/>
        <w:rPr>
          <w:b/>
          <w:sz w:val="22"/>
          <w:szCs w:val="20"/>
        </w:rPr>
      </w:pPr>
    </w:p>
    <w:p w14:paraId="1448CD7B" w14:textId="1A715DF5" w:rsidR="00685000" w:rsidRPr="00685000" w:rsidRDefault="00685000" w:rsidP="00685000">
      <w:pPr>
        <w:pStyle w:val="Titre1"/>
        <w:keepLines/>
        <w:suppressAutoHyphens/>
        <w:autoSpaceDN w:val="0"/>
        <w:spacing w:before="240"/>
        <w:textAlignment w:val="baseline"/>
        <w:rPr>
          <w:rFonts w:asciiTheme="majorHAnsi" w:hAnsiTheme="majorHAnsi" w:cstheme="majorBidi"/>
          <w:b w:val="0"/>
          <w:bCs w:val="0"/>
          <w:caps w:val="0"/>
          <w:color w:val="2F5496" w:themeColor="accent1" w:themeShade="BF"/>
          <w:sz w:val="32"/>
          <w:szCs w:val="32"/>
        </w:rPr>
      </w:pPr>
      <w:bookmarkStart w:id="28" w:name="_Toc430338910"/>
      <w:bookmarkStart w:id="29" w:name="_Toc115958931"/>
      <w:r>
        <w:rPr>
          <w:rFonts w:asciiTheme="majorHAnsi" w:hAnsiTheme="majorHAnsi" w:cstheme="majorBidi"/>
          <w:b w:val="0"/>
          <w:bCs w:val="0"/>
          <w:caps w:val="0"/>
          <w:color w:val="2F5496" w:themeColor="accent1" w:themeShade="BF"/>
          <w:sz w:val="32"/>
          <w:szCs w:val="32"/>
        </w:rPr>
        <w:lastRenderedPageBreak/>
        <w:t>Article 4 : pré</w:t>
      </w:r>
      <w:r w:rsidRPr="00685000">
        <w:rPr>
          <w:rFonts w:asciiTheme="majorHAnsi" w:hAnsiTheme="majorHAnsi" w:cstheme="majorBidi"/>
          <w:b w:val="0"/>
          <w:bCs w:val="0"/>
          <w:caps w:val="0"/>
          <w:color w:val="2F5496" w:themeColor="accent1" w:themeShade="BF"/>
          <w:sz w:val="32"/>
          <w:szCs w:val="32"/>
        </w:rPr>
        <w:t>sentation des candidatures et des offres</w:t>
      </w:r>
      <w:bookmarkEnd w:id="28"/>
      <w:bookmarkEnd w:id="29"/>
    </w:p>
    <w:p w14:paraId="47FFAECA" w14:textId="5E711B1B" w:rsidR="00685000" w:rsidRDefault="00685000" w:rsidP="00685000">
      <w:pPr>
        <w:spacing w:before="240" w:after="60"/>
        <w:outlineLvl w:val="1"/>
        <w:rPr>
          <w:rFonts w:cs="Arial"/>
          <w:i/>
          <w:sz w:val="24"/>
          <w:szCs w:val="20"/>
          <w:u w:val="single"/>
        </w:rPr>
      </w:pPr>
      <w:bookmarkStart w:id="30" w:name="_Toc115958932"/>
      <w:r w:rsidRPr="00EE1CC6">
        <w:rPr>
          <w:rFonts w:cs="Arial"/>
          <w:i/>
          <w:sz w:val="24"/>
          <w:szCs w:val="20"/>
          <w:u w:val="single"/>
        </w:rPr>
        <w:t>4.1 – Présentation des plis</w:t>
      </w:r>
      <w:bookmarkEnd w:id="30"/>
      <w:r>
        <w:rPr>
          <w:rFonts w:cs="Arial"/>
          <w:i/>
          <w:sz w:val="24"/>
          <w:szCs w:val="20"/>
          <w:u w:val="single"/>
        </w:rPr>
        <w:t xml:space="preserve"> </w:t>
      </w:r>
    </w:p>
    <w:p w14:paraId="3429CF9F" w14:textId="77777777" w:rsidR="00C76CD3" w:rsidRPr="002C2DD9" w:rsidRDefault="00C76CD3" w:rsidP="00685000">
      <w:pPr>
        <w:spacing w:before="240" w:after="60"/>
        <w:outlineLvl w:val="1"/>
        <w:rPr>
          <w:rFonts w:cs="Arial"/>
          <w:i/>
          <w:sz w:val="24"/>
          <w:szCs w:val="20"/>
          <w:u w:val="single"/>
        </w:rPr>
      </w:pPr>
    </w:p>
    <w:p w14:paraId="36E163AF" w14:textId="582A9D32" w:rsidR="00643E0B" w:rsidRPr="0032156A" w:rsidRDefault="00643E0B" w:rsidP="00685000">
      <w:pPr>
        <w:tabs>
          <w:tab w:val="left" w:pos="1159"/>
        </w:tabs>
        <w:spacing w:line="280" w:lineRule="exact"/>
        <w:ind w:right="-1"/>
        <w:jc w:val="both"/>
        <w:rPr>
          <w:sz w:val="24"/>
        </w:rPr>
      </w:pPr>
      <w:r w:rsidRPr="0032156A">
        <w:rPr>
          <w:sz w:val="24"/>
        </w:rPr>
        <w:t xml:space="preserve">Les plis seront obligatoirement remis par voie électronique sur le </w:t>
      </w:r>
      <w:r w:rsidR="00C76CD3" w:rsidRPr="0032156A">
        <w:rPr>
          <w:sz w:val="24"/>
        </w:rPr>
        <w:t>profil acheteur de GEM à l’adresse : www.marches-publics.gouv.fr</w:t>
      </w:r>
    </w:p>
    <w:p w14:paraId="2DD0D9DA" w14:textId="77777777" w:rsidR="00C76CD3" w:rsidRPr="0032156A" w:rsidRDefault="00C76CD3" w:rsidP="00685000">
      <w:pPr>
        <w:tabs>
          <w:tab w:val="left" w:pos="1159"/>
        </w:tabs>
        <w:spacing w:line="280" w:lineRule="exact"/>
        <w:ind w:right="-1"/>
        <w:jc w:val="both"/>
        <w:rPr>
          <w:sz w:val="24"/>
        </w:rPr>
      </w:pPr>
    </w:p>
    <w:p w14:paraId="7FBA046A" w14:textId="77777777" w:rsidR="00685000" w:rsidRPr="0032156A" w:rsidRDefault="00685000" w:rsidP="00685000">
      <w:pPr>
        <w:tabs>
          <w:tab w:val="left" w:pos="1159"/>
        </w:tabs>
        <w:spacing w:line="280" w:lineRule="exact"/>
        <w:ind w:right="-1"/>
        <w:jc w:val="both"/>
        <w:rPr>
          <w:sz w:val="24"/>
        </w:rPr>
      </w:pPr>
      <w:r w:rsidRPr="0032156A">
        <w:rPr>
          <w:sz w:val="24"/>
        </w:rPr>
        <w:t>Chaque candidat présentera sa candidature selon l'une des modalités suivantes :</w:t>
      </w:r>
    </w:p>
    <w:p w14:paraId="1E486087" w14:textId="77777777" w:rsidR="00685000" w:rsidRPr="0032156A" w:rsidRDefault="00685000" w:rsidP="00685000">
      <w:pPr>
        <w:tabs>
          <w:tab w:val="left" w:pos="1159"/>
        </w:tabs>
        <w:spacing w:line="280" w:lineRule="exact"/>
        <w:ind w:right="-1"/>
        <w:jc w:val="both"/>
        <w:rPr>
          <w:sz w:val="24"/>
        </w:rPr>
      </w:pPr>
    </w:p>
    <w:p w14:paraId="5B478C3A" w14:textId="5D8AE329" w:rsidR="00685000" w:rsidRPr="0032156A" w:rsidRDefault="0030155E" w:rsidP="00685000">
      <w:pPr>
        <w:numPr>
          <w:ilvl w:val="0"/>
          <w:numId w:val="6"/>
        </w:numPr>
        <w:tabs>
          <w:tab w:val="left" w:pos="1159"/>
        </w:tabs>
        <w:spacing w:line="280" w:lineRule="exact"/>
        <w:ind w:right="-1"/>
        <w:jc w:val="both"/>
        <w:rPr>
          <w:bCs/>
          <w:sz w:val="24"/>
          <w:u w:val="single"/>
        </w:rPr>
      </w:pPr>
      <w:r w:rsidRPr="0032156A">
        <w:rPr>
          <w:bCs/>
          <w:sz w:val="24"/>
          <w:u w:val="single"/>
        </w:rPr>
        <w:t xml:space="preserve">Choix 1 : </w:t>
      </w:r>
      <w:r w:rsidR="00685000" w:rsidRPr="0032156A">
        <w:rPr>
          <w:bCs/>
          <w:sz w:val="24"/>
          <w:u w:val="single"/>
        </w:rPr>
        <w:t>en utilisant les formulaires DC1 et DC2 (version 201</w:t>
      </w:r>
      <w:r w:rsidRPr="0032156A">
        <w:rPr>
          <w:bCs/>
          <w:sz w:val="24"/>
          <w:u w:val="single"/>
        </w:rPr>
        <w:t>9</w:t>
      </w:r>
      <w:r w:rsidR="00685000" w:rsidRPr="0032156A">
        <w:rPr>
          <w:bCs/>
          <w:sz w:val="24"/>
          <w:u w:val="single"/>
        </w:rPr>
        <w:t>) et en fournissant les pièces listées ci-dessous</w:t>
      </w:r>
    </w:p>
    <w:p w14:paraId="62DB86C1" w14:textId="77777777" w:rsidR="00685000" w:rsidRPr="0032156A" w:rsidRDefault="00685000" w:rsidP="00685000">
      <w:pPr>
        <w:tabs>
          <w:tab w:val="left" w:pos="1159"/>
        </w:tabs>
        <w:spacing w:line="280" w:lineRule="exact"/>
        <w:ind w:right="-1"/>
        <w:jc w:val="both"/>
        <w:rPr>
          <w:bCs/>
          <w:sz w:val="24"/>
          <w:u w:val="single"/>
        </w:rPr>
      </w:pPr>
    </w:p>
    <w:p w14:paraId="1ACD735B" w14:textId="52415A50" w:rsidR="00685000" w:rsidRPr="0032156A" w:rsidRDefault="0030155E" w:rsidP="00685000">
      <w:pPr>
        <w:numPr>
          <w:ilvl w:val="0"/>
          <w:numId w:val="6"/>
        </w:numPr>
        <w:tabs>
          <w:tab w:val="left" w:pos="1159"/>
        </w:tabs>
        <w:spacing w:line="280" w:lineRule="exact"/>
        <w:ind w:right="-1"/>
        <w:jc w:val="both"/>
        <w:rPr>
          <w:bCs/>
          <w:sz w:val="24"/>
          <w:u w:val="single"/>
        </w:rPr>
      </w:pPr>
      <w:r w:rsidRPr="0032156A">
        <w:rPr>
          <w:bCs/>
          <w:sz w:val="24"/>
          <w:u w:val="single"/>
        </w:rPr>
        <w:t xml:space="preserve">Choix 2 : </w:t>
      </w:r>
      <w:r w:rsidR="00685000" w:rsidRPr="0032156A">
        <w:rPr>
          <w:bCs/>
          <w:sz w:val="24"/>
          <w:u w:val="single"/>
        </w:rPr>
        <w:t xml:space="preserve">en utilisant le DUME (document unique de marché européen). Dans ce cas seul le formulaire doit être rempli et il est inutile de fournir immédiatement les documents justificatifs : ils vous seront demandés dans un second temps si vous </w:t>
      </w:r>
      <w:r w:rsidR="00FF735A" w:rsidRPr="0032156A">
        <w:rPr>
          <w:bCs/>
          <w:sz w:val="24"/>
          <w:u w:val="single"/>
        </w:rPr>
        <w:t>êtes</w:t>
      </w:r>
      <w:r w:rsidR="00685000" w:rsidRPr="0032156A">
        <w:rPr>
          <w:bCs/>
          <w:sz w:val="24"/>
          <w:u w:val="single"/>
        </w:rPr>
        <w:t xml:space="preserve"> attributaire de l'accord cadre</w:t>
      </w:r>
    </w:p>
    <w:p w14:paraId="56CF2A59" w14:textId="77777777" w:rsidR="00685000" w:rsidRPr="0032156A" w:rsidRDefault="00685000" w:rsidP="00685000">
      <w:pPr>
        <w:tabs>
          <w:tab w:val="left" w:pos="1159"/>
        </w:tabs>
        <w:spacing w:line="280" w:lineRule="exact"/>
        <w:ind w:right="-1"/>
        <w:jc w:val="both"/>
        <w:rPr>
          <w:bCs/>
          <w:sz w:val="24"/>
          <w:u w:val="single"/>
        </w:rPr>
      </w:pPr>
    </w:p>
    <w:p w14:paraId="64986C53" w14:textId="799F4394" w:rsidR="00685000" w:rsidRPr="0032156A" w:rsidRDefault="00685000" w:rsidP="00685000">
      <w:pPr>
        <w:numPr>
          <w:ilvl w:val="0"/>
          <w:numId w:val="6"/>
        </w:numPr>
        <w:tabs>
          <w:tab w:val="left" w:pos="1159"/>
        </w:tabs>
        <w:spacing w:line="280" w:lineRule="exact"/>
        <w:ind w:right="-1"/>
        <w:jc w:val="both"/>
        <w:rPr>
          <w:bCs/>
          <w:sz w:val="24"/>
        </w:rPr>
      </w:pPr>
      <w:r w:rsidRPr="0032156A">
        <w:rPr>
          <w:bCs/>
          <w:sz w:val="24"/>
        </w:rPr>
        <w:t xml:space="preserve">Dans </w:t>
      </w:r>
      <w:r w:rsidR="0030155E" w:rsidRPr="0032156A">
        <w:rPr>
          <w:bCs/>
          <w:sz w:val="24"/>
        </w:rPr>
        <w:t>les deux cas</w:t>
      </w:r>
      <w:r w:rsidRPr="0032156A">
        <w:rPr>
          <w:bCs/>
          <w:sz w:val="24"/>
        </w:rPr>
        <w:t>, le candidat pourra fournir directement les documents ou les mettre à disposition sur un espace de stockage numérique, accessible gratuitement pour l'acheteur et en lui fournissant les informations d'accès nécessaires. Si le candidat a déjà fourni ces pièces dans une précédente consultation, il n’est pas tenu de les fournir à nouveau (sauf pièces périmées)</w:t>
      </w:r>
    </w:p>
    <w:p w14:paraId="46809DBE" w14:textId="77777777" w:rsidR="00685000" w:rsidRPr="00F24178" w:rsidRDefault="00685000" w:rsidP="00685000">
      <w:pPr>
        <w:tabs>
          <w:tab w:val="left" w:pos="1159"/>
        </w:tabs>
        <w:spacing w:line="280" w:lineRule="exact"/>
        <w:ind w:right="-1"/>
        <w:jc w:val="both"/>
      </w:pPr>
    </w:p>
    <w:p w14:paraId="4F3069F3" w14:textId="113ECA9C" w:rsidR="00685000" w:rsidRDefault="00685000" w:rsidP="00685000">
      <w:pPr>
        <w:pStyle w:val="Textebrut"/>
        <w:rPr>
          <w:rFonts w:ascii="Arial" w:hAnsi="Arial" w:cs="Arial"/>
          <w:b/>
          <w:sz w:val="22"/>
          <w:szCs w:val="22"/>
          <w:u w:val="single"/>
        </w:rPr>
      </w:pPr>
    </w:p>
    <w:p w14:paraId="30EF7AF2" w14:textId="77777777" w:rsidR="00FF735A" w:rsidRDefault="00FF735A" w:rsidP="00685000">
      <w:pPr>
        <w:pStyle w:val="Textebrut"/>
        <w:rPr>
          <w:rFonts w:ascii="Arial" w:hAnsi="Arial" w:cs="Arial"/>
          <w:b/>
          <w:sz w:val="22"/>
          <w:szCs w:val="22"/>
          <w:u w:val="single"/>
        </w:rPr>
      </w:pPr>
    </w:p>
    <w:p w14:paraId="0F5D66A6" w14:textId="3CC88B42" w:rsidR="00685000" w:rsidRPr="00FF735A" w:rsidRDefault="00440CBB" w:rsidP="00685000">
      <w:pPr>
        <w:pStyle w:val="Textebrut"/>
        <w:rPr>
          <w:rFonts w:ascii="Arial" w:hAnsi="Arial" w:cs="Arial"/>
          <w:bCs/>
          <w:sz w:val="22"/>
          <w:szCs w:val="22"/>
          <w:u w:val="single"/>
        </w:rPr>
      </w:pPr>
      <w:r w:rsidRPr="00FF735A">
        <w:rPr>
          <w:rFonts w:ascii="Arial" w:hAnsi="Arial" w:cs="Arial"/>
          <w:bCs/>
          <w:sz w:val="22"/>
          <w:szCs w:val="22"/>
          <w:u w:val="single"/>
        </w:rPr>
        <w:t xml:space="preserve">4.1.1 </w:t>
      </w:r>
      <w:r w:rsidR="00685000" w:rsidRPr="00FF735A">
        <w:rPr>
          <w:rFonts w:ascii="Arial" w:hAnsi="Arial" w:cs="Arial"/>
          <w:bCs/>
          <w:sz w:val="22"/>
          <w:szCs w:val="22"/>
          <w:u w:val="single"/>
        </w:rPr>
        <w:t xml:space="preserve">Dossier candidature (pour le choix </w:t>
      </w:r>
      <w:r w:rsidR="0030155E" w:rsidRPr="00FF735A">
        <w:rPr>
          <w:rFonts w:ascii="Arial" w:hAnsi="Arial" w:cs="Arial"/>
          <w:bCs/>
          <w:sz w:val="22"/>
          <w:szCs w:val="22"/>
          <w:u w:val="single"/>
        </w:rPr>
        <w:t>1</w:t>
      </w:r>
      <w:r w:rsidR="00685000" w:rsidRPr="00FF735A">
        <w:rPr>
          <w:rFonts w:ascii="Arial" w:hAnsi="Arial" w:cs="Arial"/>
          <w:bCs/>
          <w:sz w:val="22"/>
          <w:szCs w:val="22"/>
          <w:u w:val="single"/>
        </w:rPr>
        <w:t xml:space="preserve"> uniquement)</w:t>
      </w:r>
    </w:p>
    <w:p w14:paraId="0D3799D7" w14:textId="77777777" w:rsidR="00685000" w:rsidRDefault="00685000" w:rsidP="00685000">
      <w:pPr>
        <w:pStyle w:val="Textebrut"/>
        <w:rPr>
          <w:rFonts w:ascii="Arial" w:hAnsi="Arial" w:cs="Arial"/>
          <w:sz w:val="22"/>
          <w:szCs w:val="22"/>
        </w:rPr>
      </w:pPr>
    </w:p>
    <w:p w14:paraId="2915950A" w14:textId="77777777" w:rsidR="00685000" w:rsidRPr="0032156A" w:rsidRDefault="00685000" w:rsidP="00685000">
      <w:pPr>
        <w:pStyle w:val="Textebrut"/>
        <w:numPr>
          <w:ilvl w:val="0"/>
          <w:numId w:val="5"/>
        </w:numPr>
        <w:ind w:left="284" w:hanging="284"/>
        <w:rPr>
          <w:rFonts w:ascii="Arial" w:hAnsi="Arial" w:cs="Arial"/>
          <w:sz w:val="24"/>
          <w:szCs w:val="24"/>
        </w:rPr>
      </w:pPr>
      <w:r w:rsidRPr="0032156A">
        <w:rPr>
          <w:rFonts w:ascii="Arial" w:hAnsi="Arial" w:cs="Arial"/>
          <w:sz w:val="24"/>
          <w:szCs w:val="24"/>
        </w:rPr>
        <w:t>Une lettre de candidature (formulaire DC1)</w:t>
      </w:r>
    </w:p>
    <w:p w14:paraId="3C03627F" w14:textId="77777777" w:rsidR="00685000" w:rsidRPr="0032156A" w:rsidRDefault="00685000" w:rsidP="00685000">
      <w:pPr>
        <w:pStyle w:val="Textebrut"/>
        <w:numPr>
          <w:ilvl w:val="0"/>
          <w:numId w:val="5"/>
        </w:numPr>
        <w:ind w:left="284" w:hanging="284"/>
        <w:rPr>
          <w:rFonts w:ascii="Arial" w:hAnsi="Arial" w:cs="Arial"/>
          <w:sz w:val="24"/>
          <w:szCs w:val="24"/>
        </w:rPr>
      </w:pPr>
      <w:r w:rsidRPr="0032156A">
        <w:rPr>
          <w:rFonts w:ascii="Arial" w:hAnsi="Arial" w:cs="Arial"/>
          <w:sz w:val="24"/>
          <w:szCs w:val="24"/>
        </w:rPr>
        <w:t>Une déclaration du candidat (formulaire DC2)</w:t>
      </w:r>
    </w:p>
    <w:p w14:paraId="68E66F03" w14:textId="77777777" w:rsidR="00685000" w:rsidRPr="00F144D6" w:rsidRDefault="00685000" w:rsidP="00685000">
      <w:pPr>
        <w:pStyle w:val="Textebrut"/>
        <w:rPr>
          <w:rFonts w:ascii="Arial" w:hAnsi="Arial" w:cs="Arial"/>
          <w:sz w:val="22"/>
          <w:szCs w:val="22"/>
        </w:rPr>
      </w:pPr>
    </w:p>
    <w:p w14:paraId="6B3DADDD" w14:textId="77777777" w:rsidR="00685000" w:rsidRPr="00F144D6" w:rsidRDefault="00685000" w:rsidP="00685000">
      <w:pPr>
        <w:pStyle w:val="RedTxt"/>
        <w:jc w:val="both"/>
        <w:rPr>
          <w:sz w:val="22"/>
          <w:szCs w:val="20"/>
          <w:u w:val="single"/>
        </w:rPr>
      </w:pPr>
      <w:r w:rsidRPr="00F144D6">
        <w:rPr>
          <w:sz w:val="22"/>
          <w:szCs w:val="20"/>
          <w:u w:val="single"/>
        </w:rPr>
        <w:t xml:space="preserve">I. Les renseignements concernant la situation juridique de l'opérateur économique </w:t>
      </w:r>
    </w:p>
    <w:p w14:paraId="3843E714" w14:textId="77777777" w:rsidR="00685000" w:rsidRPr="00F144D6" w:rsidRDefault="00685000" w:rsidP="00685000">
      <w:pPr>
        <w:pStyle w:val="RedTxt"/>
        <w:jc w:val="both"/>
        <w:rPr>
          <w:sz w:val="22"/>
          <w:szCs w:val="20"/>
        </w:rPr>
      </w:pPr>
    </w:p>
    <w:p w14:paraId="2004C468" w14:textId="77777777" w:rsidR="00685000" w:rsidRPr="0032156A" w:rsidRDefault="00685000" w:rsidP="00685000">
      <w:pPr>
        <w:pStyle w:val="RedTxt"/>
        <w:numPr>
          <w:ilvl w:val="0"/>
          <w:numId w:val="3"/>
        </w:numPr>
        <w:ind w:left="284" w:hanging="284"/>
        <w:jc w:val="both"/>
        <w:rPr>
          <w:sz w:val="24"/>
          <w:szCs w:val="24"/>
        </w:rPr>
      </w:pPr>
      <w:r w:rsidRPr="0032156A">
        <w:rPr>
          <w:sz w:val="24"/>
          <w:szCs w:val="24"/>
        </w:rPr>
        <w:t>La copie du ou des jugements prononcés, s'il est en redressement judiciaire,</w:t>
      </w:r>
    </w:p>
    <w:p w14:paraId="71EF90F6" w14:textId="77777777" w:rsidR="00685000" w:rsidRPr="0032156A" w:rsidRDefault="00685000" w:rsidP="00685000">
      <w:pPr>
        <w:pStyle w:val="RedTxt"/>
        <w:numPr>
          <w:ilvl w:val="0"/>
          <w:numId w:val="3"/>
        </w:numPr>
        <w:ind w:left="284" w:hanging="284"/>
        <w:jc w:val="both"/>
        <w:rPr>
          <w:sz w:val="24"/>
          <w:szCs w:val="24"/>
        </w:rPr>
      </w:pPr>
      <w:r w:rsidRPr="0032156A">
        <w:rPr>
          <w:sz w:val="24"/>
          <w:szCs w:val="24"/>
        </w:rPr>
        <w:t xml:space="preserve">Un extrait </w:t>
      </w:r>
      <w:proofErr w:type="spellStart"/>
      <w:r w:rsidRPr="0032156A">
        <w:rPr>
          <w:sz w:val="24"/>
          <w:szCs w:val="24"/>
        </w:rPr>
        <w:t>Kbis</w:t>
      </w:r>
      <w:proofErr w:type="spellEnd"/>
    </w:p>
    <w:p w14:paraId="0E991CA4" w14:textId="77777777" w:rsidR="00685000" w:rsidRPr="0032156A" w:rsidRDefault="00685000" w:rsidP="00685000">
      <w:pPr>
        <w:pStyle w:val="RedTxt"/>
        <w:numPr>
          <w:ilvl w:val="0"/>
          <w:numId w:val="3"/>
        </w:numPr>
        <w:ind w:left="284" w:hanging="284"/>
        <w:jc w:val="both"/>
        <w:rPr>
          <w:sz w:val="24"/>
          <w:szCs w:val="24"/>
        </w:rPr>
      </w:pPr>
      <w:r w:rsidRPr="0032156A">
        <w:rPr>
          <w:sz w:val="24"/>
          <w:szCs w:val="24"/>
        </w:rPr>
        <w:t>La (les) personne(s) physique(s) ayant le pouvoir d'engager le candidat individuel ou le membre du groupement : (Indiquer le nom, prénom et la qualité de chaque personne. Joindre en annexe un justificatif (pouvoir) prouvant l'habilitation de la personne signataire à engager le candidat,</w:t>
      </w:r>
    </w:p>
    <w:p w14:paraId="22EC6904" w14:textId="77777777" w:rsidR="00685000" w:rsidRPr="00D95BAA" w:rsidRDefault="00685000" w:rsidP="00685000">
      <w:pPr>
        <w:pStyle w:val="RedTxt"/>
        <w:ind w:left="284"/>
        <w:jc w:val="both"/>
        <w:rPr>
          <w:sz w:val="22"/>
          <w:szCs w:val="20"/>
        </w:rPr>
      </w:pPr>
    </w:p>
    <w:p w14:paraId="62858316" w14:textId="77777777" w:rsidR="00685000" w:rsidRDefault="00685000" w:rsidP="00685000">
      <w:pPr>
        <w:pStyle w:val="RedTxt"/>
        <w:jc w:val="both"/>
        <w:rPr>
          <w:sz w:val="22"/>
          <w:szCs w:val="20"/>
          <w:u w:val="single"/>
        </w:rPr>
      </w:pPr>
      <w:r w:rsidRPr="00D95BAA">
        <w:rPr>
          <w:sz w:val="22"/>
          <w:szCs w:val="20"/>
          <w:u w:val="single"/>
        </w:rPr>
        <w:t>II. Les renseignements concernant la capacité et les garanties professionnelles, techniques et financi</w:t>
      </w:r>
      <w:r>
        <w:rPr>
          <w:sz w:val="22"/>
          <w:szCs w:val="20"/>
          <w:u w:val="single"/>
        </w:rPr>
        <w:t>ères de l'opérateur économique,</w:t>
      </w:r>
    </w:p>
    <w:p w14:paraId="3702CB85" w14:textId="77777777" w:rsidR="00685000" w:rsidRPr="00D95BAA" w:rsidRDefault="00685000" w:rsidP="00685000">
      <w:pPr>
        <w:pStyle w:val="RedTxt"/>
        <w:jc w:val="both"/>
        <w:rPr>
          <w:sz w:val="22"/>
          <w:szCs w:val="20"/>
        </w:rPr>
      </w:pPr>
    </w:p>
    <w:p w14:paraId="01466FB5" w14:textId="77777777" w:rsidR="00685000" w:rsidRPr="0032156A" w:rsidRDefault="00685000" w:rsidP="00685000">
      <w:pPr>
        <w:pStyle w:val="RedTxt"/>
        <w:numPr>
          <w:ilvl w:val="0"/>
          <w:numId w:val="4"/>
        </w:numPr>
        <w:ind w:left="284" w:hanging="284"/>
        <w:jc w:val="both"/>
        <w:rPr>
          <w:sz w:val="24"/>
          <w:szCs w:val="24"/>
        </w:rPr>
      </w:pPr>
      <w:r w:rsidRPr="0032156A">
        <w:rPr>
          <w:sz w:val="24"/>
          <w:szCs w:val="24"/>
        </w:rPr>
        <w:t>Une liste des principales références clients au cours des trois dernières années</w:t>
      </w:r>
    </w:p>
    <w:p w14:paraId="063823B0" w14:textId="77777777" w:rsidR="002C7F13" w:rsidRPr="0032156A" w:rsidRDefault="002C7F13" w:rsidP="00EA6744">
      <w:pPr>
        <w:pStyle w:val="RedTxt"/>
        <w:numPr>
          <w:ilvl w:val="0"/>
          <w:numId w:val="4"/>
        </w:numPr>
        <w:ind w:left="284" w:hanging="284"/>
        <w:jc w:val="both"/>
        <w:rPr>
          <w:sz w:val="24"/>
          <w:szCs w:val="24"/>
        </w:rPr>
      </w:pPr>
      <w:r w:rsidRPr="0032156A">
        <w:rPr>
          <w:sz w:val="24"/>
          <w:szCs w:val="24"/>
        </w:rPr>
        <w:t xml:space="preserve">Une attestation d’assurance responsabilité civile </w:t>
      </w:r>
    </w:p>
    <w:p w14:paraId="32BDBB81" w14:textId="77777777" w:rsidR="00685000" w:rsidRPr="0032156A" w:rsidRDefault="00685000" w:rsidP="00EA6744">
      <w:pPr>
        <w:pStyle w:val="RedTxt"/>
        <w:numPr>
          <w:ilvl w:val="0"/>
          <w:numId w:val="4"/>
        </w:numPr>
        <w:ind w:left="284" w:hanging="284"/>
        <w:jc w:val="both"/>
        <w:rPr>
          <w:sz w:val="24"/>
          <w:szCs w:val="24"/>
        </w:rPr>
      </w:pPr>
      <w:r w:rsidRPr="0032156A">
        <w:rPr>
          <w:sz w:val="24"/>
          <w:szCs w:val="24"/>
        </w:rPr>
        <w:t>La déclaration concernant le chiffre d'affaires global et le chiffre d'affaires concernant les fournitures, services ou travaux objet du marché, réalisés au cours des trois derniers exercices disponibles,</w:t>
      </w:r>
    </w:p>
    <w:p w14:paraId="33CF1B6A" w14:textId="77777777" w:rsidR="00685000" w:rsidRPr="0054740C" w:rsidRDefault="00685000" w:rsidP="00685000">
      <w:pPr>
        <w:rPr>
          <w:rFonts w:cs="Arial"/>
          <w:szCs w:val="22"/>
        </w:rPr>
      </w:pPr>
    </w:p>
    <w:p w14:paraId="2B5B7A01" w14:textId="6E4C5932" w:rsidR="00685000" w:rsidRDefault="00685000" w:rsidP="00685000">
      <w:pPr>
        <w:rPr>
          <w:u w:val="single"/>
        </w:rPr>
      </w:pPr>
      <w:r w:rsidRPr="00333F0B">
        <w:rPr>
          <w:u w:val="single"/>
        </w:rPr>
        <w:t xml:space="preserve"> </w:t>
      </w:r>
    </w:p>
    <w:p w14:paraId="0206D7B7" w14:textId="77777777" w:rsidR="00FF735A" w:rsidRPr="001F6936" w:rsidRDefault="00FF735A" w:rsidP="00685000">
      <w:pPr>
        <w:rPr>
          <w:u w:val="single"/>
        </w:rPr>
      </w:pPr>
    </w:p>
    <w:p w14:paraId="6F6434F1" w14:textId="77777777" w:rsidR="00685000" w:rsidRPr="00FF735A" w:rsidRDefault="00C17D02" w:rsidP="00685000">
      <w:pPr>
        <w:rPr>
          <w:rFonts w:cs="Arial"/>
          <w:bCs/>
          <w:szCs w:val="22"/>
          <w:u w:val="single"/>
        </w:rPr>
      </w:pPr>
      <w:r w:rsidRPr="00FF735A">
        <w:rPr>
          <w:rFonts w:cs="Arial"/>
          <w:bCs/>
          <w:szCs w:val="22"/>
          <w:u w:val="single"/>
        </w:rPr>
        <w:t xml:space="preserve">4.1.2 </w:t>
      </w:r>
      <w:r w:rsidR="00685000" w:rsidRPr="00FF735A">
        <w:rPr>
          <w:rFonts w:cs="Arial"/>
          <w:bCs/>
          <w:szCs w:val="22"/>
          <w:u w:val="single"/>
        </w:rPr>
        <w:t>Dossier offre financière et technique</w:t>
      </w:r>
    </w:p>
    <w:p w14:paraId="724FE910" w14:textId="77777777" w:rsidR="00685000" w:rsidRDefault="00685000" w:rsidP="00685000">
      <w:pPr>
        <w:rPr>
          <w:rFonts w:cs="Arial"/>
          <w:b/>
          <w:szCs w:val="22"/>
          <w:u w:val="single"/>
        </w:rPr>
      </w:pPr>
    </w:p>
    <w:p w14:paraId="7EACF56F" w14:textId="18F9CB33" w:rsidR="00685000" w:rsidRPr="0032156A" w:rsidRDefault="00685000" w:rsidP="00685000">
      <w:pPr>
        <w:rPr>
          <w:rFonts w:cs="Arial"/>
          <w:sz w:val="24"/>
        </w:rPr>
      </w:pPr>
      <w:r w:rsidRPr="0032156A">
        <w:rPr>
          <w:rFonts w:cs="Arial"/>
          <w:sz w:val="24"/>
        </w:rPr>
        <w:t xml:space="preserve">Les candidats devront remettre un projet de marché </w:t>
      </w:r>
      <w:r w:rsidR="006036ED">
        <w:rPr>
          <w:rFonts w:cs="Arial"/>
          <w:sz w:val="24"/>
        </w:rPr>
        <w:t xml:space="preserve">pour chacun des lots auquel il souhaite candidater </w:t>
      </w:r>
      <w:r w:rsidRPr="0032156A">
        <w:rPr>
          <w:rFonts w:cs="Arial"/>
          <w:sz w:val="24"/>
        </w:rPr>
        <w:t xml:space="preserve">comprenant : </w:t>
      </w:r>
    </w:p>
    <w:p w14:paraId="4C508F72" w14:textId="77777777" w:rsidR="00685000" w:rsidRPr="0032156A" w:rsidRDefault="00685000" w:rsidP="00685000">
      <w:pPr>
        <w:rPr>
          <w:rFonts w:cs="Arial"/>
          <w:sz w:val="24"/>
        </w:rPr>
      </w:pPr>
    </w:p>
    <w:p w14:paraId="499BE673" w14:textId="1E145D44" w:rsidR="00685000" w:rsidRDefault="00685000" w:rsidP="00685000">
      <w:pPr>
        <w:numPr>
          <w:ilvl w:val="0"/>
          <w:numId w:val="2"/>
        </w:numPr>
        <w:ind w:hanging="796"/>
        <w:rPr>
          <w:rFonts w:cs="Arial"/>
          <w:sz w:val="24"/>
        </w:rPr>
      </w:pPr>
      <w:r w:rsidRPr="0032156A">
        <w:rPr>
          <w:rFonts w:cs="Arial"/>
          <w:sz w:val="24"/>
        </w:rPr>
        <w:t xml:space="preserve">L’acte d’engagement </w:t>
      </w:r>
      <w:r w:rsidR="0030155E" w:rsidRPr="0032156A">
        <w:rPr>
          <w:rFonts w:cs="Arial"/>
          <w:sz w:val="24"/>
        </w:rPr>
        <w:t xml:space="preserve">de l’accord-cadre </w:t>
      </w:r>
      <w:r w:rsidR="0032156A" w:rsidRPr="0032156A">
        <w:rPr>
          <w:rFonts w:cs="Arial"/>
          <w:sz w:val="24"/>
        </w:rPr>
        <w:t xml:space="preserve">complété, </w:t>
      </w:r>
      <w:r w:rsidRPr="0032156A">
        <w:rPr>
          <w:rFonts w:cs="Arial"/>
          <w:sz w:val="24"/>
        </w:rPr>
        <w:t>daté et signé</w:t>
      </w:r>
    </w:p>
    <w:p w14:paraId="7CE4A20A" w14:textId="0BDAF3F7" w:rsidR="00685000" w:rsidRPr="004E0671" w:rsidRDefault="006036ED" w:rsidP="006036ED">
      <w:pPr>
        <w:numPr>
          <w:ilvl w:val="0"/>
          <w:numId w:val="2"/>
        </w:numPr>
        <w:ind w:hanging="796"/>
        <w:rPr>
          <w:rFonts w:cs="Arial"/>
          <w:sz w:val="24"/>
        </w:rPr>
      </w:pPr>
      <w:r w:rsidRPr="006036ED">
        <w:rPr>
          <w:rFonts w:cs="Arial"/>
          <w:sz w:val="24"/>
        </w:rPr>
        <w:t>Le bordereau de la Décomposition du Prix Global et Forfaitaire (DPGF) et des Prix Unitaires / Devis Quantitatif Estimatif (BPU/DQE)</w:t>
      </w:r>
      <w:r>
        <w:rPr>
          <w:rFonts w:cs="Arial"/>
          <w:sz w:val="24"/>
        </w:rPr>
        <w:t xml:space="preserve"> </w:t>
      </w:r>
      <w:r w:rsidR="0032156A" w:rsidRPr="006036ED">
        <w:rPr>
          <w:rFonts w:cs="Arial"/>
          <w:sz w:val="24"/>
        </w:rPr>
        <w:t xml:space="preserve">complété, </w:t>
      </w:r>
      <w:r w:rsidR="00563910" w:rsidRPr="006036ED">
        <w:rPr>
          <w:rFonts w:cs="Arial"/>
          <w:sz w:val="24"/>
        </w:rPr>
        <w:t xml:space="preserve">daté </w:t>
      </w:r>
      <w:r w:rsidR="00563910" w:rsidRPr="004E0671">
        <w:rPr>
          <w:rFonts w:cs="Arial"/>
          <w:sz w:val="24"/>
        </w:rPr>
        <w:t>et signé</w:t>
      </w:r>
    </w:p>
    <w:p w14:paraId="38B98634" w14:textId="03065562" w:rsidR="003B6171" w:rsidRPr="004E0671" w:rsidRDefault="003B6171" w:rsidP="00685000">
      <w:pPr>
        <w:numPr>
          <w:ilvl w:val="0"/>
          <w:numId w:val="2"/>
        </w:numPr>
        <w:ind w:hanging="796"/>
        <w:rPr>
          <w:rFonts w:cs="Arial"/>
          <w:sz w:val="24"/>
        </w:rPr>
      </w:pPr>
      <w:r w:rsidRPr="004E0671">
        <w:rPr>
          <w:rFonts w:cs="Arial"/>
          <w:sz w:val="24"/>
        </w:rPr>
        <w:t>Le cadre</w:t>
      </w:r>
      <w:r w:rsidR="00AD1DD0" w:rsidRPr="004E0671">
        <w:rPr>
          <w:rFonts w:cs="Arial"/>
          <w:sz w:val="24"/>
        </w:rPr>
        <w:t xml:space="preserve"> de réponse</w:t>
      </w:r>
      <w:r w:rsidRPr="004E0671">
        <w:rPr>
          <w:rFonts w:cs="Arial"/>
          <w:sz w:val="24"/>
        </w:rPr>
        <w:t xml:space="preserve"> technique</w:t>
      </w:r>
      <w:r w:rsidR="00751B96" w:rsidRPr="004E0671">
        <w:rPr>
          <w:rFonts w:cs="Arial"/>
          <w:sz w:val="24"/>
        </w:rPr>
        <w:t xml:space="preserve"> complété</w:t>
      </w:r>
    </w:p>
    <w:p w14:paraId="25063984" w14:textId="4CF36D95" w:rsidR="008B2A12" w:rsidRPr="004E0671" w:rsidRDefault="008B2A12" w:rsidP="00685000">
      <w:pPr>
        <w:numPr>
          <w:ilvl w:val="0"/>
          <w:numId w:val="2"/>
        </w:numPr>
        <w:ind w:hanging="796"/>
        <w:rPr>
          <w:rFonts w:cs="Arial"/>
          <w:sz w:val="24"/>
        </w:rPr>
      </w:pPr>
      <w:r w:rsidRPr="004E0671">
        <w:rPr>
          <w:rFonts w:cs="Arial"/>
          <w:sz w:val="24"/>
        </w:rPr>
        <w:t>Le mémoire technique relatif à l’option « robotique »</w:t>
      </w:r>
    </w:p>
    <w:p w14:paraId="0682422D" w14:textId="6C83BBBB" w:rsidR="0032156A" w:rsidRPr="0032156A" w:rsidRDefault="0032156A" w:rsidP="00685000">
      <w:pPr>
        <w:numPr>
          <w:ilvl w:val="0"/>
          <w:numId w:val="2"/>
        </w:numPr>
        <w:ind w:hanging="796"/>
        <w:rPr>
          <w:rFonts w:cs="Arial"/>
          <w:sz w:val="24"/>
        </w:rPr>
      </w:pPr>
      <w:r w:rsidRPr="0032156A">
        <w:rPr>
          <w:rFonts w:cs="Arial"/>
          <w:sz w:val="24"/>
        </w:rPr>
        <w:t>La charte des achats responsables de GEM, daté</w:t>
      </w:r>
      <w:r w:rsidR="006036ED">
        <w:rPr>
          <w:rFonts w:cs="Arial"/>
          <w:sz w:val="24"/>
        </w:rPr>
        <w:t>e</w:t>
      </w:r>
      <w:r w:rsidRPr="0032156A">
        <w:rPr>
          <w:rFonts w:cs="Arial"/>
          <w:sz w:val="24"/>
        </w:rPr>
        <w:t xml:space="preserve"> et signé</w:t>
      </w:r>
      <w:r w:rsidR="006036ED">
        <w:rPr>
          <w:rFonts w:cs="Arial"/>
          <w:sz w:val="24"/>
        </w:rPr>
        <w:t>e</w:t>
      </w:r>
    </w:p>
    <w:p w14:paraId="0AA733D6" w14:textId="77777777" w:rsidR="00685000" w:rsidRDefault="00685000" w:rsidP="00685000">
      <w:pPr>
        <w:ind w:left="284" w:firstLine="425"/>
        <w:rPr>
          <w:sz w:val="20"/>
          <w:szCs w:val="20"/>
        </w:rPr>
      </w:pPr>
    </w:p>
    <w:p w14:paraId="4B7C4972" w14:textId="77777777" w:rsidR="00685000" w:rsidRPr="0032156A" w:rsidRDefault="00685000" w:rsidP="00685000">
      <w:pPr>
        <w:keepLines/>
        <w:tabs>
          <w:tab w:val="left" w:pos="284"/>
          <w:tab w:val="left" w:pos="567"/>
          <w:tab w:val="left" w:pos="851"/>
        </w:tabs>
        <w:autoSpaceDN w:val="0"/>
        <w:jc w:val="both"/>
        <w:rPr>
          <w:rFonts w:ascii="Calibri" w:eastAsia="Calibri" w:hAnsi="Calibri"/>
          <w:sz w:val="24"/>
          <w:lang w:eastAsia="en-US"/>
        </w:rPr>
      </w:pPr>
      <w:r w:rsidRPr="0032156A">
        <w:rPr>
          <w:rFonts w:cs="Arial"/>
          <w:sz w:val="24"/>
          <w:lang w:eastAsia="en-US"/>
        </w:rPr>
        <w:t xml:space="preserve">N.B. : le CCAP et le CCTP font foi dans leur version détenue par </w:t>
      </w:r>
      <w:r w:rsidR="00AD38F5" w:rsidRPr="0032156A">
        <w:rPr>
          <w:rFonts w:cs="Arial"/>
          <w:sz w:val="24"/>
          <w:lang w:eastAsia="en-US"/>
        </w:rPr>
        <w:t>GEM</w:t>
      </w:r>
      <w:r w:rsidRPr="0032156A">
        <w:rPr>
          <w:rFonts w:cs="Arial"/>
          <w:sz w:val="24"/>
          <w:lang w:eastAsia="en-US"/>
        </w:rPr>
        <w:t>, les candidats n’ont pas d’obligation de les retourner signées.</w:t>
      </w:r>
    </w:p>
    <w:p w14:paraId="7A1A76CC" w14:textId="77777777" w:rsidR="00685000" w:rsidRPr="0032156A" w:rsidRDefault="00685000" w:rsidP="00685000">
      <w:pPr>
        <w:ind w:left="284" w:firstLine="425"/>
        <w:rPr>
          <w:sz w:val="24"/>
        </w:rPr>
      </w:pPr>
    </w:p>
    <w:p w14:paraId="644C6EE3" w14:textId="5B8E4765" w:rsidR="00685000" w:rsidRPr="0032156A" w:rsidRDefault="00685000" w:rsidP="00685000">
      <w:pPr>
        <w:keepLines/>
        <w:tabs>
          <w:tab w:val="left" w:pos="284"/>
          <w:tab w:val="left" w:pos="567"/>
          <w:tab w:val="left" w:pos="851"/>
        </w:tabs>
        <w:jc w:val="both"/>
        <w:rPr>
          <w:rFonts w:cs="Arial"/>
          <w:sz w:val="24"/>
        </w:rPr>
      </w:pPr>
      <w:r w:rsidRPr="0032156A">
        <w:rPr>
          <w:rFonts w:cs="Arial"/>
          <w:sz w:val="24"/>
        </w:rPr>
        <w:t>Les offres des concurrents seront entièrement rédigées en langue française et exprimées en EURO. Si les offres des concurrents sont rédigées dans une autre langue, elles doivent être accompagné</w:t>
      </w:r>
      <w:r w:rsidR="00563910" w:rsidRPr="0032156A">
        <w:rPr>
          <w:rFonts w:cs="Arial"/>
          <w:sz w:val="24"/>
        </w:rPr>
        <w:t>es d’une traduction en français ;</w:t>
      </w:r>
      <w:r w:rsidRPr="0032156A">
        <w:rPr>
          <w:rFonts w:cs="Arial"/>
          <w:sz w:val="24"/>
        </w:rPr>
        <w:t xml:space="preserve"> cette traduction doit concerner l’ensemble des documents remis dans l’offre.</w:t>
      </w:r>
    </w:p>
    <w:p w14:paraId="7C55C535" w14:textId="77777777" w:rsidR="00FF735A" w:rsidRDefault="00FF735A" w:rsidP="00685000">
      <w:pPr>
        <w:keepLines/>
        <w:tabs>
          <w:tab w:val="left" w:pos="284"/>
          <w:tab w:val="left" w:pos="567"/>
          <w:tab w:val="left" w:pos="851"/>
        </w:tabs>
        <w:jc w:val="both"/>
        <w:rPr>
          <w:rFonts w:cs="Arial"/>
          <w:szCs w:val="20"/>
        </w:rPr>
      </w:pPr>
    </w:p>
    <w:p w14:paraId="2163B7D9" w14:textId="58B5C655" w:rsidR="00685000" w:rsidRPr="00BA6F7D" w:rsidRDefault="00685000" w:rsidP="00685000">
      <w:pPr>
        <w:spacing w:before="240" w:after="60"/>
        <w:outlineLvl w:val="1"/>
        <w:rPr>
          <w:rFonts w:cs="Arial"/>
          <w:i/>
          <w:sz w:val="24"/>
          <w:szCs w:val="20"/>
          <w:u w:val="single"/>
        </w:rPr>
      </w:pPr>
      <w:bookmarkStart w:id="31" w:name="_Toc115958933"/>
      <w:bookmarkStart w:id="32" w:name="_Hlk105759819"/>
      <w:r>
        <w:rPr>
          <w:rFonts w:cs="Arial"/>
          <w:i/>
          <w:sz w:val="24"/>
          <w:szCs w:val="20"/>
          <w:u w:val="single"/>
        </w:rPr>
        <w:t>4.</w:t>
      </w:r>
      <w:r w:rsidR="003D1606">
        <w:rPr>
          <w:rFonts w:cs="Arial"/>
          <w:i/>
          <w:sz w:val="24"/>
          <w:szCs w:val="20"/>
          <w:u w:val="single"/>
        </w:rPr>
        <w:t>3</w:t>
      </w:r>
      <w:r>
        <w:rPr>
          <w:rFonts w:cs="Arial"/>
          <w:i/>
          <w:sz w:val="24"/>
          <w:szCs w:val="20"/>
          <w:u w:val="single"/>
        </w:rPr>
        <w:t xml:space="preserve"> –</w:t>
      </w:r>
      <w:r w:rsidRPr="009414BC">
        <w:rPr>
          <w:rFonts w:cs="Arial"/>
          <w:i/>
          <w:sz w:val="24"/>
          <w:szCs w:val="20"/>
          <w:u w:val="single"/>
        </w:rPr>
        <w:t xml:space="preserve"> </w:t>
      </w:r>
      <w:r w:rsidRPr="00BA6F7D">
        <w:rPr>
          <w:rFonts w:cs="Arial"/>
          <w:i/>
          <w:sz w:val="24"/>
          <w:szCs w:val="20"/>
          <w:u w:val="single"/>
        </w:rPr>
        <w:t>Négociations</w:t>
      </w:r>
      <w:bookmarkEnd w:id="31"/>
    </w:p>
    <w:bookmarkEnd w:id="32"/>
    <w:p w14:paraId="0990BD34" w14:textId="77777777" w:rsidR="00685000" w:rsidRDefault="00685000" w:rsidP="00685000">
      <w:pPr>
        <w:pStyle w:val="Corpsdetexte"/>
        <w:spacing w:line="280" w:lineRule="exact"/>
        <w:ind w:right="-569"/>
        <w:rPr>
          <w:rFonts w:cs="Times New Roman"/>
          <w:sz w:val="22"/>
        </w:rPr>
      </w:pPr>
    </w:p>
    <w:p w14:paraId="10B71E4E" w14:textId="5D5FC415" w:rsidR="00685000" w:rsidRPr="0032156A" w:rsidRDefault="00685000" w:rsidP="00685000">
      <w:pPr>
        <w:jc w:val="both"/>
        <w:rPr>
          <w:sz w:val="24"/>
        </w:rPr>
      </w:pPr>
      <w:r w:rsidRPr="0032156A">
        <w:rPr>
          <w:sz w:val="24"/>
        </w:rPr>
        <w:t>Le marché étant passé en procédure d’appel d’offres, aucune négociation n’aura lieu.</w:t>
      </w:r>
    </w:p>
    <w:p w14:paraId="3DF24EAB" w14:textId="13C0C553" w:rsidR="00FF735A" w:rsidRDefault="00FF735A" w:rsidP="00685000">
      <w:pPr>
        <w:jc w:val="both"/>
      </w:pPr>
    </w:p>
    <w:p w14:paraId="5C124278" w14:textId="549106A8" w:rsidR="00685000" w:rsidRDefault="00685000" w:rsidP="00685000">
      <w:pPr>
        <w:keepNext/>
        <w:spacing w:before="360" w:after="240"/>
        <w:outlineLvl w:val="0"/>
        <w:rPr>
          <w:rFonts w:asciiTheme="majorHAnsi" w:hAnsiTheme="majorHAnsi" w:cstheme="majorBidi"/>
          <w:color w:val="2F5496" w:themeColor="accent1" w:themeShade="BF"/>
          <w:sz w:val="32"/>
          <w:szCs w:val="32"/>
        </w:rPr>
      </w:pPr>
      <w:bookmarkStart w:id="33" w:name="_Toc430338914"/>
      <w:bookmarkStart w:id="34" w:name="_Toc115958934"/>
      <w:r>
        <w:rPr>
          <w:rFonts w:asciiTheme="majorHAnsi" w:hAnsiTheme="majorHAnsi" w:cstheme="majorBidi"/>
          <w:color w:val="2F5496" w:themeColor="accent1" w:themeShade="BF"/>
          <w:sz w:val="32"/>
          <w:szCs w:val="32"/>
        </w:rPr>
        <w:t>Article 5 : s</w:t>
      </w:r>
      <w:r w:rsidR="005F73D0">
        <w:rPr>
          <w:rFonts w:asciiTheme="majorHAnsi" w:hAnsiTheme="majorHAnsi" w:cstheme="majorBidi"/>
          <w:color w:val="2F5496" w:themeColor="accent1" w:themeShade="BF"/>
          <w:sz w:val="32"/>
          <w:szCs w:val="32"/>
        </w:rPr>
        <w:t>é</w:t>
      </w:r>
      <w:r w:rsidRPr="00685000">
        <w:rPr>
          <w:rFonts w:asciiTheme="majorHAnsi" w:hAnsiTheme="majorHAnsi" w:cstheme="majorBidi"/>
          <w:color w:val="2F5496" w:themeColor="accent1" w:themeShade="BF"/>
          <w:sz w:val="32"/>
          <w:szCs w:val="32"/>
        </w:rPr>
        <w:t>lection des candidatures et jugement des offres</w:t>
      </w:r>
      <w:bookmarkEnd w:id="33"/>
      <w:bookmarkEnd w:id="34"/>
    </w:p>
    <w:p w14:paraId="438CCEE9" w14:textId="01F774D5" w:rsidR="00685000" w:rsidRPr="0032156A" w:rsidRDefault="00685000" w:rsidP="0032156A">
      <w:pPr>
        <w:tabs>
          <w:tab w:val="left" w:pos="284"/>
          <w:tab w:val="left" w:pos="567"/>
          <w:tab w:val="left" w:pos="851"/>
        </w:tabs>
        <w:jc w:val="both"/>
        <w:rPr>
          <w:sz w:val="24"/>
        </w:rPr>
      </w:pPr>
      <w:r w:rsidRPr="0032156A">
        <w:rPr>
          <w:rFonts w:cs="Arial"/>
          <w:sz w:val="24"/>
        </w:rPr>
        <w:t xml:space="preserve">La sélection des candidatures et le jugement des offres seront effectués dans le respect des principes fondamentaux de la commande publique, et </w:t>
      </w:r>
      <w:r w:rsidRPr="0032156A">
        <w:rPr>
          <w:sz w:val="24"/>
        </w:rPr>
        <w:t xml:space="preserve">dans les conditions prévues aux articles </w:t>
      </w:r>
      <w:r w:rsidR="00FB1696" w:rsidRPr="0032156A">
        <w:rPr>
          <w:sz w:val="24"/>
        </w:rPr>
        <w:t xml:space="preserve">R2152-1 à R2152-13 du code de la commande publique </w:t>
      </w:r>
      <w:r w:rsidRPr="0032156A">
        <w:rPr>
          <w:sz w:val="24"/>
        </w:rPr>
        <w:t>au moyen des critères qui suivent.</w:t>
      </w:r>
    </w:p>
    <w:p w14:paraId="0BEA87E8" w14:textId="77777777" w:rsidR="00685000" w:rsidRPr="0032156A" w:rsidRDefault="00685000" w:rsidP="0032156A">
      <w:pPr>
        <w:keepLines/>
        <w:tabs>
          <w:tab w:val="left" w:pos="284"/>
          <w:tab w:val="left" w:pos="567"/>
          <w:tab w:val="left" w:pos="851"/>
        </w:tabs>
        <w:ind w:firstLine="284"/>
        <w:jc w:val="both"/>
        <w:rPr>
          <w:rFonts w:cs="Arial"/>
          <w:sz w:val="24"/>
        </w:rPr>
      </w:pPr>
    </w:p>
    <w:p w14:paraId="3F6C78CB" w14:textId="77777777" w:rsidR="00685000" w:rsidRPr="0032156A" w:rsidRDefault="00685000" w:rsidP="0032156A">
      <w:pPr>
        <w:keepLines/>
        <w:tabs>
          <w:tab w:val="left" w:pos="284"/>
          <w:tab w:val="left" w:pos="567"/>
          <w:tab w:val="left" w:pos="851"/>
        </w:tabs>
        <w:jc w:val="both"/>
        <w:rPr>
          <w:rFonts w:cs="Arial"/>
          <w:sz w:val="24"/>
        </w:rPr>
      </w:pPr>
      <w:r w:rsidRPr="0032156A">
        <w:rPr>
          <w:rFonts w:cs="Arial"/>
          <w:sz w:val="24"/>
        </w:rPr>
        <w:t>Les critères intervenant pour la sélection des candidatures sont :</w:t>
      </w:r>
    </w:p>
    <w:p w14:paraId="3F62CF59" w14:textId="77777777" w:rsidR="00685000" w:rsidRPr="0032156A" w:rsidRDefault="00685000" w:rsidP="0032156A">
      <w:pPr>
        <w:keepLines/>
        <w:tabs>
          <w:tab w:val="left" w:pos="284"/>
          <w:tab w:val="left" w:pos="567"/>
          <w:tab w:val="left" w:pos="851"/>
        </w:tabs>
        <w:ind w:firstLine="284"/>
        <w:jc w:val="both"/>
        <w:rPr>
          <w:rFonts w:cs="Arial"/>
          <w:sz w:val="24"/>
        </w:rPr>
      </w:pPr>
    </w:p>
    <w:p w14:paraId="4CB96DBC" w14:textId="77777777" w:rsidR="00685000" w:rsidRPr="0032156A" w:rsidRDefault="00685000" w:rsidP="0032156A">
      <w:pPr>
        <w:keepLines/>
        <w:tabs>
          <w:tab w:val="left" w:pos="284"/>
          <w:tab w:val="left" w:pos="567"/>
          <w:tab w:val="left" w:pos="851"/>
        </w:tabs>
        <w:ind w:firstLine="284"/>
        <w:jc w:val="both"/>
        <w:rPr>
          <w:rFonts w:cs="Arial"/>
          <w:b/>
          <w:sz w:val="24"/>
        </w:rPr>
      </w:pPr>
      <w:r w:rsidRPr="0032156A">
        <w:rPr>
          <w:rFonts w:cs="Arial"/>
          <w:b/>
          <w:sz w:val="24"/>
        </w:rPr>
        <w:t>Garanties et capacités techniques et financières</w:t>
      </w:r>
    </w:p>
    <w:p w14:paraId="00B3AE6D" w14:textId="77777777" w:rsidR="00685000" w:rsidRPr="0032156A" w:rsidRDefault="00685000" w:rsidP="0032156A">
      <w:pPr>
        <w:keepLines/>
        <w:tabs>
          <w:tab w:val="left" w:pos="284"/>
          <w:tab w:val="left" w:pos="567"/>
          <w:tab w:val="left" w:pos="851"/>
        </w:tabs>
        <w:ind w:firstLine="284"/>
        <w:jc w:val="both"/>
        <w:rPr>
          <w:rFonts w:cs="Arial"/>
          <w:b/>
          <w:sz w:val="24"/>
        </w:rPr>
      </w:pPr>
      <w:r w:rsidRPr="0032156A">
        <w:rPr>
          <w:rFonts w:cs="Arial"/>
          <w:b/>
          <w:sz w:val="24"/>
        </w:rPr>
        <w:t>Capacités professionnelles </w:t>
      </w:r>
    </w:p>
    <w:p w14:paraId="08373902" w14:textId="2A060B10" w:rsidR="00685000" w:rsidRDefault="00685000" w:rsidP="0032156A">
      <w:pPr>
        <w:keepLines/>
        <w:tabs>
          <w:tab w:val="left" w:pos="284"/>
          <w:tab w:val="left" w:pos="567"/>
          <w:tab w:val="left" w:pos="851"/>
        </w:tabs>
        <w:ind w:firstLine="284"/>
        <w:jc w:val="both"/>
        <w:rPr>
          <w:rFonts w:cs="Arial"/>
          <w:sz w:val="24"/>
        </w:rPr>
      </w:pPr>
    </w:p>
    <w:p w14:paraId="35CF8F36" w14:textId="7AB767A9" w:rsidR="00E614F0" w:rsidRDefault="00E614F0" w:rsidP="00E614F0">
      <w:pPr>
        <w:spacing w:before="240" w:after="60"/>
        <w:outlineLvl w:val="1"/>
        <w:rPr>
          <w:rFonts w:cs="Arial"/>
          <w:i/>
          <w:sz w:val="24"/>
          <w:szCs w:val="20"/>
          <w:u w:val="single"/>
        </w:rPr>
      </w:pPr>
      <w:r>
        <w:rPr>
          <w:rFonts w:cs="Arial"/>
          <w:i/>
          <w:sz w:val="24"/>
          <w:szCs w:val="20"/>
          <w:u w:val="single"/>
        </w:rPr>
        <w:t>4.3 –</w:t>
      </w:r>
      <w:r w:rsidRPr="009414BC">
        <w:rPr>
          <w:rFonts w:cs="Arial"/>
          <w:i/>
          <w:sz w:val="24"/>
          <w:szCs w:val="20"/>
          <w:u w:val="single"/>
        </w:rPr>
        <w:t xml:space="preserve"> </w:t>
      </w:r>
      <w:r>
        <w:rPr>
          <w:rFonts w:cs="Arial"/>
          <w:i/>
          <w:sz w:val="24"/>
          <w:szCs w:val="20"/>
          <w:u w:val="single"/>
        </w:rPr>
        <w:t>Visite de site</w:t>
      </w:r>
    </w:p>
    <w:p w14:paraId="01A24DE1" w14:textId="5BE96629" w:rsidR="00E614F0" w:rsidRDefault="00E614F0" w:rsidP="00E614F0">
      <w:pPr>
        <w:pStyle w:val="Normal2"/>
        <w:ind w:left="0" w:firstLine="0"/>
      </w:pPr>
      <w:r>
        <w:rPr>
          <w:sz w:val="24"/>
          <w:szCs w:val="24"/>
        </w:rPr>
        <w:t>La visite des sites de Grenoble Ecole de Management est obligatoire.</w:t>
      </w:r>
    </w:p>
    <w:p w14:paraId="7F8BE6A5" w14:textId="2EFDB698" w:rsidR="00E614F0" w:rsidRPr="004E0671" w:rsidRDefault="006036ED" w:rsidP="00E614F0">
      <w:pPr>
        <w:pStyle w:val="Normal2"/>
        <w:ind w:left="0" w:firstLine="0"/>
        <w:rPr>
          <w:sz w:val="24"/>
          <w:szCs w:val="24"/>
        </w:rPr>
      </w:pPr>
      <w:r w:rsidRPr="004E0671">
        <w:rPr>
          <w:sz w:val="24"/>
          <w:szCs w:val="24"/>
        </w:rPr>
        <w:t>Elles auront</w:t>
      </w:r>
      <w:r w:rsidR="00E614F0" w:rsidRPr="004E0671">
        <w:rPr>
          <w:sz w:val="24"/>
          <w:szCs w:val="24"/>
        </w:rPr>
        <w:t xml:space="preserve"> lieu</w:t>
      </w:r>
      <w:r w:rsidRPr="004E0671">
        <w:rPr>
          <w:sz w:val="24"/>
          <w:szCs w:val="24"/>
        </w:rPr>
        <w:t> :</w:t>
      </w:r>
    </w:p>
    <w:p w14:paraId="7D682515" w14:textId="63F6066D" w:rsidR="00E614F0" w:rsidRPr="004E0671" w:rsidRDefault="00E614F0" w:rsidP="00E614F0">
      <w:pPr>
        <w:pStyle w:val="Normal2"/>
        <w:ind w:left="0" w:firstLine="0"/>
        <w:rPr>
          <w:sz w:val="24"/>
          <w:szCs w:val="24"/>
        </w:rPr>
      </w:pPr>
      <w:r w:rsidRPr="004E0671">
        <w:rPr>
          <w:sz w:val="24"/>
          <w:szCs w:val="24"/>
        </w:rPr>
        <w:t>Lot n°1 GEM GRENOBLE :</w:t>
      </w:r>
      <w:r w:rsidR="006036ED" w:rsidRPr="004E0671">
        <w:rPr>
          <w:sz w:val="24"/>
          <w:szCs w:val="24"/>
        </w:rPr>
        <w:t xml:space="preserve"> mardi 14 janvier 2025 entre 8-12h</w:t>
      </w:r>
    </w:p>
    <w:p w14:paraId="5DBCE12A" w14:textId="39ED9A11" w:rsidR="00E614F0" w:rsidRDefault="00E614F0" w:rsidP="00E614F0">
      <w:pPr>
        <w:pStyle w:val="Normal2"/>
        <w:ind w:left="0" w:firstLine="0"/>
        <w:rPr>
          <w:sz w:val="24"/>
          <w:szCs w:val="24"/>
        </w:rPr>
      </w:pPr>
      <w:r w:rsidRPr="004E0671">
        <w:rPr>
          <w:sz w:val="24"/>
          <w:szCs w:val="24"/>
        </w:rPr>
        <w:t>Lot n°2 GEM PARIS PANTIN :</w:t>
      </w:r>
      <w:r w:rsidR="002C140D" w:rsidRPr="004E0671">
        <w:rPr>
          <w:sz w:val="24"/>
          <w:szCs w:val="24"/>
        </w:rPr>
        <w:t xml:space="preserve"> jeudi 16</w:t>
      </w:r>
      <w:r w:rsidR="006036ED" w:rsidRPr="004E0671">
        <w:rPr>
          <w:sz w:val="24"/>
          <w:szCs w:val="24"/>
        </w:rPr>
        <w:t xml:space="preserve"> janvier 2025 de 14h à 16h</w:t>
      </w:r>
    </w:p>
    <w:p w14:paraId="4A9257A0" w14:textId="66581F7D" w:rsidR="00E614F0" w:rsidRDefault="00E614F0" w:rsidP="00E614F0">
      <w:pPr>
        <w:pStyle w:val="Normal2"/>
        <w:ind w:left="0" w:firstLine="0"/>
        <w:rPr>
          <w:sz w:val="24"/>
          <w:szCs w:val="24"/>
        </w:rPr>
      </w:pPr>
    </w:p>
    <w:p w14:paraId="2468C62D" w14:textId="77777777" w:rsidR="00E614F0" w:rsidRDefault="00E614F0" w:rsidP="00E614F0">
      <w:pPr>
        <w:rPr>
          <w:sz w:val="24"/>
        </w:rPr>
      </w:pPr>
    </w:p>
    <w:p w14:paraId="6B387961" w14:textId="47CCA922" w:rsidR="00E614F0" w:rsidRDefault="005651A1" w:rsidP="00E614F0">
      <w:pPr>
        <w:rPr>
          <w:szCs w:val="20"/>
        </w:rPr>
      </w:pPr>
      <w:r>
        <w:rPr>
          <w:sz w:val="24"/>
        </w:rPr>
        <w:t>Vous devez vous inscrire pour participer à ces visites obligatoires</w:t>
      </w:r>
      <w:r w:rsidR="00E614F0">
        <w:rPr>
          <w:sz w:val="24"/>
        </w:rPr>
        <w:t xml:space="preserve"> par </w:t>
      </w:r>
      <w:r>
        <w:rPr>
          <w:sz w:val="24"/>
        </w:rPr>
        <w:t xml:space="preserve">l’envoi d’un </w:t>
      </w:r>
      <w:r w:rsidR="00E614F0">
        <w:rPr>
          <w:sz w:val="24"/>
        </w:rPr>
        <w:t>e-</w:t>
      </w:r>
      <w:r w:rsidR="00E614F0" w:rsidRPr="005651A1">
        <w:rPr>
          <w:sz w:val="24"/>
        </w:rPr>
        <w:t>mail</w:t>
      </w:r>
      <w:r w:rsidR="00E614F0" w:rsidRPr="005651A1">
        <w:rPr>
          <w:color w:val="000000"/>
        </w:rPr>
        <w:t xml:space="preserve"> </w:t>
      </w:r>
      <w:r w:rsidRPr="005651A1">
        <w:rPr>
          <w:color w:val="000000"/>
        </w:rPr>
        <w:t>à</w:t>
      </w:r>
      <w:r w:rsidR="00E614F0" w:rsidRPr="005651A1">
        <w:rPr>
          <w:color w:val="000000"/>
        </w:rPr>
        <w:t xml:space="preserve"> : </w:t>
      </w:r>
      <w:hyperlink r:id="rId10" w:history="1">
        <w:r w:rsidR="00E614F0" w:rsidRPr="005651A1">
          <w:rPr>
            <w:rStyle w:val="Lienhypertexte"/>
          </w:rPr>
          <w:t>achats@grenoble-em.com</w:t>
        </w:r>
      </w:hyperlink>
    </w:p>
    <w:p w14:paraId="709564E3" w14:textId="77777777" w:rsidR="00E614F0" w:rsidRDefault="00E614F0" w:rsidP="00E614F0">
      <w:pPr>
        <w:pStyle w:val="Normal2"/>
        <w:ind w:left="0" w:firstLine="0"/>
        <w:rPr>
          <w:color w:val="000000"/>
        </w:rPr>
      </w:pPr>
    </w:p>
    <w:p w14:paraId="2E4C52F9" w14:textId="77777777" w:rsidR="00E614F0" w:rsidRPr="005651A1" w:rsidRDefault="00E614F0" w:rsidP="00E614F0">
      <w:pPr>
        <w:pStyle w:val="Normal2"/>
        <w:ind w:left="0" w:firstLine="0"/>
        <w:rPr>
          <w:rFonts w:ascii="Arial" w:hAnsi="Arial"/>
          <w:sz w:val="24"/>
          <w:szCs w:val="24"/>
        </w:rPr>
      </w:pPr>
      <w:r w:rsidRPr="004E0671">
        <w:rPr>
          <w:rFonts w:ascii="Arial" w:hAnsi="Arial"/>
          <w:sz w:val="24"/>
          <w:szCs w:val="24"/>
        </w:rPr>
        <w:t>Une attestation de visite vous sera remise à cette occasion qui devra être jointe dans l’offre du candidat.</w:t>
      </w:r>
    </w:p>
    <w:p w14:paraId="6910AC76" w14:textId="77777777" w:rsidR="00E614F0" w:rsidRPr="00BA6F7D" w:rsidRDefault="00E614F0" w:rsidP="00E614F0">
      <w:pPr>
        <w:spacing w:before="240" w:after="60"/>
        <w:outlineLvl w:val="1"/>
        <w:rPr>
          <w:rFonts w:cs="Arial"/>
          <w:i/>
          <w:sz w:val="24"/>
          <w:szCs w:val="20"/>
          <w:u w:val="single"/>
        </w:rPr>
      </w:pPr>
    </w:p>
    <w:p w14:paraId="44E323AD" w14:textId="77777777" w:rsidR="00E614F0" w:rsidRPr="0032156A" w:rsidRDefault="00E614F0" w:rsidP="0032156A">
      <w:pPr>
        <w:keepLines/>
        <w:tabs>
          <w:tab w:val="left" w:pos="284"/>
          <w:tab w:val="left" w:pos="567"/>
          <w:tab w:val="left" w:pos="851"/>
        </w:tabs>
        <w:ind w:firstLine="284"/>
        <w:jc w:val="both"/>
        <w:rPr>
          <w:rFonts w:cs="Arial"/>
          <w:sz w:val="24"/>
        </w:rPr>
      </w:pPr>
    </w:p>
    <w:p w14:paraId="4992B80D" w14:textId="67F77059" w:rsidR="00685000" w:rsidRPr="0032156A" w:rsidRDefault="00685000" w:rsidP="0032156A">
      <w:pPr>
        <w:keepNext/>
        <w:tabs>
          <w:tab w:val="left" w:pos="284"/>
          <w:tab w:val="left" w:pos="567"/>
          <w:tab w:val="left" w:pos="851"/>
        </w:tabs>
        <w:jc w:val="both"/>
        <w:rPr>
          <w:rFonts w:cs="Arial"/>
          <w:sz w:val="24"/>
        </w:rPr>
      </w:pPr>
      <w:r w:rsidRPr="0032156A">
        <w:rPr>
          <w:rFonts w:cs="Arial"/>
          <w:sz w:val="24"/>
        </w:rPr>
        <w:t xml:space="preserve">Les critères retenus pour le jugement des offres </w:t>
      </w:r>
      <w:r w:rsidR="00FF735A" w:rsidRPr="0032156A">
        <w:rPr>
          <w:rFonts w:cs="Arial"/>
          <w:sz w:val="24"/>
        </w:rPr>
        <w:t xml:space="preserve">de l’accord-cadre </w:t>
      </w:r>
      <w:r w:rsidRPr="0032156A">
        <w:rPr>
          <w:rFonts w:cs="Arial"/>
          <w:sz w:val="24"/>
        </w:rPr>
        <w:t>sont pondérés de la manière suivante :</w:t>
      </w:r>
      <w:r w:rsidR="00AD1DD0" w:rsidRPr="00AD1DD0">
        <w:rPr>
          <w:noProof/>
        </w:rPr>
        <w:t xml:space="preserve"> </w:t>
      </w:r>
    </w:p>
    <w:p w14:paraId="6D329CC2" w14:textId="49B4BCF5" w:rsidR="00311D0D" w:rsidRDefault="00311D0D" w:rsidP="00685000">
      <w:pPr>
        <w:keepNext/>
        <w:tabs>
          <w:tab w:val="left" w:pos="284"/>
          <w:tab w:val="left" w:pos="567"/>
          <w:tab w:val="left" w:pos="851"/>
        </w:tabs>
        <w:rPr>
          <w:rFonts w:cs="Arial"/>
          <w:szCs w:val="20"/>
        </w:rPr>
      </w:pPr>
    </w:p>
    <w:tbl>
      <w:tblPr>
        <w:tblStyle w:val="Grilledutableau"/>
        <w:tblW w:w="9375" w:type="dxa"/>
        <w:tblLook w:val="04A0" w:firstRow="1" w:lastRow="0" w:firstColumn="1" w:lastColumn="0" w:noHBand="0" w:noVBand="1"/>
      </w:tblPr>
      <w:tblGrid>
        <w:gridCol w:w="1972"/>
        <w:gridCol w:w="6587"/>
        <w:gridCol w:w="816"/>
      </w:tblGrid>
      <w:tr w:rsidR="004C565A" w:rsidRPr="00311D0D" w14:paraId="1A2EE0BC" w14:textId="77777777" w:rsidTr="00920CF2">
        <w:trPr>
          <w:trHeight w:val="977"/>
        </w:trPr>
        <w:tc>
          <w:tcPr>
            <w:tcW w:w="1972" w:type="dxa"/>
          </w:tcPr>
          <w:p w14:paraId="0C9064D3" w14:textId="77777777" w:rsidR="004C565A" w:rsidRDefault="004C565A" w:rsidP="004C565A">
            <w:pPr>
              <w:keepNext/>
              <w:tabs>
                <w:tab w:val="left" w:pos="284"/>
                <w:tab w:val="left" w:pos="567"/>
                <w:tab w:val="left" w:pos="851"/>
              </w:tabs>
              <w:rPr>
                <w:rFonts w:cs="Arial"/>
                <w:sz w:val="20"/>
                <w:szCs w:val="20"/>
              </w:rPr>
            </w:pPr>
            <w:r>
              <w:rPr>
                <w:rFonts w:cs="Arial"/>
                <w:sz w:val="20"/>
                <w:szCs w:val="20"/>
              </w:rPr>
              <w:t>1/ Prix (BPU/DQE) :</w:t>
            </w:r>
          </w:p>
          <w:p w14:paraId="2842F613" w14:textId="12929E4D" w:rsidR="004C565A" w:rsidRPr="00311D0D" w:rsidRDefault="008E24A4" w:rsidP="004C565A">
            <w:pPr>
              <w:keepNext/>
              <w:tabs>
                <w:tab w:val="left" w:pos="284"/>
                <w:tab w:val="left" w:pos="567"/>
                <w:tab w:val="left" w:pos="851"/>
              </w:tabs>
              <w:rPr>
                <w:rFonts w:cs="Arial"/>
                <w:sz w:val="20"/>
                <w:szCs w:val="20"/>
              </w:rPr>
            </w:pPr>
            <w:r>
              <w:rPr>
                <w:rFonts w:cs="Arial"/>
                <w:sz w:val="20"/>
                <w:szCs w:val="20"/>
              </w:rPr>
              <w:t>4</w:t>
            </w:r>
            <w:r w:rsidR="004C565A">
              <w:rPr>
                <w:rFonts w:cs="Arial"/>
                <w:sz w:val="20"/>
                <w:szCs w:val="20"/>
              </w:rPr>
              <w:t xml:space="preserve">0%   </w:t>
            </w:r>
          </w:p>
        </w:tc>
        <w:tc>
          <w:tcPr>
            <w:tcW w:w="6587" w:type="dxa"/>
          </w:tcPr>
          <w:p w14:paraId="6DB1F5A3" w14:textId="77777777" w:rsidR="004C565A" w:rsidRPr="00311D0D" w:rsidRDefault="004C565A" w:rsidP="004C565A">
            <w:pPr>
              <w:keepNext/>
              <w:tabs>
                <w:tab w:val="left" w:pos="284"/>
                <w:tab w:val="left" w:pos="567"/>
                <w:tab w:val="left" w:pos="851"/>
              </w:tabs>
              <w:rPr>
                <w:rFonts w:cs="Arial"/>
                <w:sz w:val="20"/>
                <w:szCs w:val="20"/>
              </w:rPr>
            </w:pPr>
          </w:p>
          <w:p w14:paraId="707559DB" w14:textId="29184F38" w:rsidR="004C565A" w:rsidRPr="00311D0D" w:rsidRDefault="004C565A" w:rsidP="005651A1">
            <w:pPr>
              <w:keepNext/>
              <w:tabs>
                <w:tab w:val="left" w:pos="284"/>
                <w:tab w:val="left" w:pos="567"/>
                <w:tab w:val="left" w:pos="851"/>
              </w:tabs>
              <w:rPr>
                <w:rFonts w:cs="Arial"/>
                <w:sz w:val="20"/>
                <w:szCs w:val="20"/>
              </w:rPr>
            </w:pPr>
            <w:r w:rsidRPr="00354C65">
              <w:rPr>
                <w:rFonts w:cs="Arial"/>
                <w:sz w:val="20"/>
                <w:szCs w:val="20"/>
                <w:shd w:val="clear" w:color="auto" w:fill="FFFFFF" w:themeFill="background1"/>
              </w:rPr>
              <w:t>Montant résultant de la simulation</w:t>
            </w:r>
            <w:r>
              <w:rPr>
                <w:rFonts w:cs="Arial"/>
                <w:sz w:val="20"/>
                <w:szCs w:val="20"/>
                <w:shd w:val="clear" w:color="auto" w:fill="FFFFFF" w:themeFill="background1"/>
              </w:rPr>
              <w:t xml:space="preserve"> de prix</w:t>
            </w:r>
            <w:r w:rsidRPr="00354C65">
              <w:rPr>
                <w:rFonts w:cs="Arial"/>
                <w:sz w:val="20"/>
                <w:szCs w:val="20"/>
                <w:shd w:val="clear" w:color="auto" w:fill="FFFFFF" w:themeFill="background1"/>
              </w:rPr>
              <w:t xml:space="preserve"> (</w:t>
            </w:r>
            <w:r w:rsidR="005651A1">
              <w:rPr>
                <w:rFonts w:cs="Arial"/>
                <w:sz w:val="20"/>
                <w:szCs w:val="20"/>
                <w:shd w:val="clear" w:color="auto" w:fill="FFFFFF" w:themeFill="background1"/>
              </w:rPr>
              <w:t>90% DPGF et 1</w:t>
            </w:r>
            <w:r>
              <w:rPr>
                <w:rFonts w:cs="Arial"/>
                <w:sz w:val="20"/>
                <w:szCs w:val="20"/>
                <w:shd w:val="clear" w:color="auto" w:fill="FFFFFF" w:themeFill="background1"/>
              </w:rPr>
              <w:t xml:space="preserve">0% </w:t>
            </w:r>
            <w:r w:rsidRPr="00354C65">
              <w:rPr>
                <w:rFonts w:cs="Arial"/>
                <w:sz w:val="20"/>
                <w:szCs w:val="20"/>
                <w:shd w:val="clear" w:color="auto" w:fill="FFFFFF" w:themeFill="background1"/>
              </w:rPr>
              <w:t>DQE :</w:t>
            </w:r>
            <w:r w:rsidRPr="00354C65">
              <w:rPr>
                <w:rFonts w:cs="Arial"/>
                <w:sz w:val="20"/>
                <w:szCs w:val="20"/>
              </w:rPr>
              <w:t xml:space="preserve"> </w:t>
            </w:r>
            <w:r w:rsidR="005651A1">
              <w:rPr>
                <w:rFonts w:cs="Arial"/>
                <w:sz w:val="20"/>
                <w:szCs w:val="20"/>
              </w:rPr>
              <w:t>D</w:t>
            </w:r>
            <w:r w:rsidRPr="00354C65">
              <w:rPr>
                <w:rFonts w:cs="Arial"/>
                <w:sz w:val="20"/>
                <w:szCs w:val="20"/>
              </w:rPr>
              <w:t>étail</w:t>
            </w:r>
            <w:r w:rsidR="005651A1">
              <w:rPr>
                <w:rFonts w:cs="Arial"/>
                <w:sz w:val="20"/>
                <w:szCs w:val="20"/>
              </w:rPr>
              <w:t xml:space="preserve"> Quantitatif E</w:t>
            </w:r>
            <w:r>
              <w:rPr>
                <w:rFonts w:cs="Arial"/>
                <w:sz w:val="20"/>
                <w:szCs w:val="20"/>
              </w:rPr>
              <w:t>stimatif)</w:t>
            </w:r>
          </w:p>
        </w:tc>
        <w:tc>
          <w:tcPr>
            <w:tcW w:w="816" w:type="dxa"/>
          </w:tcPr>
          <w:p w14:paraId="61050F75" w14:textId="708F5C44" w:rsidR="004C565A" w:rsidRPr="00311D0D" w:rsidRDefault="008E24A4" w:rsidP="004C565A">
            <w:pPr>
              <w:keepNext/>
              <w:tabs>
                <w:tab w:val="left" w:pos="284"/>
                <w:tab w:val="left" w:pos="567"/>
                <w:tab w:val="left" w:pos="851"/>
              </w:tabs>
              <w:rPr>
                <w:rFonts w:cs="Arial"/>
                <w:sz w:val="20"/>
                <w:szCs w:val="20"/>
              </w:rPr>
            </w:pPr>
            <w:r>
              <w:rPr>
                <w:rFonts w:cs="Arial"/>
                <w:sz w:val="20"/>
                <w:szCs w:val="20"/>
              </w:rPr>
              <w:t>4</w:t>
            </w:r>
            <w:r w:rsidR="004C565A" w:rsidRPr="00997DDD">
              <w:rPr>
                <w:rFonts w:cs="Arial"/>
                <w:sz w:val="20"/>
                <w:szCs w:val="20"/>
              </w:rPr>
              <w:t>0%</w:t>
            </w:r>
          </w:p>
        </w:tc>
      </w:tr>
      <w:tr w:rsidR="004C565A" w:rsidRPr="00AB0F07" w14:paraId="06165E78" w14:textId="77777777" w:rsidTr="00920CF2">
        <w:trPr>
          <w:trHeight w:val="789"/>
        </w:trPr>
        <w:tc>
          <w:tcPr>
            <w:tcW w:w="1972" w:type="dxa"/>
            <w:vMerge w:val="restart"/>
          </w:tcPr>
          <w:p w14:paraId="13704EFC" w14:textId="68C20723" w:rsidR="004C565A" w:rsidRPr="006E4A67" w:rsidRDefault="004C565A" w:rsidP="00AD1DD0">
            <w:pPr>
              <w:keepNext/>
              <w:tabs>
                <w:tab w:val="left" w:pos="284"/>
                <w:tab w:val="left" w:pos="567"/>
                <w:tab w:val="left" w:pos="851"/>
              </w:tabs>
              <w:rPr>
                <w:rFonts w:cs="Arial"/>
                <w:szCs w:val="20"/>
              </w:rPr>
            </w:pPr>
            <w:r w:rsidRPr="006E4A67">
              <w:rPr>
                <w:rFonts w:cs="Arial"/>
                <w:szCs w:val="20"/>
              </w:rPr>
              <w:t>2/ Valeur technique </w:t>
            </w:r>
            <w:r w:rsidR="00AD1DD0" w:rsidRPr="006E4A67">
              <w:rPr>
                <w:rFonts w:cs="Arial"/>
                <w:szCs w:val="20"/>
              </w:rPr>
              <w:t>selon cadre de réponse complété</w:t>
            </w:r>
            <w:r w:rsidR="00826F22" w:rsidRPr="006E4A67">
              <w:rPr>
                <w:rFonts w:cs="Arial"/>
                <w:szCs w:val="20"/>
              </w:rPr>
              <w:t xml:space="preserve"> 60%</w:t>
            </w:r>
          </w:p>
        </w:tc>
        <w:tc>
          <w:tcPr>
            <w:tcW w:w="6587" w:type="dxa"/>
            <w:shd w:val="clear" w:color="auto" w:fill="FFFFFF" w:themeFill="background1"/>
          </w:tcPr>
          <w:p w14:paraId="321B52F5" w14:textId="55CE24EF" w:rsidR="004C565A" w:rsidRPr="00826F22" w:rsidRDefault="00AD1DD0" w:rsidP="00826F22">
            <w:pPr>
              <w:keepNext/>
              <w:tabs>
                <w:tab w:val="left" w:pos="284"/>
                <w:tab w:val="left" w:pos="567"/>
                <w:tab w:val="left" w:pos="851"/>
              </w:tabs>
              <w:rPr>
                <w:rFonts w:cs="Arial"/>
                <w:sz w:val="20"/>
                <w:szCs w:val="20"/>
              </w:rPr>
            </w:pPr>
            <w:r w:rsidRPr="00826F22">
              <w:t>Moyens techniques</w:t>
            </w:r>
            <w:r w:rsidR="00826F22" w:rsidRPr="00826F22">
              <w:t xml:space="preserve"> (part dans la valeur technique)</w:t>
            </w:r>
          </w:p>
        </w:tc>
        <w:tc>
          <w:tcPr>
            <w:tcW w:w="816" w:type="dxa"/>
          </w:tcPr>
          <w:p w14:paraId="5D4A4A6F" w14:textId="7DB2A5E0" w:rsidR="004C565A" w:rsidRPr="00826F22" w:rsidRDefault="00AD1DD0" w:rsidP="004C565A">
            <w:pPr>
              <w:keepNext/>
              <w:tabs>
                <w:tab w:val="left" w:pos="284"/>
                <w:tab w:val="left" w:pos="567"/>
                <w:tab w:val="left" w:pos="851"/>
              </w:tabs>
              <w:rPr>
                <w:rFonts w:cs="Arial"/>
                <w:sz w:val="20"/>
                <w:szCs w:val="20"/>
              </w:rPr>
            </w:pPr>
            <w:r w:rsidRPr="00826F22">
              <w:rPr>
                <w:rFonts w:cs="Arial"/>
                <w:sz w:val="20"/>
                <w:szCs w:val="20"/>
              </w:rPr>
              <w:t>33</w:t>
            </w:r>
            <w:r w:rsidR="00AB0F07" w:rsidRPr="00826F22">
              <w:rPr>
                <w:rFonts w:cs="Arial"/>
                <w:sz w:val="20"/>
                <w:szCs w:val="20"/>
              </w:rPr>
              <w:t xml:space="preserve"> </w:t>
            </w:r>
            <w:r w:rsidR="004C565A" w:rsidRPr="00826F22">
              <w:rPr>
                <w:rFonts w:cs="Arial"/>
                <w:sz w:val="20"/>
                <w:szCs w:val="20"/>
              </w:rPr>
              <w:t>%</w:t>
            </w:r>
          </w:p>
        </w:tc>
      </w:tr>
      <w:tr w:rsidR="004C565A" w:rsidRPr="00AB0F07" w14:paraId="3C195049" w14:textId="77777777" w:rsidTr="00920CF2">
        <w:trPr>
          <w:trHeight w:val="1198"/>
        </w:trPr>
        <w:tc>
          <w:tcPr>
            <w:tcW w:w="1972" w:type="dxa"/>
            <w:vMerge/>
          </w:tcPr>
          <w:p w14:paraId="2332C26A" w14:textId="77777777" w:rsidR="004C565A" w:rsidRPr="00826F22" w:rsidRDefault="004C565A" w:rsidP="004C565A">
            <w:pPr>
              <w:keepNext/>
              <w:tabs>
                <w:tab w:val="left" w:pos="284"/>
                <w:tab w:val="left" w:pos="567"/>
                <w:tab w:val="left" w:pos="851"/>
              </w:tabs>
              <w:rPr>
                <w:rFonts w:cs="Arial"/>
                <w:sz w:val="20"/>
                <w:szCs w:val="20"/>
              </w:rPr>
            </w:pPr>
          </w:p>
        </w:tc>
        <w:tc>
          <w:tcPr>
            <w:tcW w:w="6587" w:type="dxa"/>
            <w:shd w:val="clear" w:color="auto" w:fill="FFFFFF" w:themeFill="background1"/>
          </w:tcPr>
          <w:p w14:paraId="395D0584" w14:textId="172D09E0" w:rsidR="004C565A" w:rsidRPr="00826F22" w:rsidRDefault="00AD1DD0" w:rsidP="00AD1DD0">
            <w:pPr>
              <w:keepNext/>
              <w:tabs>
                <w:tab w:val="left" w:pos="284"/>
                <w:tab w:val="left" w:pos="567"/>
                <w:tab w:val="left" w:pos="851"/>
              </w:tabs>
              <w:rPr>
                <w:rFonts w:cs="Arial"/>
                <w:sz w:val="20"/>
                <w:szCs w:val="20"/>
              </w:rPr>
            </w:pPr>
            <w:r w:rsidRPr="00826F22">
              <w:t>Moyens Humains</w:t>
            </w:r>
            <w:r w:rsidR="00826F22" w:rsidRPr="00826F22">
              <w:t xml:space="preserve"> (part dans la valeur technique)</w:t>
            </w:r>
          </w:p>
        </w:tc>
        <w:tc>
          <w:tcPr>
            <w:tcW w:w="816" w:type="dxa"/>
          </w:tcPr>
          <w:p w14:paraId="40A95B1D" w14:textId="517ABC4A" w:rsidR="004C565A" w:rsidRPr="00826F22" w:rsidRDefault="00826F22" w:rsidP="004C565A">
            <w:pPr>
              <w:keepNext/>
              <w:tabs>
                <w:tab w:val="left" w:pos="284"/>
                <w:tab w:val="left" w:pos="567"/>
                <w:tab w:val="left" w:pos="851"/>
              </w:tabs>
              <w:rPr>
                <w:rFonts w:cs="Arial"/>
                <w:sz w:val="20"/>
                <w:szCs w:val="20"/>
              </w:rPr>
            </w:pPr>
            <w:r w:rsidRPr="00826F22">
              <w:rPr>
                <w:rFonts w:cs="Arial"/>
                <w:sz w:val="20"/>
                <w:szCs w:val="20"/>
              </w:rPr>
              <w:t>28</w:t>
            </w:r>
            <w:r w:rsidR="004C565A" w:rsidRPr="00826F22">
              <w:rPr>
                <w:rFonts w:cs="Arial"/>
                <w:sz w:val="20"/>
                <w:szCs w:val="20"/>
              </w:rPr>
              <w:t>%</w:t>
            </w:r>
          </w:p>
        </w:tc>
      </w:tr>
      <w:tr w:rsidR="004C565A" w:rsidRPr="00AB0F07" w14:paraId="71A255A3" w14:textId="77777777" w:rsidTr="00920CF2">
        <w:trPr>
          <w:trHeight w:val="1198"/>
        </w:trPr>
        <w:tc>
          <w:tcPr>
            <w:tcW w:w="1972" w:type="dxa"/>
          </w:tcPr>
          <w:p w14:paraId="54C7BA9B" w14:textId="77777777" w:rsidR="004C565A" w:rsidRPr="00826F22" w:rsidRDefault="004C565A" w:rsidP="004C565A">
            <w:pPr>
              <w:keepNext/>
              <w:tabs>
                <w:tab w:val="left" w:pos="284"/>
                <w:tab w:val="left" w:pos="567"/>
                <w:tab w:val="left" w:pos="851"/>
              </w:tabs>
              <w:rPr>
                <w:rFonts w:cs="Arial"/>
                <w:sz w:val="20"/>
                <w:szCs w:val="20"/>
              </w:rPr>
            </w:pPr>
          </w:p>
        </w:tc>
        <w:tc>
          <w:tcPr>
            <w:tcW w:w="6587" w:type="dxa"/>
            <w:shd w:val="clear" w:color="auto" w:fill="FFFFFF" w:themeFill="background1"/>
          </w:tcPr>
          <w:p w14:paraId="0D4EB5F6" w14:textId="09386C3D" w:rsidR="004C565A" w:rsidRPr="00826F22" w:rsidRDefault="00826F22" w:rsidP="004C565A">
            <w:pPr>
              <w:keepNext/>
              <w:tabs>
                <w:tab w:val="left" w:pos="284"/>
                <w:tab w:val="left" w:pos="567"/>
                <w:tab w:val="left" w:pos="851"/>
              </w:tabs>
            </w:pPr>
            <w:r w:rsidRPr="00826F22">
              <w:t>Management de la qualité (part dans la valeur technique)</w:t>
            </w:r>
          </w:p>
        </w:tc>
        <w:tc>
          <w:tcPr>
            <w:tcW w:w="816" w:type="dxa"/>
          </w:tcPr>
          <w:p w14:paraId="1FA75631" w14:textId="3412D738" w:rsidR="004C565A" w:rsidRPr="00826F22" w:rsidRDefault="00826F22" w:rsidP="004C565A">
            <w:pPr>
              <w:keepNext/>
              <w:tabs>
                <w:tab w:val="left" w:pos="284"/>
                <w:tab w:val="left" w:pos="567"/>
                <w:tab w:val="left" w:pos="851"/>
              </w:tabs>
              <w:rPr>
                <w:rFonts w:cs="Arial"/>
                <w:sz w:val="20"/>
                <w:szCs w:val="20"/>
              </w:rPr>
            </w:pPr>
            <w:r w:rsidRPr="00826F22">
              <w:rPr>
                <w:rFonts w:cs="Arial"/>
                <w:sz w:val="20"/>
                <w:szCs w:val="20"/>
              </w:rPr>
              <w:t>27</w:t>
            </w:r>
            <w:r w:rsidR="008E24A4" w:rsidRPr="00826F22">
              <w:rPr>
                <w:rFonts w:cs="Arial"/>
                <w:sz w:val="20"/>
                <w:szCs w:val="20"/>
              </w:rPr>
              <w:t>%</w:t>
            </w:r>
          </w:p>
        </w:tc>
      </w:tr>
      <w:tr w:rsidR="004C565A" w:rsidRPr="00AB0F07" w14:paraId="59A1CC4F" w14:textId="77777777" w:rsidTr="00920CF2">
        <w:trPr>
          <w:trHeight w:val="1198"/>
        </w:trPr>
        <w:tc>
          <w:tcPr>
            <w:tcW w:w="1972" w:type="dxa"/>
          </w:tcPr>
          <w:p w14:paraId="7BBC451F" w14:textId="77777777" w:rsidR="004C565A" w:rsidRPr="00826F22" w:rsidRDefault="004C565A" w:rsidP="004C565A">
            <w:pPr>
              <w:keepNext/>
              <w:tabs>
                <w:tab w:val="left" w:pos="284"/>
                <w:tab w:val="left" w:pos="567"/>
                <w:tab w:val="left" w:pos="851"/>
              </w:tabs>
              <w:rPr>
                <w:rFonts w:cs="Arial"/>
                <w:sz w:val="20"/>
                <w:szCs w:val="20"/>
              </w:rPr>
            </w:pPr>
          </w:p>
        </w:tc>
        <w:tc>
          <w:tcPr>
            <w:tcW w:w="6587" w:type="dxa"/>
            <w:shd w:val="clear" w:color="auto" w:fill="FFFFFF" w:themeFill="background1"/>
          </w:tcPr>
          <w:p w14:paraId="36B9463A" w14:textId="4F1AF448" w:rsidR="00826F22" w:rsidRPr="00826F22" w:rsidRDefault="00826F22" w:rsidP="00826F22">
            <w:pPr>
              <w:keepNext/>
              <w:tabs>
                <w:tab w:val="left" w:pos="284"/>
                <w:tab w:val="left" w:pos="567"/>
                <w:tab w:val="left" w:pos="851"/>
              </w:tabs>
            </w:pPr>
            <w:r w:rsidRPr="00826F22">
              <w:t>Démarche RSE de l’entreprise (part dans la valeur technique)</w:t>
            </w:r>
          </w:p>
          <w:p w14:paraId="00B4C0A9" w14:textId="4420BB2B" w:rsidR="004C565A" w:rsidRPr="00826F22" w:rsidRDefault="004C565A" w:rsidP="004C565A">
            <w:pPr>
              <w:keepNext/>
              <w:tabs>
                <w:tab w:val="left" w:pos="284"/>
                <w:tab w:val="left" w:pos="567"/>
                <w:tab w:val="left" w:pos="851"/>
              </w:tabs>
            </w:pPr>
          </w:p>
        </w:tc>
        <w:tc>
          <w:tcPr>
            <w:tcW w:w="816" w:type="dxa"/>
          </w:tcPr>
          <w:p w14:paraId="314FB364" w14:textId="4E4B4C55" w:rsidR="004C565A" w:rsidRPr="00826F22" w:rsidRDefault="00826F22" w:rsidP="004C565A">
            <w:pPr>
              <w:keepNext/>
              <w:tabs>
                <w:tab w:val="left" w:pos="284"/>
                <w:tab w:val="left" w:pos="567"/>
                <w:tab w:val="left" w:pos="851"/>
              </w:tabs>
              <w:rPr>
                <w:rFonts w:cs="Arial"/>
                <w:sz w:val="20"/>
                <w:szCs w:val="20"/>
              </w:rPr>
            </w:pPr>
            <w:r w:rsidRPr="00826F22">
              <w:rPr>
                <w:rFonts w:cs="Arial"/>
                <w:sz w:val="20"/>
                <w:szCs w:val="20"/>
              </w:rPr>
              <w:t>12</w:t>
            </w:r>
            <w:r w:rsidR="008E24A4" w:rsidRPr="00826F22">
              <w:rPr>
                <w:rFonts w:cs="Arial"/>
                <w:sz w:val="20"/>
                <w:szCs w:val="20"/>
              </w:rPr>
              <w:t>%</w:t>
            </w:r>
          </w:p>
        </w:tc>
      </w:tr>
    </w:tbl>
    <w:p w14:paraId="013BB057" w14:textId="69E8A343" w:rsidR="00311D0D" w:rsidRDefault="00311D0D" w:rsidP="00685000">
      <w:pPr>
        <w:keepNext/>
        <w:tabs>
          <w:tab w:val="left" w:pos="284"/>
          <w:tab w:val="left" w:pos="567"/>
          <w:tab w:val="left" w:pos="851"/>
        </w:tabs>
        <w:rPr>
          <w:rFonts w:cs="Arial"/>
          <w:szCs w:val="20"/>
        </w:rPr>
      </w:pPr>
    </w:p>
    <w:p w14:paraId="6B13FCF7" w14:textId="77777777" w:rsidR="005F73D0" w:rsidRPr="00557C05" w:rsidRDefault="005F73D0" w:rsidP="00685000">
      <w:pPr>
        <w:keepLines/>
        <w:tabs>
          <w:tab w:val="left" w:pos="284"/>
          <w:tab w:val="left" w:pos="567"/>
          <w:tab w:val="left" w:pos="851"/>
        </w:tabs>
        <w:jc w:val="both"/>
        <w:rPr>
          <w:sz w:val="24"/>
        </w:rPr>
      </w:pPr>
    </w:p>
    <w:p w14:paraId="78DC73D5" w14:textId="77777777" w:rsidR="00685000" w:rsidRPr="00557C05" w:rsidRDefault="00685000" w:rsidP="00685000">
      <w:pPr>
        <w:keepLines/>
        <w:tabs>
          <w:tab w:val="left" w:pos="284"/>
          <w:tab w:val="left" w:pos="567"/>
          <w:tab w:val="left" w:pos="851"/>
        </w:tabs>
        <w:jc w:val="both"/>
        <w:rPr>
          <w:rFonts w:cs="Arial"/>
          <w:sz w:val="24"/>
        </w:rPr>
      </w:pPr>
      <w:r w:rsidRPr="00557C05">
        <w:rPr>
          <w:rFonts w:cs="Arial"/>
          <w:sz w:val="24"/>
        </w:rPr>
        <w:t xml:space="preserve">Les candidats remettront dans leur offre tous éléments de nature à apprécier les critères ci-dessus. </w:t>
      </w:r>
    </w:p>
    <w:p w14:paraId="3C54A5FE" w14:textId="77777777" w:rsidR="00685000" w:rsidRPr="00557C05" w:rsidRDefault="00685000" w:rsidP="00685000">
      <w:pPr>
        <w:keepLines/>
        <w:tabs>
          <w:tab w:val="left" w:pos="284"/>
          <w:tab w:val="left" w:pos="567"/>
          <w:tab w:val="left" w:pos="851"/>
        </w:tabs>
        <w:jc w:val="both"/>
        <w:rPr>
          <w:rFonts w:cs="Arial"/>
          <w:sz w:val="24"/>
        </w:rPr>
      </w:pPr>
    </w:p>
    <w:p w14:paraId="379CD301" w14:textId="77777777" w:rsidR="00F6732F" w:rsidRDefault="00685000" w:rsidP="00685000">
      <w:pPr>
        <w:keepLines/>
        <w:tabs>
          <w:tab w:val="left" w:pos="284"/>
          <w:tab w:val="left" w:pos="567"/>
          <w:tab w:val="left" w:pos="851"/>
        </w:tabs>
        <w:jc w:val="both"/>
        <w:rPr>
          <w:rFonts w:cs="Arial"/>
          <w:sz w:val="24"/>
        </w:rPr>
      </w:pPr>
      <w:r w:rsidRPr="00F6732F">
        <w:rPr>
          <w:rFonts w:cs="Arial"/>
          <w:sz w:val="24"/>
        </w:rPr>
        <w:t>Le critère</w:t>
      </w:r>
      <w:r w:rsidR="00557C05" w:rsidRPr="00F6732F">
        <w:rPr>
          <w:rFonts w:cs="Arial"/>
          <w:sz w:val="24"/>
        </w:rPr>
        <w:t xml:space="preserve"> « Prix</w:t>
      </w:r>
      <w:r w:rsidRPr="00F6732F">
        <w:rPr>
          <w:rFonts w:cs="Arial"/>
          <w:sz w:val="24"/>
        </w:rPr>
        <w:t xml:space="preserve"> des </w:t>
      </w:r>
      <w:r w:rsidR="00557C05" w:rsidRPr="00F6732F">
        <w:rPr>
          <w:rFonts w:cs="Arial"/>
          <w:sz w:val="24"/>
        </w:rPr>
        <w:t>prestations »</w:t>
      </w:r>
      <w:r w:rsidRPr="00F6732F">
        <w:rPr>
          <w:rFonts w:cs="Arial"/>
          <w:sz w:val="24"/>
        </w:rPr>
        <w:t xml:space="preserve"> </w:t>
      </w:r>
      <w:r w:rsidR="008E24A4" w:rsidRPr="00F6732F">
        <w:rPr>
          <w:rFonts w:cs="Arial"/>
          <w:sz w:val="24"/>
        </w:rPr>
        <w:t xml:space="preserve">sera évalué </w:t>
      </w:r>
      <w:r w:rsidR="00F6732F">
        <w:rPr>
          <w:rFonts w:cs="Arial"/>
          <w:sz w:val="24"/>
        </w:rPr>
        <w:t xml:space="preserve">en additionnant </w:t>
      </w:r>
      <w:r w:rsidR="00AB0F07" w:rsidRPr="00F6732F">
        <w:rPr>
          <w:rFonts w:cs="Arial"/>
          <w:sz w:val="24"/>
        </w:rPr>
        <w:t>90% DPGF et 10% DQE : Détail Quantitatif E</w:t>
      </w:r>
      <w:r w:rsidR="00F6732F">
        <w:rPr>
          <w:rFonts w:cs="Arial"/>
          <w:sz w:val="24"/>
        </w:rPr>
        <w:t>stimatif.</w:t>
      </w:r>
    </w:p>
    <w:p w14:paraId="2FAC567F" w14:textId="2485B83B" w:rsidR="008E24A4" w:rsidRPr="00557C05" w:rsidRDefault="00F6732F" w:rsidP="00685000">
      <w:pPr>
        <w:keepLines/>
        <w:tabs>
          <w:tab w:val="left" w:pos="284"/>
          <w:tab w:val="left" w:pos="567"/>
          <w:tab w:val="left" w:pos="851"/>
        </w:tabs>
        <w:jc w:val="both"/>
        <w:rPr>
          <w:rFonts w:cs="Arial"/>
          <w:sz w:val="24"/>
        </w:rPr>
      </w:pPr>
      <w:r>
        <w:rPr>
          <w:rFonts w:cs="Arial"/>
          <w:sz w:val="24"/>
        </w:rPr>
        <w:t>C</w:t>
      </w:r>
      <w:r w:rsidR="00AB0F07" w:rsidRPr="00F6732F">
        <w:rPr>
          <w:rFonts w:cs="Arial"/>
          <w:sz w:val="24"/>
        </w:rPr>
        <w:t xml:space="preserve">e prix </w:t>
      </w:r>
      <w:r>
        <w:rPr>
          <w:rFonts w:cs="Arial"/>
          <w:sz w:val="24"/>
        </w:rPr>
        <w:t xml:space="preserve">composé servira </w:t>
      </w:r>
      <w:r w:rsidR="00AB0F07" w:rsidRPr="00F6732F">
        <w:rPr>
          <w:rFonts w:cs="Arial"/>
          <w:sz w:val="24"/>
        </w:rPr>
        <w:t>de référence pour l’évaluation des entreprises sur le critère prix.</w:t>
      </w:r>
    </w:p>
    <w:p w14:paraId="0425271B" w14:textId="77777777" w:rsidR="00685000" w:rsidRPr="00557C05" w:rsidRDefault="00685000" w:rsidP="00685000">
      <w:pPr>
        <w:keepLines/>
        <w:tabs>
          <w:tab w:val="left" w:pos="284"/>
          <w:tab w:val="left" w:pos="567"/>
          <w:tab w:val="left" w:pos="851"/>
        </w:tabs>
        <w:ind w:firstLine="284"/>
        <w:jc w:val="both"/>
        <w:rPr>
          <w:rFonts w:cs="Arial"/>
          <w:sz w:val="24"/>
        </w:rPr>
      </w:pPr>
    </w:p>
    <w:p w14:paraId="2059E857" w14:textId="77777777" w:rsidR="00685000" w:rsidRPr="00557C05" w:rsidRDefault="00685000" w:rsidP="00685000">
      <w:pPr>
        <w:pStyle w:val="RedTxt"/>
        <w:jc w:val="both"/>
        <w:rPr>
          <w:i/>
          <w:sz w:val="24"/>
          <w:szCs w:val="24"/>
        </w:rPr>
      </w:pPr>
      <w:r w:rsidRPr="00557C05">
        <w:rPr>
          <w:i/>
          <w:sz w:val="24"/>
          <w:szCs w:val="24"/>
        </w:rPr>
        <w:t xml:space="preserve">Pour le jugement du critère prix, la formule suivante sera utilisée : </w:t>
      </w:r>
    </w:p>
    <w:p w14:paraId="3433078E" w14:textId="77777777" w:rsidR="00685000" w:rsidRPr="00557C05" w:rsidRDefault="00685000" w:rsidP="00685000">
      <w:pPr>
        <w:pStyle w:val="RedTxt"/>
        <w:jc w:val="both"/>
        <w:rPr>
          <w:i/>
          <w:sz w:val="24"/>
          <w:szCs w:val="24"/>
        </w:rPr>
      </w:pPr>
      <w:r w:rsidRPr="00557C05">
        <w:rPr>
          <w:i/>
          <w:sz w:val="24"/>
          <w:szCs w:val="24"/>
        </w:rPr>
        <w:t xml:space="preserve">Note = (prix de l'entreprise moins </w:t>
      </w:r>
      <w:proofErr w:type="spellStart"/>
      <w:r w:rsidRPr="00557C05">
        <w:rPr>
          <w:i/>
          <w:sz w:val="24"/>
          <w:szCs w:val="24"/>
        </w:rPr>
        <w:t>disante</w:t>
      </w:r>
      <w:proofErr w:type="spellEnd"/>
      <w:r w:rsidRPr="00557C05">
        <w:rPr>
          <w:i/>
          <w:sz w:val="24"/>
          <w:szCs w:val="24"/>
        </w:rPr>
        <w:t xml:space="preserve"> / prix de l'entreprise notée) x 10</w:t>
      </w:r>
    </w:p>
    <w:p w14:paraId="24B5A409" w14:textId="77777777" w:rsidR="00685000" w:rsidRPr="00557C05" w:rsidRDefault="00685000" w:rsidP="00685000">
      <w:pPr>
        <w:pStyle w:val="RedTxt"/>
        <w:jc w:val="both"/>
        <w:rPr>
          <w:i/>
          <w:sz w:val="24"/>
          <w:szCs w:val="24"/>
        </w:rPr>
      </w:pPr>
    </w:p>
    <w:p w14:paraId="6762B1C0" w14:textId="77777777" w:rsidR="00685000" w:rsidRPr="00557C05" w:rsidRDefault="00685000" w:rsidP="00685000">
      <w:pPr>
        <w:pStyle w:val="RedTxt"/>
        <w:jc w:val="both"/>
        <w:rPr>
          <w:i/>
          <w:sz w:val="24"/>
          <w:szCs w:val="24"/>
        </w:rPr>
      </w:pPr>
      <w:r w:rsidRPr="00557C05">
        <w:rPr>
          <w:i/>
          <w:sz w:val="24"/>
          <w:szCs w:val="24"/>
        </w:rPr>
        <w:t>Pour le jugement du critère valeur technique de l'offre, le barème suivant sera utilisé pour chaque sous-critère : 10 = Parfait ; 9 = Excellent ; 8 = Très bon; 7 = Bon; 6 = Assez bon; 5 = Moyen; 4 = Faible; 3 = Assez faible; 2 = Très faible; 1 = Médiocre; 0 = Nulle</w:t>
      </w:r>
    </w:p>
    <w:p w14:paraId="504A13B3" w14:textId="77777777" w:rsidR="00685000" w:rsidRPr="00557C05" w:rsidRDefault="00685000" w:rsidP="00685000">
      <w:pPr>
        <w:pStyle w:val="RedTxt"/>
        <w:jc w:val="both"/>
        <w:rPr>
          <w:sz w:val="24"/>
          <w:szCs w:val="24"/>
        </w:rPr>
      </w:pPr>
    </w:p>
    <w:p w14:paraId="44E2AB05" w14:textId="2953AA44" w:rsidR="00685000" w:rsidRDefault="00685000" w:rsidP="00685000">
      <w:pPr>
        <w:pStyle w:val="RedTxt"/>
        <w:jc w:val="both"/>
        <w:rPr>
          <w:sz w:val="24"/>
          <w:szCs w:val="24"/>
        </w:rPr>
      </w:pPr>
      <w:r w:rsidRPr="00557C05">
        <w:rPr>
          <w:sz w:val="24"/>
          <w:szCs w:val="24"/>
        </w:rPr>
        <w:t>A chaque note sur 10 sera ensuite attribuée la pondération ou sous</w:t>
      </w:r>
      <w:r w:rsidR="00FF735A" w:rsidRPr="00557C05">
        <w:rPr>
          <w:sz w:val="24"/>
          <w:szCs w:val="24"/>
        </w:rPr>
        <w:t>-</w:t>
      </w:r>
      <w:r w:rsidRPr="00557C05">
        <w:rPr>
          <w:sz w:val="24"/>
          <w:szCs w:val="24"/>
        </w:rPr>
        <w:t>pondération correspondante.</w:t>
      </w:r>
    </w:p>
    <w:p w14:paraId="09B7B83D" w14:textId="3DDB47B6" w:rsidR="007A78C8" w:rsidRDefault="007A78C8" w:rsidP="00685000">
      <w:pPr>
        <w:pStyle w:val="RedTxt"/>
        <w:jc w:val="both"/>
        <w:rPr>
          <w:sz w:val="24"/>
          <w:szCs w:val="24"/>
        </w:rPr>
      </w:pPr>
    </w:p>
    <w:p w14:paraId="205AE830" w14:textId="77777777" w:rsidR="007A78C8" w:rsidRPr="00557C05" w:rsidRDefault="007A78C8" w:rsidP="00685000">
      <w:pPr>
        <w:pStyle w:val="RedTxt"/>
        <w:jc w:val="both"/>
        <w:rPr>
          <w:sz w:val="24"/>
          <w:szCs w:val="24"/>
        </w:rPr>
      </w:pPr>
    </w:p>
    <w:p w14:paraId="75365D97" w14:textId="77777777" w:rsidR="00685000" w:rsidRPr="00685000" w:rsidRDefault="00685000" w:rsidP="00685000">
      <w:pPr>
        <w:keepNext/>
        <w:spacing w:before="360" w:after="240"/>
        <w:outlineLvl w:val="0"/>
        <w:rPr>
          <w:rFonts w:asciiTheme="majorHAnsi" w:hAnsiTheme="majorHAnsi" w:cstheme="majorBidi"/>
          <w:color w:val="2F5496" w:themeColor="accent1" w:themeShade="BF"/>
          <w:sz w:val="32"/>
          <w:szCs w:val="32"/>
        </w:rPr>
      </w:pPr>
      <w:bookmarkStart w:id="35" w:name="_Toc494374254"/>
      <w:bookmarkStart w:id="36" w:name="_Toc495351698"/>
      <w:bookmarkStart w:id="37" w:name="_Toc495352046"/>
      <w:bookmarkStart w:id="38" w:name="_Toc495352089"/>
      <w:bookmarkStart w:id="39" w:name="_Toc530413458"/>
      <w:bookmarkStart w:id="40" w:name="_Toc3903488"/>
      <w:bookmarkStart w:id="41" w:name="_Toc61013325"/>
      <w:bookmarkStart w:id="42" w:name="_Toc62030261"/>
      <w:bookmarkStart w:id="43" w:name="_Toc62030285"/>
      <w:bookmarkStart w:id="44" w:name="_Toc62030376"/>
      <w:bookmarkStart w:id="45" w:name="_Toc105759863"/>
      <w:bookmarkStart w:id="46" w:name="_Toc105770327"/>
      <w:bookmarkStart w:id="47" w:name="_Toc114496078"/>
      <w:bookmarkStart w:id="48" w:name="_Toc494374255"/>
      <w:bookmarkStart w:id="49" w:name="_Toc495351699"/>
      <w:bookmarkStart w:id="50" w:name="_Toc495352047"/>
      <w:bookmarkStart w:id="51" w:name="_Toc495352090"/>
      <w:bookmarkStart w:id="52" w:name="_Toc530413459"/>
      <w:bookmarkStart w:id="53" w:name="_Toc3903489"/>
      <w:bookmarkStart w:id="54" w:name="_Toc61013326"/>
      <w:bookmarkStart w:id="55" w:name="_Toc62030262"/>
      <w:bookmarkStart w:id="56" w:name="_Toc62030286"/>
      <w:bookmarkStart w:id="57" w:name="_Toc62030377"/>
      <w:bookmarkStart w:id="58" w:name="_Toc105759864"/>
      <w:bookmarkStart w:id="59" w:name="_Toc105770328"/>
      <w:bookmarkStart w:id="60" w:name="_Toc114496079"/>
      <w:bookmarkStart w:id="61" w:name="_Toc11595893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asciiTheme="majorHAnsi" w:hAnsiTheme="majorHAnsi" w:cstheme="majorBidi"/>
          <w:color w:val="2F5496" w:themeColor="accent1" w:themeShade="BF"/>
          <w:sz w:val="32"/>
          <w:szCs w:val="32"/>
        </w:rPr>
        <w:lastRenderedPageBreak/>
        <w:t>Article 6 : renseignements complé</w:t>
      </w:r>
      <w:r w:rsidRPr="00685000">
        <w:rPr>
          <w:rFonts w:asciiTheme="majorHAnsi" w:hAnsiTheme="majorHAnsi" w:cstheme="majorBidi"/>
          <w:color w:val="2F5496" w:themeColor="accent1" w:themeShade="BF"/>
          <w:sz w:val="32"/>
          <w:szCs w:val="32"/>
        </w:rPr>
        <w:t>mentaires</w:t>
      </w:r>
      <w:bookmarkEnd w:id="61"/>
    </w:p>
    <w:p w14:paraId="41B14E09" w14:textId="7DBFACC2" w:rsidR="007A0350" w:rsidRPr="007A78C8" w:rsidRDefault="00685000" w:rsidP="00685000">
      <w:pPr>
        <w:spacing w:line="280" w:lineRule="exact"/>
        <w:ind w:right="-569"/>
        <w:jc w:val="both"/>
        <w:rPr>
          <w:rFonts w:cs="Arial"/>
          <w:sz w:val="24"/>
        </w:rPr>
      </w:pPr>
      <w:r w:rsidRPr="007A78C8">
        <w:rPr>
          <w:rFonts w:cs="Arial"/>
          <w:sz w:val="24"/>
        </w:rPr>
        <w:t xml:space="preserve">Pour obtenir tous les renseignements complémentaires qui leur seraient nécessaires au cours de leur étude, les candidats devront faire parvenir au plus </w:t>
      </w:r>
      <w:r w:rsidR="00F66CB6">
        <w:rPr>
          <w:rFonts w:cs="Arial"/>
          <w:sz w:val="24"/>
        </w:rPr>
        <w:t xml:space="preserve">tard </w:t>
      </w:r>
      <w:r w:rsidR="00461BE3">
        <w:rPr>
          <w:rFonts w:cs="Arial"/>
          <w:b/>
          <w:sz w:val="24"/>
        </w:rPr>
        <w:t>Lun</w:t>
      </w:r>
      <w:r w:rsidR="007A78C8" w:rsidRPr="00791EF7">
        <w:rPr>
          <w:rFonts w:cs="Arial"/>
          <w:b/>
          <w:sz w:val="24"/>
        </w:rPr>
        <w:t xml:space="preserve">di </w:t>
      </w:r>
      <w:r w:rsidR="00461BE3">
        <w:rPr>
          <w:rFonts w:cs="Arial"/>
          <w:b/>
          <w:sz w:val="24"/>
        </w:rPr>
        <w:t>27</w:t>
      </w:r>
      <w:r w:rsidR="008B2A12">
        <w:rPr>
          <w:rFonts w:cs="Arial"/>
          <w:b/>
          <w:sz w:val="24"/>
        </w:rPr>
        <w:t xml:space="preserve"> janvier</w:t>
      </w:r>
      <w:r w:rsidR="00791EF7">
        <w:rPr>
          <w:rFonts w:cs="Arial"/>
          <w:b/>
          <w:sz w:val="24"/>
        </w:rPr>
        <w:t xml:space="preserve"> 2025</w:t>
      </w:r>
      <w:r w:rsidR="007A78C8" w:rsidRPr="00791EF7">
        <w:rPr>
          <w:rFonts w:cs="Arial"/>
          <w:b/>
          <w:sz w:val="24"/>
        </w:rPr>
        <w:t xml:space="preserve"> 12H</w:t>
      </w:r>
      <w:r w:rsidR="00F66CB6" w:rsidRPr="00791EF7">
        <w:rPr>
          <w:rFonts w:cs="Arial"/>
          <w:b/>
          <w:sz w:val="24"/>
        </w:rPr>
        <w:t>00</w:t>
      </w:r>
      <w:r w:rsidR="007A78C8" w:rsidRPr="00791EF7">
        <w:rPr>
          <w:rFonts w:cs="Arial"/>
          <w:sz w:val="24"/>
        </w:rPr>
        <w:t xml:space="preserve"> ( midi)</w:t>
      </w:r>
      <w:r w:rsidRPr="00791EF7">
        <w:rPr>
          <w:rFonts w:cs="Arial"/>
          <w:sz w:val="24"/>
        </w:rPr>
        <w:t>,</w:t>
      </w:r>
      <w:r w:rsidRPr="007A78C8">
        <w:rPr>
          <w:rFonts w:cs="Arial"/>
          <w:sz w:val="24"/>
        </w:rPr>
        <w:t xml:space="preserve"> une demande par l’intermédiaire du profil d’acheteur du pouvoir adjudicateur, à l’adresse URL suivante : </w:t>
      </w:r>
      <w:hyperlink r:id="rId11" w:history="1">
        <w:r w:rsidR="007A0350" w:rsidRPr="007A78C8">
          <w:rPr>
            <w:rFonts w:cs="Arial"/>
            <w:sz w:val="24"/>
          </w:rPr>
          <w:t>www.marches-publics.gouv.fr</w:t>
        </w:r>
      </w:hyperlink>
      <w:r w:rsidR="007A0350" w:rsidRPr="007A78C8">
        <w:rPr>
          <w:rFonts w:cs="Arial"/>
          <w:sz w:val="24"/>
        </w:rPr>
        <w:t xml:space="preserve">  </w:t>
      </w:r>
      <w:r w:rsidR="00C10BEB" w:rsidRPr="007A78C8">
        <w:rPr>
          <w:sz w:val="24"/>
        </w:rPr>
        <w:t>.</w:t>
      </w:r>
      <w:r w:rsidRPr="007A78C8">
        <w:rPr>
          <w:rFonts w:cs="Arial"/>
          <w:sz w:val="24"/>
        </w:rPr>
        <w:t xml:space="preserve"> </w:t>
      </w:r>
    </w:p>
    <w:p w14:paraId="4A0B8390" w14:textId="77777777" w:rsidR="007A0350" w:rsidRPr="007A78C8" w:rsidRDefault="007A0350" w:rsidP="00685000">
      <w:pPr>
        <w:spacing w:line="280" w:lineRule="exact"/>
        <w:ind w:right="-569"/>
        <w:jc w:val="both"/>
        <w:rPr>
          <w:rFonts w:cs="Arial"/>
          <w:sz w:val="24"/>
        </w:rPr>
      </w:pPr>
      <w:r w:rsidRPr="007A78C8">
        <w:rPr>
          <w:rFonts w:cs="Arial"/>
          <w:sz w:val="24"/>
        </w:rPr>
        <w:t xml:space="preserve">Ou par Email :  </w:t>
      </w:r>
      <w:hyperlink r:id="rId12" w:history="1">
        <w:r w:rsidRPr="007A78C8">
          <w:rPr>
            <w:sz w:val="24"/>
          </w:rPr>
          <w:t>achats@grenoble-em.com</w:t>
        </w:r>
      </w:hyperlink>
    </w:p>
    <w:p w14:paraId="36C3126A" w14:textId="164ECF1F" w:rsidR="00685000" w:rsidRDefault="00685000" w:rsidP="00685000">
      <w:pPr>
        <w:spacing w:line="280" w:lineRule="exact"/>
        <w:ind w:right="-569"/>
        <w:jc w:val="both"/>
        <w:rPr>
          <w:rFonts w:cs="Arial"/>
          <w:sz w:val="24"/>
        </w:rPr>
      </w:pPr>
      <w:r w:rsidRPr="00791EF7">
        <w:rPr>
          <w:rFonts w:cs="Arial"/>
          <w:sz w:val="24"/>
        </w:rPr>
        <w:t>Une réponse sera alors adressée à toutes les entreprises</w:t>
      </w:r>
      <w:r w:rsidR="007A0350" w:rsidRPr="00791EF7">
        <w:rPr>
          <w:rFonts w:cs="Arial"/>
          <w:sz w:val="24"/>
        </w:rPr>
        <w:t xml:space="preserve"> ayant retiré le dossier (avec identification), 6 jours au plus tard avant la date limite de réception des offres.</w:t>
      </w:r>
    </w:p>
    <w:p w14:paraId="7A50B3BA" w14:textId="77777777" w:rsidR="00F1666F" w:rsidRDefault="00F1666F" w:rsidP="00685000">
      <w:pPr>
        <w:spacing w:line="280" w:lineRule="exact"/>
        <w:ind w:right="-569"/>
        <w:jc w:val="both"/>
        <w:rPr>
          <w:rFonts w:cs="Arial"/>
          <w:sz w:val="24"/>
        </w:rPr>
      </w:pPr>
    </w:p>
    <w:p w14:paraId="686C9E78" w14:textId="21093C08" w:rsidR="008B2A12" w:rsidRPr="00F1666F" w:rsidRDefault="008B2A12" w:rsidP="00685000">
      <w:pPr>
        <w:spacing w:line="280" w:lineRule="exact"/>
        <w:ind w:right="-569"/>
        <w:jc w:val="both"/>
        <w:rPr>
          <w:rFonts w:cs="Arial"/>
          <w:b/>
          <w:sz w:val="24"/>
        </w:rPr>
      </w:pPr>
      <w:r w:rsidRPr="00F1666F">
        <w:rPr>
          <w:rFonts w:cs="Arial"/>
          <w:b/>
          <w:sz w:val="24"/>
        </w:rPr>
        <w:t xml:space="preserve">A noter, qu’en raison de la fermeture de GEM entre le 23 décembre 2024 et le 03 janvier 2025, aucune réponse ne pourra être apportée aux questions des candidats durant cette période. Nous veillerons ensuite à y répondre au plus vite. </w:t>
      </w:r>
    </w:p>
    <w:p w14:paraId="6413F2F0" w14:textId="7956820D" w:rsidR="006473DD" w:rsidRDefault="006473DD" w:rsidP="00685000">
      <w:pPr>
        <w:spacing w:line="280" w:lineRule="exact"/>
        <w:ind w:right="-569"/>
        <w:jc w:val="both"/>
        <w:rPr>
          <w:rFonts w:cs="Arial"/>
          <w:szCs w:val="20"/>
        </w:rPr>
      </w:pPr>
    </w:p>
    <w:p w14:paraId="74A643F2" w14:textId="77777777" w:rsidR="00685000" w:rsidRPr="00685000" w:rsidRDefault="00685000" w:rsidP="00685000">
      <w:pPr>
        <w:keepNext/>
        <w:spacing w:before="360" w:after="240"/>
        <w:outlineLvl w:val="0"/>
        <w:rPr>
          <w:rFonts w:asciiTheme="majorHAnsi" w:hAnsiTheme="majorHAnsi" w:cstheme="majorBidi"/>
          <w:color w:val="2F5496" w:themeColor="accent1" w:themeShade="BF"/>
          <w:sz w:val="32"/>
          <w:szCs w:val="32"/>
        </w:rPr>
      </w:pPr>
      <w:bookmarkStart w:id="62" w:name="_Toc454959839"/>
      <w:bookmarkStart w:id="63" w:name="_Toc115958936"/>
      <w:bookmarkStart w:id="64" w:name="_Hlk495351412"/>
      <w:r>
        <w:rPr>
          <w:rFonts w:asciiTheme="majorHAnsi" w:hAnsiTheme="majorHAnsi" w:cstheme="majorBidi"/>
          <w:color w:val="2F5496" w:themeColor="accent1" w:themeShade="BF"/>
          <w:sz w:val="32"/>
          <w:szCs w:val="32"/>
        </w:rPr>
        <w:t>Article 7 : voies et dé</w:t>
      </w:r>
      <w:r w:rsidRPr="00685000">
        <w:rPr>
          <w:rFonts w:asciiTheme="majorHAnsi" w:hAnsiTheme="majorHAnsi" w:cstheme="majorBidi"/>
          <w:color w:val="2F5496" w:themeColor="accent1" w:themeShade="BF"/>
          <w:sz w:val="32"/>
          <w:szCs w:val="32"/>
        </w:rPr>
        <w:t>lais de recours</w:t>
      </w:r>
      <w:bookmarkEnd w:id="62"/>
      <w:bookmarkEnd w:id="63"/>
    </w:p>
    <w:bookmarkEnd w:id="64"/>
    <w:p w14:paraId="29899A25" w14:textId="77777777" w:rsidR="007A0350" w:rsidRPr="007A0350" w:rsidRDefault="007A0350" w:rsidP="007A0350">
      <w:pPr>
        <w:keepLines/>
        <w:tabs>
          <w:tab w:val="left" w:pos="567"/>
          <w:tab w:val="left" w:pos="851"/>
          <w:tab w:val="left" w:pos="1134"/>
        </w:tabs>
        <w:jc w:val="both"/>
        <w:rPr>
          <w:rFonts w:cs="Arial"/>
          <w:b/>
          <w:szCs w:val="20"/>
        </w:rPr>
      </w:pPr>
      <w:r w:rsidRPr="007A0350">
        <w:rPr>
          <w:rFonts w:cs="Arial"/>
          <w:b/>
          <w:szCs w:val="20"/>
        </w:rPr>
        <w:t>Instance chargée des procédures de recours:</w:t>
      </w:r>
    </w:p>
    <w:p w14:paraId="1EEB4167" w14:textId="77777777" w:rsidR="007A0350" w:rsidRPr="007A0350" w:rsidRDefault="007A0350" w:rsidP="007A0350">
      <w:pPr>
        <w:keepLines/>
        <w:tabs>
          <w:tab w:val="left" w:pos="567"/>
          <w:tab w:val="left" w:pos="851"/>
          <w:tab w:val="left" w:pos="1134"/>
        </w:tabs>
        <w:jc w:val="both"/>
        <w:rPr>
          <w:rFonts w:cs="Arial"/>
          <w:szCs w:val="20"/>
        </w:rPr>
      </w:pPr>
    </w:p>
    <w:p w14:paraId="4238DC97" w14:textId="4D53169E" w:rsidR="007A0350" w:rsidRPr="00F66CB6" w:rsidRDefault="007A0350" w:rsidP="007A0350">
      <w:pPr>
        <w:keepLines/>
        <w:tabs>
          <w:tab w:val="left" w:pos="567"/>
          <w:tab w:val="left" w:pos="851"/>
          <w:tab w:val="left" w:pos="1134"/>
        </w:tabs>
        <w:jc w:val="both"/>
        <w:rPr>
          <w:rFonts w:cs="Arial"/>
          <w:sz w:val="24"/>
        </w:rPr>
      </w:pPr>
      <w:r w:rsidRPr="00F66CB6">
        <w:rPr>
          <w:rFonts w:cs="Arial"/>
          <w:sz w:val="24"/>
        </w:rPr>
        <w:t xml:space="preserve">Tribunal </w:t>
      </w:r>
      <w:r w:rsidR="001A37A0" w:rsidRPr="00F66CB6">
        <w:rPr>
          <w:rFonts w:cs="Arial"/>
          <w:sz w:val="24"/>
        </w:rPr>
        <w:t>judiciaire</w:t>
      </w:r>
      <w:r w:rsidRPr="00F66CB6">
        <w:rPr>
          <w:rFonts w:cs="Arial"/>
          <w:sz w:val="24"/>
        </w:rPr>
        <w:t xml:space="preserve"> de Lyon : 67 Rue Servient, 69</w:t>
      </w:r>
      <w:r w:rsidR="001A37A0" w:rsidRPr="00F66CB6">
        <w:rPr>
          <w:rFonts w:cs="Arial"/>
          <w:sz w:val="24"/>
        </w:rPr>
        <w:t>43</w:t>
      </w:r>
      <w:r w:rsidRPr="00F66CB6">
        <w:rPr>
          <w:rFonts w:cs="Arial"/>
          <w:sz w:val="24"/>
        </w:rPr>
        <w:t>3 Lyon</w:t>
      </w:r>
      <w:r w:rsidR="001A37A0" w:rsidRPr="00F66CB6">
        <w:rPr>
          <w:rFonts w:cs="Arial"/>
          <w:sz w:val="24"/>
        </w:rPr>
        <w:t xml:space="preserve"> CEDEX 03</w:t>
      </w:r>
      <w:r w:rsidRPr="00F66CB6">
        <w:rPr>
          <w:rFonts w:cs="Arial"/>
          <w:sz w:val="24"/>
        </w:rPr>
        <w:t xml:space="preserve">. </w:t>
      </w:r>
    </w:p>
    <w:p w14:paraId="1A737456" w14:textId="77777777" w:rsidR="007A0350" w:rsidRPr="00F66CB6" w:rsidRDefault="007A0350" w:rsidP="007A0350">
      <w:pPr>
        <w:keepLines/>
        <w:tabs>
          <w:tab w:val="left" w:pos="567"/>
          <w:tab w:val="left" w:pos="851"/>
          <w:tab w:val="left" w:pos="1134"/>
        </w:tabs>
        <w:jc w:val="both"/>
        <w:rPr>
          <w:rFonts w:cs="Arial"/>
          <w:sz w:val="24"/>
        </w:rPr>
      </w:pPr>
      <w:r w:rsidRPr="00F66CB6">
        <w:rPr>
          <w:rFonts w:cs="Arial"/>
          <w:sz w:val="24"/>
        </w:rPr>
        <w:t>Téléphone 08 26 30 30 42. Télécopie : 08 26 30 20 25</w:t>
      </w:r>
    </w:p>
    <w:p w14:paraId="5A42B4CC" w14:textId="77777777" w:rsidR="007A0350" w:rsidRPr="007A0350" w:rsidRDefault="007A0350" w:rsidP="007A0350">
      <w:pPr>
        <w:keepLines/>
        <w:tabs>
          <w:tab w:val="left" w:pos="567"/>
          <w:tab w:val="left" w:pos="851"/>
          <w:tab w:val="left" w:pos="1134"/>
        </w:tabs>
        <w:jc w:val="both"/>
        <w:rPr>
          <w:rFonts w:cs="Arial"/>
          <w:szCs w:val="20"/>
        </w:rPr>
      </w:pPr>
    </w:p>
    <w:p w14:paraId="4C1EE0BB" w14:textId="77777777" w:rsidR="007A0350" w:rsidRPr="007A0350" w:rsidRDefault="007A0350" w:rsidP="007A0350">
      <w:pPr>
        <w:keepLines/>
        <w:tabs>
          <w:tab w:val="left" w:pos="567"/>
          <w:tab w:val="left" w:pos="851"/>
          <w:tab w:val="left" w:pos="1134"/>
        </w:tabs>
        <w:jc w:val="both"/>
        <w:rPr>
          <w:rFonts w:cs="Arial"/>
          <w:b/>
          <w:szCs w:val="20"/>
        </w:rPr>
      </w:pPr>
      <w:r w:rsidRPr="007A0350">
        <w:rPr>
          <w:rFonts w:cs="Arial"/>
          <w:b/>
          <w:szCs w:val="20"/>
        </w:rPr>
        <w:t xml:space="preserve">Voies de recours ouvertes aux candidats : </w:t>
      </w:r>
    </w:p>
    <w:p w14:paraId="57A051FB" w14:textId="77777777" w:rsidR="007A0350" w:rsidRPr="007A0350" w:rsidRDefault="007A0350" w:rsidP="007A0350">
      <w:pPr>
        <w:keepLines/>
        <w:tabs>
          <w:tab w:val="left" w:pos="567"/>
          <w:tab w:val="left" w:pos="851"/>
          <w:tab w:val="left" w:pos="1134"/>
        </w:tabs>
        <w:jc w:val="both"/>
        <w:rPr>
          <w:rFonts w:cs="Arial"/>
          <w:szCs w:val="20"/>
        </w:rPr>
      </w:pPr>
    </w:p>
    <w:p w14:paraId="3C75E12D" w14:textId="77777777" w:rsidR="007A0350" w:rsidRPr="00F66CB6" w:rsidRDefault="007A0350" w:rsidP="007A0350">
      <w:pPr>
        <w:keepLines/>
        <w:tabs>
          <w:tab w:val="left" w:pos="567"/>
          <w:tab w:val="left" w:pos="851"/>
          <w:tab w:val="left" w:pos="1134"/>
        </w:tabs>
        <w:jc w:val="both"/>
        <w:rPr>
          <w:rFonts w:cs="Arial"/>
          <w:sz w:val="24"/>
        </w:rPr>
      </w:pPr>
      <w:r w:rsidRPr="007A0350">
        <w:rPr>
          <w:rFonts w:cs="Arial"/>
          <w:szCs w:val="20"/>
        </w:rPr>
        <w:t>-</w:t>
      </w:r>
      <w:r w:rsidRPr="00F66CB6">
        <w:rPr>
          <w:rFonts w:cs="Arial"/>
          <w:sz w:val="24"/>
        </w:rPr>
        <w:t>Référé précontractuel pouvant être exercé avant la signature du contrat (Articles 2 et suivants de l’ordonnance n° 2009-515 du 7 mai 2009)</w:t>
      </w:r>
    </w:p>
    <w:p w14:paraId="114C50C5" w14:textId="77777777" w:rsidR="007A0350" w:rsidRPr="00F66CB6" w:rsidRDefault="007A0350" w:rsidP="007A0350">
      <w:pPr>
        <w:keepLines/>
        <w:tabs>
          <w:tab w:val="left" w:pos="567"/>
          <w:tab w:val="left" w:pos="851"/>
          <w:tab w:val="left" w:pos="1134"/>
        </w:tabs>
        <w:jc w:val="both"/>
        <w:rPr>
          <w:rFonts w:cs="Arial"/>
          <w:sz w:val="24"/>
        </w:rPr>
      </w:pPr>
      <w:r w:rsidRPr="00F66CB6">
        <w:rPr>
          <w:rFonts w:cs="Arial"/>
          <w:sz w:val="24"/>
        </w:rPr>
        <w:t xml:space="preserve">-Référé contractuel dans les 31 jours à compter de la publication d’un avis d’attribution du marché (Articles 11 et suivants de l’ordonnance du 7 mai 2009)                                      </w:t>
      </w:r>
    </w:p>
    <w:p w14:paraId="37C34BBE" w14:textId="77777777" w:rsidR="00685000" w:rsidRPr="00F66CB6" w:rsidRDefault="007A0350" w:rsidP="007A0350">
      <w:pPr>
        <w:keepLines/>
        <w:tabs>
          <w:tab w:val="left" w:pos="567"/>
          <w:tab w:val="left" w:pos="851"/>
          <w:tab w:val="left" w:pos="1134"/>
        </w:tabs>
        <w:jc w:val="both"/>
        <w:rPr>
          <w:rFonts w:cs="Arial"/>
          <w:sz w:val="24"/>
        </w:rPr>
      </w:pPr>
      <w:r w:rsidRPr="00F66CB6">
        <w:rPr>
          <w:rFonts w:cs="Arial"/>
          <w:sz w:val="24"/>
        </w:rPr>
        <w:t>Les différents recours sont également soumis aux articles L 1441-1 à L 1441-3 du Code de procédure civile.</w:t>
      </w:r>
    </w:p>
    <w:p w14:paraId="5A3D7803" w14:textId="77777777" w:rsidR="00685000" w:rsidRDefault="00685000" w:rsidP="00685000">
      <w:pPr>
        <w:pStyle w:val="Corpsdetexte"/>
        <w:tabs>
          <w:tab w:val="left" w:pos="5103"/>
        </w:tabs>
        <w:spacing w:line="280" w:lineRule="exact"/>
        <w:ind w:right="-569"/>
        <w:rPr>
          <w:sz w:val="22"/>
          <w:szCs w:val="22"/>
        </w:rPr>
      </w:pPr>
    </w:p>
    <w:p w14:paraId="385B8E72" w14:textId="77777777" w:rsidR="0054510F" w:rsidRDefault="0054510F" w:rsidP="000F7819">
      <w:pPr>
        <w:pStyle w:val="Corpsdetexte"/>
        <w:tabs>
          <w:tab w:val="left" w:pos="5103"/>
        </w:tabs>
        <w:spacing w:line="280" w:lineRule="exact"/>
        <w:ind w:right="-569"/>
        <w:rPr>
          <w:sz w:val="22"/>
          <w:szCs w:val="22"/>
        </w:rPr>
      </w:pPr>
    </w:p>
    <w:sectPr w:rsidR="0054510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D977" w14:textId="77777777" w:rsidR="008A6F95" w:rsidRDefault="008A6F95" w:rsidP="005F73D0">
      <w:r>
        <w:separator/>
      </w:r>
    </w:p>
  </w:endnote>
  <w:endnote w:type="continuationSeparator" w:id="0">
    <w:p w14:paraId="0D222335" w14:textId="77777777" w:rsidR="008A6F95" w:rsidRDefault="008A6F95" w:rsidP="005F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667377"/>
      <w:docPartObj>
        <w:docPartGallery w:val="Page Numbers (Bottom of Page)"/>
        <w:docPartUnique/>
      </w:docPartObj>
    </w:sdtPr>
    <w:sdtEndPr/>
    <w:sdtContent>
      <w:p w14:paraId="3D2DF90E" w14:textId="6D6D9003" w:rsidR="00EA6744" w:rsidRDefault="00EA6744">
        <w:pPr>
          <w:pStyle w:val="Pieddepage"/>
          <w:jc w:val="right"/>
        </w:pPr>
        <w:r>
          <w:fldChar w:fldCharType="begin"/>
        </w:r>
        <w:r>
          <w:instrText>PAGE   \* MERGEFORMAT</w:instrText>
        </w:r>
        <w:r>
          <w:fldChar w:fldCharType="separate"/>
        </w:r>
        <w:r w:rsidR="00FF6033">
          <w:rPr>
            <w:noProof/>
          </w:rPr>
          <w:t>9</w:t>
        </w:r>
        <w:r>
          <w:fldChar w:fldCharType="end"/>
        </w:r>
      </w:p>
    </w:sdtContent>
  </w:sdt>
  <w:p w14:paraId="27B85618" w14:textId="77777777" w:rsidR="00EA6744" w:rsidRDefault="00EA67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F06AB" w14:textId="77777777" w:rsidR="008A6F95" w:rsidRDefault="008A6F95" w:rsidP="005F73D0">
      <w:r>
        <w:separator/>
      </w:r>
    </w:p>
  </w:footnote>
  <w:footnote w:type="continuationSeparator" w:id="0">
    <w:p w14:paraId="6F4E33D5" w14:textId="77777777" w:rsidR="008A6F95" w:rsidRDefault="008A6F95" w:rsidP="005F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DD0"/>
    <w:multiLevelType w:val="hybridMultilevel"/>
    <w:tmpl w:val="2DEAF6AC"/>
    <w:lvl w:ilvl="0" w:tplc="B7360256">
      <w:start w:val="1"/>
      <w:numFmt w:val="bullet"/>
      <w:lvlText w:val=""/>
      <w:lvlJc w:val="left"/>
      <w:pPr>
        <w:ind w:left="720" w:hanging="360"/>
      </w:pPr>
      <w:rPr>
        <w:rFonts w:ascii="Symbol" w:hAnsi="Symbol" w:hint="default"/>
      </w:rPr>
    </w:lvl>
    <w:lvl w:ilvl="1" w:tplc="100AD4E6">
      <w:start w:val="1"/>
      <w:numFmt w:val="bullet"/>
      <w:lvlText w:val="o"/>
      <w:lvlJc w:val="left"/>
      <w:pPr>
        <w:ind w:left="1440" w:hanging="360"/>
      </w:pPr>
      <w:rPr>
        <w:rFonts w:ascii="Courier New" w:hAnsi="Courier New" w:hint="default"/>
      </w:rPr>
    </w:lvl>
    <w:lvl w:ilvl="2" w:tplc="0DAAA856">
      <w:start w:val="1"/>
      <w:numFmt w:val="bullet"/>
      <w:lvlText w:val=""/>
      <w:lvlJc w:val="left"/>
      <w:pPr>
        <w:ind w:left="2160" w:hanging="360"/>
      </w:pPr>
      <w:rPr>
        <w:rFonts w:ascii="Wingdings" w:hAnsi="Wingdings" w:hint="default"/>
      </w:rPr>
    </w:lvl>
    <w:lvl w:ilvl="3" w:tplc="60AABDFE">
      <w:start w:val="1"/>
      <w:numFmt w:val="bullet"/>
      <w:lvlText w:val=""/>
      <w:lvlJc w:val="left"/>
      <w:pPr>
        <w:ind w:left="2880" w:hanging="360"/>
      </w:pPr>
      <w:rPr>
        <w:rFonts w:ascii="Symbol" w:hAnsi="Symbol" w:hint="default"/>
      </w:rPr>
    </w:lvl>
    <w:lvl w:ilvl="4" w:tplc="6CA6859A">
      <w:start w:val="1"/>
      <w:numFmt w:val="bullet"/>
      <w:lvlText w:val="o"/>
      <w:lvlJc w:val="left"/>
      <w:pPr>
        <w:ind w:left="3600" w:hanging="360"/>
      </w:pPr>
      <w:rPr>
        <w:rFonts w:ascii="Courier New" w:hAnsi="Courier New" w:hint="default"/>
      </w:rPr>
    </w:lvl>
    <w:lvl w:ilvl="5" w:tplc="F170197E">
      <w:start w:val="1"/>
      <w:numFmt w:val="bullet"/>
      <w:lvlText w:val=""/>
      <w:lvlJc w:val="left"/>
      <w:pPr>
        <w:ind w:left="4320" w:hanging="360"/>
      </w:pPr>
      <w:rPr>
        <w:rFonts w:ascii="Wingdings" w:hAnsi="Wingdings" w:hint="default"/>
      </w:rPr>
    </w:lvl>
    <w:lvl w:ilvl="6" w:tplc="3600083A">
      <w:start w:val="1"/>
      <w:numFmt w:val="bullet"/>
      <w:lvlText w:val=""/>
      <w:lvlJc w:val="left"/>
      <w:pPr>
        <w:ind w:left="5040" w:hanging="360"/>
      </w:pPr>
      <w:rPr>
        <w:rFonts w:ascii="Symbol" w:hAnsi="Symbol" w:hint="default"/>
      </w:rPr>
    </w:lvl>
    <w:lvl w:ilvl="7" w:tplc="1A2E9CE6">
      <w:start w:val="1"/>
      <w:numFmt w:val="bullet"/>
      <w:lvlText w:val="o"/>
      <w:lvlJc w:val="left"/>
      <w:pPr>
        <w:ind w:left="5760" w:hanging="360"/>
      </w:pPr>
      <w:rPr>
        <w:rFonts w:ascii="Courier New" w:hAnsi="Courier New" w:hint="default"/>
      </w:rPr>
    </w:lvl>
    <w:lvl w:ilvl="8" w:tplc="B73C2672">
      <w:start w:val="1"/>
      <w:numFmt w:val="bullet"/>
      <w:lvlText w:val=""/>
      <w:lvlJc w:val="left"/>
      <w:pPr>
        <w:ind w:left="6480" w:hanging="360"/>
      </w:pPr>
      <w:rPr>
        <w:rFonts w:ascii="Wingdings" w:hAnsi="Wingdings" w:hint="default"/>
      </w:rPr>
    </w:lvl>
  </w:abstractNum>
  <w:abstractNum w:abstractNumId="1" w15:restartNumberingAfterBreak="0">
    <w:nsid w:val="0546753C"/>
    <w:multiLevelType w:val="hybridMultilevel"/>
    <w:tmpl w:val="B5226A10"/>
    <w:lvl w:ilvl="0" w:tplc="040C0003">
      <w:start w:val="1"/>
      <w:numFmt w:val="bullet"/>
      <w:lvlText w:val="o"/>
      <w:lvlJc w:val="left"/>
      <w:pPr>
        <w:ind w:left="1069" w:hanging="360"/>
      </w:pPr>
      <w:rPr>
        <w:rFonts w:ascii="Courier New" w:hAnsi="Courier New" w:cs="Courier New" w:hint="default"/>
        <w:i/>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 w15:restartNumberingAfterBreak="0">
    <w:nsid w:val="09C62BA5"/>
    <w:multiLevelType w:val="hybridMultilevel"/>
    <w:tmpl w:val="05FC1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AD2D7D"/>
    <w:multiLevelType w:val="hybridMultilevel"/>
    <w:tmpl w:val="8078DD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94569F6"/>
    <w:multiLevelType w:val="hybridMultilevel"/>
    <w:tmpl w:val="E292A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43FD5"/>
    <w:multiLevelType w:val="hybridMultilevel"/>
    <w:tmpl w:val="91F4D5A2"/>
    <w:lvl w:ilvl="0" w:tplc="70C82F00">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2C200BA6"/>
    <w:multiLevelType w:val="hybridMultilevel"/>
    <w:tmpl w:val="35880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2E0F83"/>
    <w:multiLevelType w:val="hybridMultilevel"/>
    <w:tmpl w:val="9CB09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717C2A"/>
    <w:multiLevelType w:val="hybridMultilevel"/>
    <w:tmpl w:val="63EA5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910838"/>
    <w:multiLevelType w:val="hybridMultilevel"/>
    <w:tmpl w:val="16F29B32"/>
    <w:lvl w:ilvl="0" w:tplc="7A383C0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25B87"/>
    <w:multiLevelType w:val="multilevel"/>
    <w:tmpl w:val="34449AFC"/>
    <w:lvl w:ilvl="0">
      <w:start w:val="1"/>
      <w:numFmt w:val="decimal"/>
      <w:lvlText w:val="%1."/>
      <w:lvlJc w:val="left"/>
      <w:pPr>
        <w:tabs>
          <w:tab w:val="num" w:pos="5180"/>
        </w:tabs>
        <w:ind w:left="5180" w:hanging="360"/>
      </w:pPr>
      <w:rPr>
        <w:rFonts w:hint="default"/>
      </w:rPr>
    </w:lvl>
    <w:lvl w:ilvl="1">
      <w:start w:val="1"/>
      <w:numFmt w:val="decimal"/>
      <w:pStyle w:val="Titre2"/>
      <w:lvlText w:val="%1.%2."/>
      <w:lvlJc w:val="left"/>
      <w:pPr>
        <w:tabs>
          <w:tab w:val="num" w:pos="5612"/>
        </w:tabs>
        <w:ind w:left="5612" w:hanging="432"/>
      </w:pPr>
      <w:rPr>
        <w:rFonts w:hint="default"/>
      </w:rPr>
    </w:lvl>
    <w:lvl w:ilvl="2">
      <w:start w:val="1"/>
      <w:numFmt w:val="decimal"/>
      <w:lvlText w:val="%1.%2.%3."/>
      <w:lvlJc w:val="left"/>
      <w:pPr>
        <w:tabs>
          <w:tab w:val="num" w:pos="6260"/>
        </w:tabs>
        <w:ind w:left="6044" w:hanging="504"/>
      </w:pPr>
      <w:rPr>
        <w:rFonts w:hint="default"/>
      </w:rPr>
    </w:lvl>
    <w:lvl w:ilvl="3">
      <w:start w:val="1"/>
      <w:numFmt w:val="decimal"/>
      <w:lvlText w:val="%1.%2.%3.%4."/>
      <w:lvlJc w:val="left"/>
      <w:pPr>
        <w:tabs>
          <w:tab w:val="num" w:pos="6620"/>
        </w:tabs>
        <w:ind w:left="6548" w:hanging="648"/>
      </w:pPr>
      <w:rPr>
        <w:rFonts w:hint="default"/>
      </w:rPr>
    </w:lvl>
    <w:lvl w:ilvl="4">
      <w:start w:val="1"/>
      <w:numFmt w:val="decimal"/>
      <w:lvlText w:val="%1.%2.%3.%4.%5."/>
      <w:lvlJc w:val="left"/>
      <w:pPr>
        <w:tabs>
          <w:tab w:val="num" w:pos="7340"/>
        </w:tabs>
        <w:ind w:left="7052" w:hanging="792"/>
      </w:pPr>
      <w:rPr>
        <w:rFonts w:hint="default"/>
      </w:rPr>
    </w:lvl>
    <w:lvl w:ilvl="5">
      <w:start w:val="1"/>
      <w:numFmt w:val="decimal"/>
      <w:lvlText w:val="%1.%2.%3.%4.%5.%6."/>
      <w:lvlJc w:val="left"/>
      <w:pPr>
        <w:tabs>
          <w:tab w:val="num" w:pos="7700"/>
        </w:tabs>
        <w:ind w:left="7556" w:hanging="936"/>
      </w:pPr>
      <w:rPr>
        <w:rFonts w:hint="default"/>
      </w:rPr>
    </w:lvl>
    <w:lvl w:ilvl="6">
      <w:start w:val="1"/>
      <w:numFmt w:val="decimal"/>
      <w:pStyle w:val="Titre7"/>
      <w:lvlText w:val="%1.%2"/>
      <w:lvlJc w:val="left"/>
      <w:pPr>
        <w:tabs>
          <w:tab w:val="num" w:pos="8060"/>
        </w:tabs>
        <w:ind w:left="8060" w:hanging="1080"/>
      </w:pPr>
      <w:rPr>
        <w:rFonts w:hint="default"/>
      </w:rPr>
    </w:lvl>
    <w:lvl w:ilvl="7">
      <w:start w:val="1"/>
      <w:numFmt w:val="decimal"/>
      <w:lvlText w:val="%1.%2.%3.%4.%5.%6.%7.%8."/>
      <w:lvlJc w:val="left"/>
      <w:pPr>
        <w:tabs>
          <w:tab w:val="num" w:pos="8780"/>
        </w:tabs>
        <w:ind w:left="8564" w:hanging="1224"/>
      </w:pPr>
      <w:rPr>
        <w:rFonts w:hint="default"/>
      </w:rPr>
    </w:lvl>
    <w:lvl w:ilvl="8">
      <w:start w:val="1"/>
      <w:numFmt w:val="decimal"/>
      <w:lvlText w:val="%1.%2.%3.%4.%5.%6.%7.%8.%9."/>
      <w:lvlJc w:val="left"/>
      <w:pPr>
        <w:tabs>
          <w:tab w:val="num" w:pos="9500"/>
        </w:tabs>
        <w:ind w:left="9140" w:hanging="1440"/>
      </w:pPr>
      <w:rPr>
        <w:rFonts w:hint="default"/>
      </w:rPr>
    </w:lvl>
  </w:abstractNum>
  <w:abstractNum w:abstractNumId="11" w15:restartNumberingAfterBreak="0">
    <w:nsid w:val="51D21AD1"/>
    <w:multiLevelType w:val="hybridMultilevel"/>
    <w:tmpl w:val="CF7EB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1B6F17"/>
    <w:multiLevelType w:val="hybridMultilevel"/>
    <w:tmpl w:val="A152727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B9238B1"/>
    <w:multiLevelType w:val="hybridMultilevel"/>
    <w:tmpl w:val="50927278"/>
    <w:lvl w:ilvl="0" w:tplc="D964532C">
      <w:start w:val="14"/>
      <w:numFmt w:val="bullet"/>
      <w:lvlText w:val="-"/>
      <w:lvlJc w:val="left"/>
      <w:pPr>
        <w:ind w:left="360" w:hanging="360"/>
      </w:pPr>
      <w:rPr>
        <w:rFonts w:ascii="Arial" w:eastAsia="Times New Roman" w:hAnsi="Arial" w:cs="Arial"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615E1259"/>
    <w:multiLevelType w:val="hybridMultilevel"/>
    <w:tmpl w:val="C7BC019E"/>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6E7E69"/>
    <w:multiLevelType w:val="hybridMultilevel"/>
    <w:tmpl w:val="B9102DF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BB0A12"/>
    <w:multiLevelType w:val="hybridMultilevel"/>
    <w:tmpl w:val="E92E1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C4126E"/>
    <w:multiLevelType w:val="hybridMultilevel"/>
    <w:tmpl w:val="B25CFC46"/>
    <w:lvl w:ilvl="0" w:tplc="BD3AE902">
      <w:start w:val="4"/>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10"/>
  </w:num>
  <w:num w:numId="2">
    <w:abstractNumId w:val="12"/>
  </w:num>
  <w:num w:numId="3">
    <w:abstractNumId w:val="16"/>
  </w:num>
  <w:num w:numId="4">
    <w:abstractNumId w:val="11"/>
  </w:num>
  <w:num w:numId="5">
    <w:abstractNumId w:val="2"/>
  </w:num>
  <w:num w:numId="6">
    <w:abstractNumId w:val="17"/>
  </w:num>
  <w:num w:numId="7">
    <w:abstractNumId w:val="0"/>
  </w:num>
  <w:num w:numId="8">
    <w:abstractNumId w:val="9"/>
  </w:num>
  <w:num w:numId="9">
    <w:abstractNumId w:val="14"/>
  </w:num>
  <w:num w:numId="10">
    <w:abstractNumId w:val="13"/>
  </w:num>
  <w:num w:numId="11">
    <w:abstractNumId w:val="1"/>
  </w:num>
  <w:num w:numId="12">
    <w:abstractNumId w:val="5"/>
  </w:num>
  <w:num w:numId="13">
    <w:abstractNumId w:val="3"/>
  </w:num>
  <w:num w:numId="14">
    <w:abstractNumId w:val="8"/>
  </w:num>
  <w:num w:numId="15">
    <w:abstractNumId w:val="6"/>
  </w:num>
  <w:num w:numId="16">
    <w:abstractNumId w:val="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F9"/>
    <w:rsid w:val="00026EAA"/>
    <w:rsid w:val="0003080B"/>
    <w:rsid w:val="000546DC"/>
    <w:rsid w:val="00065380"/>
    <w:rsid w:val="000E3E7E"/>
    <w:rsid w:val="000F2815"/>
    <w:rsid w:val="000F7819"/>
    <w:rsid w:val="001250ED"/>
    <w:rsid w:val="001543B7"/>
    <w:rsid w:val="00166E56"/>
    <w:rsid w:val="00177CEB"/>
    <w:rsid w:val="00185C9E"/>
    <w:rsid w:val="001A37A0"/>
    <w:rsid w:val="001A766A"/>
    <w:rsid w:val="001B46B5"/>
    <w:rsid w:val="001D46C3"/>
    <w:rsid w:val="001E0852"/>
    <w:rsid w:val="0020184E"/>
    <w:rsid w:val="0022004C"/>
    <w:rsid w:val="0022718A"/>
    <w:rsid w:val="00255C44"/>
    <w:rsid w:val="00287035"/>
    <w:rsid w:val="002B5479"/>
    <w:rsid w:val="002C140D"/>
    <w:rsid w:val="002C7F13"/>
    <w:rsid w:val="0030155E"/>
    <w:rsid w:val="00302B29"/>
    <w:rsid w:val="00311D0D"/>
    <w:rsid w:val="00312CC0"/>
    <w:rsid w:val="0032156A"/>
    <w:rsid w:val="00340347"/>
    <w:rsid w:val="00344CA6"/>
    <w:rsid w:val="00364F93"/>
    <w:rsid w:val="003750BF"/>
    <w:rsid w:val="00386C3D"/>
    <w:rsid w:val="00387FC2"/>
    <w:rsid w:val="003B6171"/>
    <w:rsid w:val="003D0973"/>
    <w:rsid w:val="003D0C32"/>
    <w:rsid w:val="003D1606"/>
    <w:rsid w:val="003D3A78"/>
    <w:rsid w:val="003D5F85"/>
    <w:rsid w:val="004249E7"/>
    <w:rsid w:val="00440CBB"/>
    <w:rsid w:val="00454A2B"/>
    <w:rsid w:val="00461BE3"/>
    <w:rsid w:val="004A6ADE"/>
    <w:rsid w:val="004B3F00"/>
    <w:rsid w:val="004C565A"/>
    <w:rsid w:val="004D790C"/>
    <w:rsid w:val="004E0671"/>
    <w:rsid w:val="004E1B99"/>
    <w:rsid w:val="004F2F8D"/>
    <w:rsid w:val="004F7074"/>
    <w:rsid w:val="00513771"/>
    <w:rsid w:val="0054510F"/>
    <w:rsid w:val="00557C05"/>
    <w:rsid w:val="0056016D"/>
    <w:rsid w:val="00563910"/>
    <w:rsid w:val="00563C38"/>
    <w:rsid w:val="005651A1"/>
    <w:rsid w:val="00591B8A"/>
    <w:rsid w:val="005D7522"/>
    <w:rsid w:val="005E3111"/>
    <w:rsid w:val="005E5FDF"/>
    <w:rsid w:val="005E73D2"/>
    <w:rsid w:val="005F73D0"/>
    <w:rsid w:val="006036ED"/>
    <w:rsid w:val="00613024"/>
    <w:rsid w:val="0061491A"/>
    <w:rsid w:val="00643E0B"/>
    <w:rsid w:val="006473DD"/>
    <w:rsid w:val="00662389"/>
    <w:rsid w:val="00662493"/>
    <w:rsid w:val="006748E9"/>
    <w:rsid w:val="00685000"/>
    <w:rsid w:val="006B3EB4"/>
    <w:rsid w:val="006C4DE6"/>
    <w:rsid w:val="006E4A67"/>
    <w:rsid w:val="006E7543"/>
    <w:rsid w:val="006F23DD"/>
    <w:rsid w:val="007150BE"/>
    <w:rsid w:val="007336D9"/>
    <w:rsid w:val="00740C08"/>
    <w:rsid w:val="00751B96"/>
    <w:rsid w:val="00765647"/>
    <w:rsid w:val="00766529"/>
    <w:rsid w:val="00791EF7"/>
    <w:rsid w:val="007A0350"/>
    <w:rsid w:val="007A3A11"/>
    <w:rsid w:val="007A78C8"/>
    <w:rsid w:val="007C3E2F"/>
    <w:rsid w:val="007C53D3"/>
    <w:rsid w:val="007E6FFF"/>
    <w:rsid w:val="00800104"/>
    <w:rsid w:val="00822703"/>
    <w:rsid w:val="00825AF2"/>
    <w:rsid w:val="00826453"/>
    <w:rsid w:val="00826F22"/>
    <w:rsid w:val="008468DE"/>
    <w:rsid w:val="00873FC5"/>
    <w:rsid w:val="008A6F95"/>
    <w:rsid w:val="008B2A12"/>
    <w:rsid w:val="008C399A"/>
    <w:rsid w:val="008E24A4"/>
    <w:rsid w:val="00904A5A"/>
    <w:rsid w:val="00920CF2"/>
    <w:rsid w:val="00947D4A"/>
    <w:rsid w:val="00963BEA"/>
    <w:rsid w:val="00964FAD"/>
    <w:rsid w:val="00972B39"/>
    <w:rsid w:val="009821A9"/>
    <w:rsid w:val="009874B5"/>
    <w:rsid w:val="009A7BF0"/>
    <w:rsid w:val="009C67BC"/>
    <w:rsid w:val="00A277C1"/>
    <w:rsid w:val="00A377F5"/>
    <w:rsid w:val="00A574CA"/>
    <w:rsid w:val="00A90562"/>
    <w:rsid w:val="00AB0F07"/>
    <w:rsid w:val="00AB463B"/>
    <w:rsid w:val="00AD1DD0"/>
    <w:rsid w:val="00AD38F5"/>
    <w:rsid w:val="00B2412A"/>
    <w:rsid w:val="00B9110D"/>
    <w:rsid w:val="00BB1A38"/>
    <w:rsid w:val="00BD5356"/>
    <w:rsid w:val="00BE2EC5"/>
    <w:rsid w:val="00BE7059"/>
    <w:rsid w:val="00BF0BA6"/>
    <w:rsid w:val="00C00D63"/>
    <w:rsid w:val="00C03B3F"/>
    <w:rsid w:val="00C10BEB"/>
    <w:rsid w:val="00C17D02"/>
    <w:rsid w:val="00C62107"/>
    <w:rsid w:val="00C76CD3"/>
    <w:rsid w:val="00C91C5E"/>
    <w:rsid w:val="00CA467A"/>
    <w:rsid w:val="00CB6264"/>
    <w:rsid w:val="00CC5C15"/>
    <w:rsid w:val="00CC6C9E"/>
    <w:rsid w:val="00CD24B3"/>
    <w:rsid w:val="00D00F7F"/>
    <w:rsid w:val="00D12F3E"/>
    <w:rsid w:val="00D13D67"/>
    <w:rsid w:val="00D43DF9"/>
    <w:rsid w:val="00D476FB"/>
    <w:rsid w:val="00D75B05"/>
    <w:rsid w:val="00D808AF"/>
    <w:rsid w:val="00DA2BB4"/>
    <w:rsid w:val="00DC14E0"/>
    <w:rsid w:val="00DD05A6"/>
    <w:rsid w:val="00DE3CDD"/>
    <w:rsid w:val="00DE753B"/>
    <w:rsid w:val="00E2031F"/>
    <w:rsid w:val="00E243A7"/>
    <w:rsid w:val="00E43143"/>
    <w:rsid w:val="00E614F0"/>
    <w:rsid w:val="00E6484F"/>
    <w:rsid w:val="00E71F0B"/>
    <w:rsid w:val="00E9582B"/>
    <w:rsid w:val="00EA6744"/>
    <w:rsid w:val="00EA6B5C"/>
    <w:rsid w:val="00EA7918"/>
    <w:rsid w:val="00EE47E2"/>
    <w:rsid w:val="00F02361"/>
    <w:rsid w:val="00F1666F"/>
    <w:rsid w:val="00F23395"/>
    <w:rsid w:val="00F35AFE"/>
    <w:rsid w:val="00F37D2E"/>
    <w:rsid w:val="00F40A8F"/>
    <w:rsid w:val="00F66CB6"/>
    <w:rsid w:val="00F6732F"/>
    <w:rsid w:val="00F70FB0"/>
    <w:rsid w:val="00F82412"/>
    <w:rsid w:val="00F84124"/>
    <w:rsid w:val="00FB1696"/>
    <w:rsid w:val="00FE46B2"/>
    <w:rsid w:val="00FF6033"/>
    <w:rsid w:val="00FF73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485E"/>
  <w15:chartTrackingRefBased/>
  <w15:docId w15:val="{E940941C-6A4D-40A4-B483-DD65A6A6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00"/>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685000"/>
    <w:pPr>
      <w:keepNext/>
      <w:outlineLvl w:val="0"/>
    </w:pPr>
    <w:rPr>
      <w:b/>
      <w:bCs/>
      <w:caps/>
    </w:rPr>
  </w:style>
  <w:style w:type="paragraph" w:styleId="Titre2">
    <w:name w:val="heading 2"/>
    <w:basedOn w:val="Normal"/>
    <w:next w:val="Normal"/>
    <w:link w:val="Titre2Car"/>
    <w:qFormat/>
    <w:rsid w:val="00685000"/>
    <w:pPr>
      <w:keepNext/>
      <w:numPr>
        <w:ilvl w:val="1"/>
        <w:numId w:val="1"/>
      </w:numPr>
      <w:outlineLvl w:val="1"/>
    </w:pPr>
    <w:rPr>
      <w:b/>
      <w:bCs/>
      <w:iCs/>
    </w:rPr>
  </w:style>
  <w:style w:type="paragraph" w:styleId="Titre7">
    <w:name w:val="heading 7"/>
    <w:basedOn w:val="Normal"/>
    <w:next w:val="Normal"/>
    <w:link w:val="Titre7Car"/>
    <w:autoRedefine/>
    <w:qFormat/>
    <w:rsid w:val="00685000"/>
    <w:pPr>
      <w:keepNext/>
      <w:numPr>
        <w:ilvl w:val="6"/>
        <w:numId w:val="1"/>
      </w:numPr>
      <w:ind w:right="284"/>
      <w:outlineLvl w:val="6"/>
    </w:pPr>
    <w:rPr>
      <w:rFonts w:cs="Arial"/>
      <w:b/>
      <w:u w:val="thic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000"/>
    <w:rPr>
      <w:rFonts w:ascii="Arial" w:eastAsia="Times New Roman" w:hAnsi="Arial" w:cs="Times New Roman"/>
      <w:b/>
      <w:bCs/>
      <w:caps/>
      <w:szCs w:val="24"/>
      <w:lang w:eastAsia="fr-FR"/>
    </w:rPr>
  </w:style>
  <w:style w:type="character" w:customStyle="1" w:styleId="Titre2Car">
    <w:name w:val="Titre 2 Car"/>
    <w:basedOn w:val="Policepardfaut"/>
    <w:link w:val="Titre2"/>
    <w:rsid w:val="00685000"/>
    <w:rPr>
      <w:rFonts w:ascii="Arial" w:eastAsia="Times New Roman" w:hAnsi="Arial" w:cs="Times New Roman"/>
      <w:b/>
      <w:bCs/>
      <w:iCs/>
      <w:szCs w:val="24"/>
      <w:lang w:eastAsia="fr-FR"/>
    </w:rPr>
  </w:style>
  <w:style w:type="character" w:customStyle="1" w:styleId="Titre7Car">
    <w:name w:val="Titre 7 Car"/>
    <w:basedOn w:val="Policepardfaut"/>
    <w:link w:val="Titre7"/>
    <w:rsid w:val="00685000"/>
    <w:rPr>
      <w:rFonts w:ascii="Arial" w:eastAsia="Times New Roman" w:hAnsi="Arial" w:cs="Arial"/>
      <w:b/>
      <w:szCs w:val="24"/>
      <w:u w:val="thick"/>
      <w:lang w:eastAsia="fr-FR"/>
    </w:rPr>
  </w:style>
  <w:style w:type="paragraph" w:styleId="Corpsdetexte">
    <w:name w:val="Body Text"/>
    <w:basedOn w:val="Normal"/>
    <w:link w:val="CorpsdetexteCar"/>
    <w:semiHidden/>
    <w:rsid w:val="00685000"/>
    <w:pPr>
      <w:jc w:val="both"/>
    </w:pPr>
    <w:rPr>
      <w:rFonts w:cs="Arial"/>
      <w:sz w:val="20"/>
    </w:rPr>
  </w:style>
  <w:style w:type="character" w:customStyle="1" w:styleId="CorpsdetexteCar">
    <w:name w:val="Corps de texte Car"/>
    <w:basedOn w:val="Policepardfaut"/>
    <w:link w:val="Corpsdetexte"/>
    <w:semiHidden/>
    <w:rsid w:val="00685000"/>
    <w:rPr>
      <w:rFonts w:ascii="Arial" w:eastAsia="Times New Roman" w:hAnsi="Arial" w:cs="Arial"/>
      <w:sz w:val="20"/>
      <w:szCs w:val="24"/>
      <w:lang w:eastAsia="fr-FR"/>
    </w:rPr>
  </w:style>
  <w:style w:type="character" w:styleId="Lienhypertexte">
    <w:name w:val="Hyperlink"/>
    <w:uiPriority w:val="99"/>
    <w:unhideWhenUsed/>
    <w:rsid w:val="00685000"/>
    <w:rPr>
      <w:color w:val="0000FF"/>
      <w:u w:val="single"/>
    </w:rPr>
  </w:style>
  <w:style w:type="paragraph" w:customStyle="1" w:styleId="RedTxt">
    <w:name w:val="RedTxt"/>
    <w:basedOn w:val="Normal"/>
    <w:uiPriority w:val="99"/>
    <w:rsid w:val="00685000"/>
    <w:pPr>
      <w:keepLines/>
      <w:widowControl w:val="0"/>
      <w:autoSpaceDE w:val="0"/>
      <w:autoSpaceDN w:val="0"/>
      <w:adjustRightInd w:val="0"/>
    </w:pPr>
    <w:rPr>
      <w:rFonts w:cs="Arial"/>
      <w:sz w:val="18"/>
      <w:szCs w:val="18"/>
    </w:rPr>
  </w:style>
  <w:style w:type="paragraph" w:styleId="Paragraphedeliste">
    <w:name w:val="List Paragraph"/>
    <w:aliases w:val="lp1,Proposal Bullet List,Bullet OSM,AMR Paragraphe de liste 1er niveau,List Paragraph2,TOC style,List Paragraph1,Source,MSA_EDF_Bullet3,Colorful List - Accent 11,Bulleted text,Bull - Bullet niveau 1,List Paragraph3,P1 Pharos"/>
    <w:basedOn w:val="Normal"/>
    <w:link w:val="ParagraphedelisteCar"/>
    <w:uiPriority w:val="34"/>
    <w:qFormat/>
    <w:rsid w:val="00685000"/>
    <w:pPr>
      <w:ind w:left="708"/>
    </w:pPr>
  </w:style>
  <w:style w:type="paragraph" w:styleId="Textebrut">
    <w:name w:val="Plain Text"/>
    <w:basedOn w:val="Normal"/>
    <w:link w:val="TextebrutCar"/>
    <w:uiPriority w:val="99"/>
    <w:unhideWhenUsed/>
    <w:rsid w:val="00685000"/>
    <w:rPr>
      <w:rFonts w:ascii="Consolas" w:eastAsia="Calibri" w:hAnsi="Consolas"/>
      <w:sz w:val="21"/>
      <w:szCs w:val="21"/>
    </w:rPr>
  </w:style>
  <w:style w:type="character" w:customStyle="1" w:styleId="TextebrutCar">
    <w:name w:val="Texte brut Car"/>
    <w:basedOn w:val="Policepardfaut"/>
    <w:link w:val="Textebrut"/>
    <w:uiPriority w:val="99"/>
    <w:rsid w:val="00685000"/>
    <w:rPr>
      <w:rFonts w:ascii="Consolas" w:eastAsia="Calibri" w:hAnsi="Consolas" w:cs="Times New Roman"/>
      <w:sz w:val="21"/>
      <w:szCs w:val="21"/>
      <w:lang w:eastAsia="fr-FR"/>
    </w:rPr>
  </w:style>
  <w:style w:type="paragraph" w:customStyle="1" w:styleId="RedNomDoc">
    <w:name w:val="RedNomDoc"/>
    <w:basedOn w:val="Normal"/>
    <w:uiPriority w:val="99"/>
    <w:rsid w:val="00685000"/>
    <w:pPr>
      <w:widowControl w:val="0"/>
      <w:autoSpaceDE w:val="0"/>
      <w:autoSpaceDN w:val="0"/>
      <w:adjustRightInd w:val="0"/>
      <w:jc w:val="center"/>
    </w:pPr>
    <w:rPr>
      <w:rFonts w:cs="Arial"/>
      <w:b/>
      <w:bCs/>
      <w:sz w:val="30"/>
      <w:szCs w:val="30"/>
    </w:rPr>
  </w:style>
  <w:style w:type="paragraph" w:styleId="En-ttedetabledesmatires">
    <w:name w:val="TOC Heading"/>
    <w:basedOn w:val="Titre1"/>
    <w:next w:val="Normal"/>
    <w:uiPriority w:val="39"/>
    <w:unhideWhenUsed/>
    <w:qFormat/>
    <w:rsid w:val="00685000"/>
    <w:pPr>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rPr>
  </w:style>
  <w:style w:type="paragraph" w:styleId="TM2">
    <w:name w:val="toc 2"/>
    <w:basedOn w:val="Normal"/>
    <w:next w:val="Normal"/>
    <w:autoRedefine/>
    <w:uiPriority w:val="39"/>
    <w:unhideWhenUsed/>
    <w:rsid w:val="00685000"/>
    <w:pPr>
      <w:spacing w:after="100"/>
      <w:ind w:left="220"/>
    </w:pPr>
  </w:style>
  <w:style w:type="paragraph" w:styleId="TM1">
    <w:name w:val="toc 1"/>
    <w:basedOn w:val="Normal"/>
    <w:next w:val="Normal"/>
    <w:autoRedefine/>
    <w:uiPriority w:val="39"/>
    <w:unhideWhenUsed/>
    <w:rsid w:val="00685000"/>
    <w:pPr>
      <w:spacing w:after="100"/>
    </w:pPr>
  </w:style>
  <w:style w:type="paragraph" w:styleId="En-tte">
    <w:name w:val="header"/>
    <w:basedOn w:val="Normal"/>
    <w:link w:val="En-tteCar"/>
    <w:uiPriority w:val="99"/>
    <w:unhideWhenUsed/>
    <w:rsid w:val="005F73D0"/>
    <w:pPr>
      <w:tabs>
        <w:tab w:val="center" w:pos="4536"/>
        <w:tab w:val="right" w:pos="9072"/>
      </w:tabs>
    </w:pPr>
  </w:style>
  <w:style w:type="character" w:customStyle="1" w:styleId="En-tteCar">
    <w:name w:val="En-tête Car"/>
    <w:basedOn w:val="Policepardfaut"/>
    <w:link w:val="En-tte"/>
    <w:uiPriority w:val="99"/>
    <w:rsid w:val="005F73D0"/>
    <w:rPr>
      <w:rFonts w:ascii="Arial" w:eastAsia="Times New Roman" w:hAnsi="Arial" w:cs="Times New Roman"/>
      <w:szCs w:val="24"/>
      <w:lang w:eastAsia="fr-FR"/>
    </w:rPr>
  </w:style>
  <w:style w:type="paragraph" w:styleId="Pieddepage">
    <w:name w:val="footer"/>
    <w:basedOn w:val="Normal"/>
    <w:link w:val="PieddepageCar"/>
    <w:uiPriority w:val="99"/>
    <w:unhideWhenUsed/>
    <w:rsid w:val="005F73D0"/>
    <w:pPr>
      <w:tabs>
        <w:tab w:val="center" w:pos="4536"/>
        <w:tab w:val="right" w:pos="9072"/>
      </w:tabs>
    </w:pPr>
  </w:style>
  <w:style w:type="character" w:customStyle="1" w:styleId="PieddepageCar">
    <w:name w:val="Pied de page Car"/>
    <w:basedOn w:val="Policepardfaut"/>
    <w:link w:val="Pieddepage"/>
    <w:uiPriority w:val="99"/>
    <w:rsid w:val="005F73D0"/>
    <w:rPr>
      <w:rFonts w:ascii="Arial" w:eastAsia="Times New Roman" w:hAnsi="Arial" w:cs="Times New Roman"/>
      <w:szCs w:val="24"/>
      <w:lang w:eastAsia="fr-FR"/>
    </w:rPr>
  </w:style>
  <w:style w:type="character" w:customStyle="1" w:styleId="UnresolvedMention">
    <w:name w:val="Unresolved Mention"/>
    <w:basedOn w:val="Policepardfaut"/>
    <w:uiPriority w:val="99"/>
    <w:semiHidden/>
    <w:unhideWhenUsed/>
    <w:rsid w:val="0054510F"/>
    <w:rPr>
      <w:color w:val="605E5C"/>
      <w:shd w:val="clear" w:color="auto" w:fill="E1DFDD"/>
    </w:rPr>
  </w:style>
  <w:style w:type="paragraph" w:styleId="Textedebulles">
    <w:name w:val="Balloon Text"/>
    <w:basedOn w:val="Normal"/>
    <w:link w:val="TextedebullesCar"/>
    <w:uiPriority w:val="99"/>
    <w:semiHidden/>
    <w:unhideWhenUsed/>
    <w:rsid w:val="006748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8E9"/>
    <w:rPr>
      <w:rFonts w:ascii="Segoe UI" w:eastAsia="Times New Roman" w:hAnsi="Segoe UI" w:cs="Segoe UI"/>
      <w:sz w:val="18"/>
      <w:szCs w:val="18"/>
      <w:lang w:eastAsia="fr-FR"/>
    </w:rPr>
  </w:style>
  <w:style w:type="table" w:styleId="Grilledutableau">
    <w:name w:val="Table Grid"/>
    <w:basedOn w:val="TableauNormal"/>
    <w:uiPriority w:val="39"/>
    <w:rsid w:val="0031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p1 Car,Proposal Bullet List Car,Bullet OSM Car,AMR Paragraphe de liste 1er niveau Car,List Paragraph2 Car,TOC style Car,List Paragraph1 Car,Source Car,MSA_EDF_Bullet3 Car,Colorful List - Accent 11 Car,Bulleted text Car"/>
    <w:basedOn w:val="Policepardfaut"/>
    <w:link w:val="Paragraphedeliste"/>
    <w:uiPriority w:val="34"/>
    <w:rsid w:val="00822703"/>
    <w:rPr>
      <w:rFonts w:ascii="Arial" w:eastAsia="Times New Roman" w:hAnsi="Arial" w:cs="Times New Roman"/>
      <w:szCs w:val="24"/>
      <w:lang w:eastAsia="fr-FR"/>
    </w:rPr>
  </w:style>
  <w:style w:type="paragraph" w:customStyle="1" w:styleId="Default">
    <w:name w:val="Default"/>
    <w:rsid w:val="007336D9"/>
    <w:pPr>
      <w:autoSpaceDE w:val="0"/>
      <w:autoSpaceDN w:val="0"/>
      <w:adjustRightInd w:val="0"/>
      <w:spacing w:after="0" w:line="240" w:lineRule="auto"/>
    </w:pPr>
    <w:rPr>
      <w:rFonts w:ascii="Arial" w:hAnsi="Arial" w:cs="Arial"/>
      <w:color w:val="000000"/>
      <w:sz w:val="24"/>
      <w:szCs w:val="24"/>
    </w:rPr>
  </w:style>
  <w:style w:type="paragraph" w:customStyle="1" w:styleId="Normal2">
    <w:name w:val="Normal2"/>
    <w:basedOn w:val="Normal"/>
    <w:rsid w:val="00E614F0"/>
    <w:pPr>
      <w:keepLines/>
      <w:tabs>
        <w:tab w:val="left" w:pos="567"/>
        <w:tab w:val="left" w:pos="851"/>
        <w:tab w:val="left" w:pos="1134"/>
      </w:tabs>
      <w:ind w:left="284" w:firstLine="284"/>
      <w:jc w:val="both"/>
    </w:pPr>
    <w:rPr>
      <w:rFonts w:ascii="Times New Roman" w:hAnsi="Times New Roman"/>
      <w:szCs w:val="20"/>
    </w:rPr>
  </w:style>
  <w:style w:type="character" w:customStyle="1" w:styleId="normaltextrun">
    <w:name w:val="normaltextrun"/>
    <w:basedOn w:val="Policepardfaut"/>
    <w:rsid w:val="00454A2B"/>
  </w:style>
  <w:style w:type="character" w:customStyle="1" w:styleId="eop">
    <w:name w:val="eop"/>
    <w:basedOn w:val="Policepardfaut"/>
    <w:rsid w:val="00454A2B"/>
  </w:style>
  <w:style w:type="paragraph" w:customStyle="1" w:styleId="paragraph">
    <w:name w:val="paragraph"/>
    <w:basedOn w:val="Normal"/>
    <w:rsid w:val="00454A2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5460">
      <w:bodyDiv w:val="1"/>
      <w:marLeft w:val="0"/>
      <w:marRight w:val="0"/>
      <w:marTop w:val="0"/>
      <w:marBottom w:val="0"/>
      <w:divBdr>
        <w:top w:val="none" w:sz="0" w:space="0" w:color="auto"/>
        <w:left w:val="none" w:sz="0" w:space="0" w:color="auto"/>
        <w:bottom w:val="none" w:sz="0" w:space="0" w:color="auto"/>
        <w:right w:val="none" w:sz="0" w:space="0" w:color="auto"/>
      </w:divBdr>
    </w:div>
    <w:div w:id="392242481">
      <w:bodyDiv w:val="1"/>
      <w:marLeft w:val="0"/>
      <w:marRight w:val="0"/>
      <w:marTop w:val="0"/>
      <w:marBottom w:val="0"/>
      <w:divBdr>
        <w:top w:val="none" w:sz="0" w:space="0" w:color="auto"/>
        <w:left w:val="none" w:sz="0" w:space="0" w:color="auto"/>
        <w:bottom w:val="none" w:sz="0" w:space="0" w:color="auto"/>
        <w:right w:val="none" w:sz="0" w:space="0" w:color="auto"/>
      </w:divBdr>
    </w:div>
    <w:div w:id="1012880361">
      <w:bodyDiv w:val="1"/>
      <w:marLeft w:val="0"/>
      <w:marRight w:val="0"/>
      <w:marTop w:val="0"/>
      <w:marBottom w:val="0"/>
      <w:divBdr>
        <w:top w:val="none" w:sz="0" w:space="0" w:color="auto"/>
        <w:left w:val="none" w:sz="0" w:space="0" w:color="auto"/>
        <w:bottom w:val="none" w:sz="0" w:space="0" w:color="auto"/>
        <w:right w:val="none" w:sz="0" w:space="0" w:color="auto"/>
      </w:divBdr>
    </w:div>
    <w:div w:id="1032271594">
      <w:bodyDiv w:val="1"/>
      <w:marLeft w:val="0"/>
      <w:marRight w:val="0"/>
      <w:marTop w:val="0"/>
      <w:marBottom w:val="0"/>
      <w:divBdr>
        <w:top w:val="none" w:sz="0" w:space="0" w:color="auto"/>
        <w:left w:val="none" w:sz="0" w:space="0" w:color="auto"/>
        <w:bottom w:val="none" w:sz="0" w:space="0" w:color="auto"/>
        <w:right w:val="none" w:sz="0" w:space="0" w:color="auto"/>
      </w:divBdr>
    </w:div>
    <w:div w:id="1123887791">
      <w:bodyDiv w:val="1"/>
      <w:marLeft w:val="0"/>
      <w:marRight w:val="0"/>
      <w:marTop w:val="0"/>
      <w:marBottom w:val="0"/>
      <w:divBdr>
        <w:top w:val="none" w:sz="0" w:space="0" w:color="auto"/>
        <w:left w:val="none" w:sz="0" w:space="0" w:color="auto"/>
        <w:bottom w:val="none" w:sz="0" w:space="0" w:color="auto"/>
        <w:right w:val="none" w:sz="0" w:space="0" w:color="auto"/>
      </w:divBdr>
    </w:div>
    <w:div w:id="1333220477">
      <w:bodyDiv w:val="1"/>
      <w:marLeft w:val="0"/>
      <w:marRight w:val="0"/>
      <w:marTop w:val="0"/>
      <w:marBottom w:val="0"/>
      <w:divBdr>
        <w:top w:val="none" w:sz="0" w:space="0" w:color="auto"/>
        <w:left w:val="none" w:sz="0" w:space="0" w:color="auto"/>
        <w:bottom w:val="none" w:sz="0" w:space="0" w:color="auto"/>
        <w:right w:val="none" w:sz="0" w:space="0" w:color="auto"/>
      </w:divBdr>
    </w:div>
    <w:div w:id="1516576746">
      <w:bodyDiv w:val="1"/>
      <w:marLeft w:val="0"/>
      <w:marRight w:val="0"/>
      <w:marTop w:val="0"/>
      <w:marBottom w:val="0"/>
      <w:divBdr>
        <w:top w:val="none" w:sz="0" w:space="0" w:color="auto"/>
        <w:left w:val="none" w:sz="0" w:space="0" w:color="auto"/>
        <w:bottom w:val="none" w:sz="0" w:space="0" w:color="auto"/>
        <w:right w:val="none" w:sz="0" w:space="0" w:color="auto"/>
      </w:divBdr>
    </w:div>
    <w:div w:id="1580358655">
      <w:bodyDiv w:val="1"/>
      <w:marLeft w:val="0"/>
      <w:marRight w:val="0"/>
      <w:marTop w:val="0"/>
      <w:marBottom w:val="0"/>
      <w:divBdr>
        <w:top w:val="none" w:sz="0" w:space="0" w:color="auto"/>
        <w:left w:val="none" w:sz="0" w:space="0" w:color="auto"/>
        <w:bottom w:val="none" w:sz="0" w:space="0" w:color="auto"/>
        <w:right w:val="none" w:sz="0" w:space="0" w:color="auto"/>
      </w:divBdr>
    </w:div>
    <w:div w:id="1705518872">
      <w:bodyDiv w:val="1"/>
      <w:marLeft w:val="0"/>
      <w:marRight w:val="0"/>
      <w:marTop w:val="0"/>
      <w:marBottom w:val="0"/>
      <w:divBdr>
        <w:top w:val="none" w:sz="0" w:space="0" w:color="auto"/>
        <w:left w:val="none" w:sz="0" w:space="0" w:color="auto"/>
        <w:bottom w:val="none" w:sz="0" w:space="0" w:color="auto"/>
        <w:right w:val="none" w:sz="0" w:space="0" w:color="auto"/>
      </w:divBdr>
    </w:div>
    <w:div w:id="1733309742">
      <w:bodyDiv w:val="1"/>
      <w:marLeft w:val="0"/>
      <w:marRight w:val="0"/>
      <w:marTop w:val="0"/>
      <w:marBottom w:val="0"/>
      <w:divBdr>
        <w:top w:val="none" w:sz="0" w:space="0" w:color="auto"/>
        <w:left w:val="none" w:sz="0" w:space="0" w:color="auto"/>
        <w:bottom w:val="none" w:sz="0" w:space="0" w:color="auto"/>
        <w:right w:val="none" w:sz="0" w:space="0" w:color="auto"/>
      </w:divBdr>
    </w:div>
    <w:div w:id="1923754833">
      <w:bodyDiv w:val="1"/>
      <w:marLeft w:val="0"/>
      <w:marRight w:val="0"/>
      <w:marTop w:val="0"/>
      <w:marBottom w:val="0"/>
      <w:divBdr>
        <w:top w:val="none" w:sz="0" w:space="0" w:color="auto"/>
        <w:left w:val="none" w:sz="0" w:space="0" w:color="auto"/>
        <w:bottom w:val="none" w:sz="0" w:space="0" w:color="auto"/>
        <w:right w:val="none" w:sz="0" w:space="0" w:color="auto"/>
      </w:divBdr>
    </w:div>
    <w:div w:id="1938445532">
      <w:bodyDiv w:val="1"/>
      <w:marLeft w:val="0"/>
      <w:marRight w:val="0"/>
      <w:marTop w:val="0"/>
      <w:marBottom w:val="0"/>
      <w:divBdr>
        <w:top w:val="none" w:sz="0" w:space="0" w:color="auto"/>
        <w:left w:val="none" w:sz="0" w:space="0" w:color="auto"/>
        <w:bottom w:val="none" w:sz="0" w:space="0" w:color="auto"/>
        <w:right w:val="none" w:sz="0" w:space="0" w:color="auto"/>
      </w:divBdr>
      <w:divsChild>
        <w:div w:id="436025772">
          <w:marLeft w:val="0"/>
          <w:marRight w:val="0"/>
          <w:marTop w:val="0"/>
          <w:marBottom w:val="0"/>
          <w:divBdr>
            <w:top w:val="none" w:sz="0" w:space="0" w:color="auto"/>
            <w:left w:val="none" w:sz="0" w:space="0" w:color="auto"/>
            <w:bottom w:val="none" w:sz="0" w:space="0" w:color="auto"/>
            <w:right w:val="none" w:sz="0" w:space="0" w:color="auto"/>
          </w:divBdr>
        </w:div>
        <w:div w:id="77599808">
          <w:marLeft w:val="0"/>
          <w:marRight w:val="0"/>
          <w:marTop w:val="0"/>
          <w:marBottom w:val="0"/>
          <w:divBdr>
            <w:top w:val="none" w:sz="0" w:space="0" w:color="auto"/>
            <w:left w:val="none" w:sz="0" w:space="0" w:color="auto"/>
            <w:bottom w:val="none" w:sz="0" w:space="0" w:color="auto"/>
            <w:right w:val="none" w:sz="0" w:space="0" w:color="auto"/>
          </w:divBdr>
        </w:div>
      </w:divsChild>
    </w:div>
    <w:div w:id="2021001170">
      <w:bodyDiv w:val="1"/>
      <w:marLeft w:val="0"/>
      <w:marRight w:val="0"/>
      <w:marTop w:val="0"/>
      <w:marBottom w:val="0"/>
      <w:divBdr>
        <w:top w:val="none" w:sz="0" w:space="0" w:color="auto"/>
        <w:left w:val="none" w:sz="0" w:space="0" w:color="auto"/>
        <w:bottom w:val="none" w:sz="0" w:space="0" w:color="auto"/>
        <w:right w:val="none" w:sz="0" w:space="0" w:color="auto"/>
      </w:divBdr>
    </w:div>
    <w:div w:id="21086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hats@grenoble-e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hats@grenoble-em.com"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3FC8-7210-4B14-B07B-730032A3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9</Pages>
  <Words>2333</Words>
  <Characters>12832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G</dc:creator>
  <cp:keywords/>
  <dc:description/>
  <cp:lastModifiedBy>VIROLLE Fabienne</cp:lastModifiedBy>
  <cp:revision>24</cp:revision>
  <cp:lastPrinted>2022-10-06T12:26:00Z</cp:lastPrinted>
  <dcterms:created xsi:type="dcterms:W3CDTF">2024-12-03T06:59:00Z</dcterms:created>
  <dcterms:modified xsi:type="dcterms:W3CDTF">2024-12-18T09:36:00Z</dcterms:modified>
</cp:coreProperties>
</file>