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4D310" w14:textId="77777777" w:rsidR="00692E8C" w:rsidRDefault="00EB33A5" w:rsidP="00692E8C">
      <w:pPr>
        <w:spacing w:after="0"/>
        <w:jc w:val="center"/>
      </w:pPr>
      <w:r>
        <w:rPr>
          <w:rFonts w:ascii="Verdana" w:hAnsi="Verdana"/>
          <w:noProof/>
          <w:color w:val="0072BC"/>
          <w:sz w:val="16"/>
          <w:szCs w:val="16"/>
          <w:lang w:eastAsia="fr-FR"/>
        </w:rPr>
        <w:drawing>
          <wp:inline distT="0" distB="0" distL="0" distR="0" wp14:anchorId="53175C06" wp14:editId="42322739">
            <wp:extent cx="1154417" cy="2047875"/>
            <wp:effectExtent l="0" t="0" r="8255" b="0"/>
            <wp:docPr id="1" name="webImgShrink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ImgShrinked" descr="Image"/>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54417" cy="2047875"/>
                    </a:xfrm>
                    <a:prstGeom prst="rect">
                      <a:avLst/>
                    </a:prstGeom>
                    <a:noFill/>
                    <a:ln>
                      <a:noFill/>
                    </a:ln>
                  </pic:spPr>
                </pic:pic>
              </a:graphicData>
            </a:graphic>
          </wp:inline>
        </w:drawing>
      </w:r>
    </w:p>
    <w:p w14:paraId="2771E082" w14:textId="77777777" w:rsidR="00692E8C" w:rsidRDefault="00692E8C" w:rsidP="00692E8C">
      <w:pPr>
        <w:spacing w:after="0"/>
        <w:jc w:val="center"/>
        <w:rPr>
          <w:rFonts w:ascii="Arial" w:eastAsia="Times New Roman" w:hAnsi="Arial"/>
          <w:szCs w:val="24"/>
          <w:lang w:eastAsia="fr-FR"/>
        </w:rPr>
      </w:pPr>
    </w:p>
    <w:p w14:paraId="56BEB0F2" w14:textId="77777777" w:rsidR="00692E8C" w:rsidRDefault="00692E8C" w:rsidP="00692E8C">
      <w:pPr>
        <w:spacing w:after="0"/>
        <w:rPr>
          <w:rFonts w:ascii="Arial" w:eastAsia="Times New Roman" w:hAnsi="Arial"/>
          <w:b/>
          <w:bCs/>
          <w:color w:val="000000"/>
          <w:sz w:val="12"/>
          <w:szCs w:val="24"/>
          <w:lang w:eastAsia="fr-FR"/>
        </w:rPr>
      </w:pPr>
    </w:p>
    <w:p w14:paraId="6C9705F5" w14:textId="77777777" w:rsidR="00692E8C" w:rsidRDefault="00692E8C" w:rsidP="00692E8C">
      <w:pPr>
        <w:pBdr>
          <w:top w:val="single" w:sz="4" w:space="1" w:color="000000"/>
          <w:left w:val="single" w:sz="4" w:space="4" w:color="000000"/>
          <w:bottom w:val="single" w:sz="4" w:space="9" w:color="000000"/>
          <w:right w:val="single" w:sz="4" w:space="4" w:color="000000"/>
        </w:pBdr>
        <w:shd w:val="clear" w:color="auto" w:fill="DDD9C3"/>
        <w:spacing w:after="0"/>
        <w:ind w:left="70"/>
        <w:jc w:val="center"/>
        <w:rPr>
          <w:rFonts w:ascii="Arial" w:eastAsia="Times New Roman" w:hAnsi="Arial" w:cs="Arial"/>
          <w:b/>
          <w:color w:val="000000"/>
          <w:sz w:val="16"/>
          <w:lang w:eastAsia="fr-FR"/>
        </w:rPr>
      </w:pPr>
    </w:p>
    <w:p w14:paraId="213155B7" w14:textId="77777777" w:rsidR="00326C68" w:rsidRPr="00326C68" w:rsidRDefault="00326C68" w:rsidP="00326C68">
      <w:pPr>
        <w:pBdr>
          <w:top w:val="single" w:sz="4" w:space="1" w:color="000000"/>
          <w:left w:val="single" w:sz="4" w:space="4" w:color="000000"/>
          <w:bottom w:val="single" w:sz="4" w:space="9" w:color="000000"/>
          <w:right w:val="single" w:sz="4" w:space="4" w:color="000000"/>
        </w:pBdr>
        <w:shd w:val="clear" w:color="auto" w:fill="DDD9C3"/>
        <w:spacing w:after="0"/>
        <w:ind w:left="70"/>
        <w:jc w:val="center"/>
        <w:rPr>
          <w:rFonts w:ascii="Arial" w:eastAsia="Times New Roman" w:hAnsi="Arial"/>
          <w:b/>
          <w:sz w:val="36"/>
          <w:szCs w:val="28"/>
          <w:lang w:eastAsia="fr-FR"/>
        </w:rPr>
      </w:pPr>
      <w:r w:rsidRPr="00326C68">
        <w:rPr>
          <w:rFonts w:ascii="Arial" w:eastAsia="Times New Roman" w:hAnsi="Arial"/>
          <w:b/>
          <w:sz w:val="36"/>
          <w:szCs w:val="28"/>
          <w:lang w:eastAsia="fr-FR"/>
        </w:rPr>
        <w:t xml:space="preserve">NETTOYAGE DES LOCAUX ET FOURNITURE DES CONSOMMABLES ASSOCIES DANS LES ETABLISSEMENTS DE </w:t>
      </w:r>
    </w:p>
    <w:p w14:paraId="3CA9BBC0" w14:textId="7CB21CD3" w:rsidR="00223B8B" w:rsidRPr="00AD5A30" w:rsidRDefault="00326C68" w:rsidP="00326C68">
      <w:pPr>
        <w:pBdr>
          <w:top w:val="single" w:sz="4" w:space="1" w:color="000000"/>
          <w:left w:val="single" w:sz="4" w:space="4" w:color="000000"/>
          <w:bottom w:val="single" w:sz="4" w:space="9" w:color="000000"/>
          <w:right w:val="single" w:sz="4" w:space="4" w:color="000000"/>
        </w:pBdr>
        <w:shd w:val="clear" w:color="auto" w:fill="DDD9C3"/>
        <w:spacing w:after="0"/>
        <w:ind w:left="70"/>
        <w:jc w:val="center"/>
        <w:rPr>
          <w:rFonts w:ascii="Arial" w:eastAsia="Times New Roman" w:hAnsi="Arial"/>
          <w:b/>
          <w:sz w:val="36"/>
          <w:szCs w:val="28"/>
          <w:lang w:eastAsia="fr-FR"/>
        </w:rPr>
      </w:pPr>
      <w:r w:rsidRPr="00326C68">
        <w:rPr>
          <w:rFonts w:ascii="Arial" w:eastAsia="Times New Roman" w:hAnsi="Arial"/>
          <w:b/>
          <w:sz w:val="36"/>
          <w:szCs w:val="28"/>
          <w:lang w:eastAsia="fr-FR"/>
        </w:rPr>
        <w:t xml:space="preserve">GRENOBLE ECOLE DE MANAGEMENT  </w:t>
      </w:r>
    </w:p>
    <w:p w14:paraId="02F7731A" w14:textId="339B9D40" w:rsidR="00692E8C" w:rsidRDefault="00692E8C" w:rsidP="00EB33A5">
      <w:pPr>
        <w:pBdr>
          <w:top w:val="single" w:sz="4" w:space="1" w:color="000000"/>
          <w:left w:val="single" w:sz="4" w:space="4" w:color="000000"/>
          <w:bottom w:val="single" w:sz="4" w:space="9" w:color="000000"/>
          <w:right w:val="single" w:sz="4" w:space="4" w:color="000000"/>
        </w:pBdr>
        <w:shd w:val="clear" w:color="auto" w:fill="DDD9C3"/>
        <w:spacing w:after="0"/>
        <w:ind w:left="70"/>
        <w:jc w:val="center"/>
        <w:rPr>
          <w:rFonts w:ascii="Arial" w:eastAsia="Times New Roman" w:hAnsi="Arial"/>
          <w:b/>
          <w:sz w:val="20"/>
          <w:szCs w:val="24"/>
          <w:lang w:eastAsia="fr-FR"/>
        </w:rPr>
      </w:pPr>
    </w:p>
    <w:p w14:paraId="6A07658A" w14:textId="77777777" w:rsidR="00692E8C" w:rsidRDefault="00692E8C" w:rsidP="00692E8C">
      <w:pPr>
        <w:tabs>
          <w:tab w:val="left" w:pos="9072"/>
        </w:tabs>
        <w:spacing w:after="0"/>
        <w:jc w:val="center"/>
        <w:rPr>
          <w:rFonts w:ascii="Arial" w:eastAsia="Times New Roman" w:hAnsi="Arial"/>
          <w:b/>
          <w:sz w:val="28"/>
          <w:szCs w:val="28"/>
          <w:lang w:eastAsia="fr-FR"/>
        </w:rPr>
      </w:pPr>
    </w:p>
    <w:p w14:paraId="38CF48B6" w14:textId="77777777" w:rsidR="00692E8C" w:rsidRDefault="00692E8C" w:rsidP="00692E8C">
      <w:pPr>
        <w:autoSpaceDE w:val="0"/>
        <w:spacing w:after="0"/>
        <w:rPr>
          <w:rFonts w:ascii="Arial" w:eastAsia="Times New Roman" w:hAnsi="Arial" w:cs="Arial"/>
          <w:b/>
          <w:bCs/>
          <w:color w:val="000000"/>
          <w:sz w:val="20"/>
          <w:szCs w:val="20"/>
          <w:lang w:eastAsia="fr-FR"/>
        </w:rPr>
      </w:pPr>
    </w:p>
    <w:p w14:paraId="032535FA" w14:textId="1557114B" w:rsidR="00692E8C" w:rsidRDefault="00692E8C" w:rsidP="006875A9">
      <w:pPr>
        <w:autoSpaceDE w:val="0"/>
        <w:spacing w:after="0"/>
        <w:rPr>
          <w:rFonts w:ascii="Arial" w:eastAsia="Times New Roman" w:hAnsi="Arial" w:cs="Arial"/>
          <w:b/>
          <w:bCs/>
          <w:color w:val="000000"/>
          <w:sz w:val="48"/>
          <w:szCs w:val="20"/>
          <w:lang w:eastAsia="fr-FR"/>
        </w:rPr>
      </w:pPr>
    </w:p>
    <w:p w14:paraId="3A1C5837" w14:textId="77777777" w:rsidR="006875A9" w:rsidRDefault="006875A9" w:rsidP="006875A9">
      <w:pPr>
        <w:pStyle w:val="Default"/>
      </w:pPr>
    </w:p>
    <w:p w14:paraId="483F1DB9" w14:textId="6C7101BB" w:rsidR="006875A9" w:rsidRDefault="006875A9" w:rsidP="006875A9">
      <w:pPr>
        <w:autoSpaceDE w:val="0"/>
        <w:spacing w:after="0"/>
        <w:rPr>
          <w:rFonts w:ascii="Arial" w:eastAsia="Times New Roman" w:hAnsi="Arial" w:cs="Arial"/>
          <w:b/>
          <w:bCs/>
          <w:color w:val="000000"/>
          <w:sz w:val="48"/>
          <w:szCs w:val="20"/>
          <w:lang w:eastAsia="fr-FR"/>
        </w:rPr>
      </w:pPr>
      <w:r>
        <w:t xml:space="preserve"> </w:t>
      </w:r>
      <w:r>
        <w:rPr>
          <w:b/>
          <w:bCs/>
          <w:sz w:val="28"/>
          <w:szCs w:val="28"/>
        </w:rPr>
        <w:t>ACCORD-CADRE DE FOURNITURES COURANTES ET DE SERVICES</w:t>
      </w:r>
    </w:p>
    <w:p w14:paraId="5F403F76" w14:textId="77777777" w:rsidR="006875A9" w:rsidRDefault="006875A9" w:rsidP="00692E8C">
      <w:pPr>
        <w:autoSpaceDE w:val="0"/>
        <w:spacing w:after="0"/>
        <w:jc w:val="center"/>
        <w:rPr>
          <w:rFonts w:ascii="Arial" w:eastAsia="Times New Roman" w:hAnsi="Arial" w:cs="Arial"/>
          <w:b/>
          <w:bCs/>
          <w:color w:val="000000"/>
          <w:sz w:val="52"/>
          <w:szCs w:val="52"/>
          <w:lang w:eastAsia="fr-FR"/>
        </w:rPr>
      </w:pPr>
    </w:p>
    <w:p w14:paraId="37AE618E" w14:textId="77777777" w:rsidR="006875A9" w:rsidRDefault="006875A9" w:rsidP="00692E8C">
      <w:pPr>
        <w:autoSpaceDE w:val="0"/>
        <w:spacing w:after="0"/>
        <w:jc w:val="center"/>
        <w:rPr>
          <w:rFonts w:ascii="Arial" w:eastAsia="Times New Roman" w:hAnsi="Arial" w:cs="Arial"/>
          <w:b/>
          <w:bCs/>
          <w:color w:val="000000"/>
          <w:sz w:val="52"/>
          <w:szCs w:val="52"/>
          <w:lang w:eastAsia="fr-FR"/>
        </w:rPr>
      </w:pPr>
    </w:p>
    <w:p w14:paraId="459472B7" w14:textId="3ECF7453" w:rsidR="00692E8C" w:rsidRDefault="00692E8C" w:rsidP="00692E8C">
      <w:pPr>
        <w:autoSpaceDE w:val="0"/>
        <w:spacing w:after="0"/>
        <w:jc w:val="center"/>
        <w:rPr>
          <w:rFonts w:ascii="Arial" w:eastAsia="Times New Roman" w:hAnsi="Arial" w:cs="Arial"/>
          <w:b/>
          <w:bCs/>
          <w:color w:val="000000"/>
          <w:sz w:val="52"/>
          <w:szCs w:val="52"/>
          <w:lang w:eastAsia="fr-FR"/>
        </w:rPr>
      </w:pPr>
      <w:r>
        <w:rPr>
          <w:rFonts w:ascii="Arial" w:eastAsia="Times New Roman" w:hAnsi="Arial" w:cs="Arial"/>
          <w:b/>
          <w:bCs/>
          <w:color w:val="000000"/>
          <w:sz w:val="52"/>
          <w:szCs w:val="52"/>
          <w:lang w:eastAsia="fr-FR"/>
        </w:rPr>
        <w:t>CAHIER DES CLAUSES ADMINISTRATIVES PARTICULIERES</w:t>
      </w:r>
    </w:p>
    <w:p w14:paraId="6B01A77A" w14:textId="77777777" w:rsidR="00692E8C" w:rsidRDefault="00692E8C" w:rsidP="00692E8C">
      <w:pPr>
        <w:autoSpaceDE w:val="0"/>
        <w:spacing w:after="0"/>
        <w:jc w:val="center"/>
        <w:rPr>
          <w:rFonts w:ascii="Arial" w:eastAsia="Times New Roman" w:hAnsi="Arial" w:cs="Arial"/>
          <w:b/>
          <w:bCs/>
          <w:color w:val="000000"/>
          <w:sz w:val="48"/>
          <w:szCs w:val="20"/>
          <w:lang w:eastAsia="fr-FR"/>
        </w:rPr>
      </w:pPr>
    </w:p>
    <w:p w14:paraId="7BE4ED0B" w14:textId="77777777" w:rsidR="00692E8C" w:rsidRDefault="00692E8C" w:rsidP="00692E8C">
      <w:pPr>
        <w:spacing w:after="0" w:line="280" w:lineRule="exact"/>
        <w:rPr>
          <w:rFonts w:ascii="Arial" w:eastAsia="Times New Roman" w:hAnsi="Arial"/>
          <w:szCs w:val="24"/>
          <w:lang w:eastAsia="fr-FR"/>
        </w:rPr>
      </w:pPr>
      <w:bookmarkStart w:id="0" w:name="_GoBack"/>
      <w:bookmarkEnd w:id="0"/>
    </w:p>
    <w:p w14:paraId="1866C1E6" w14:textId="77777777" w:rsidR="00692E8C" w:rsidRDefault="00692E8C" w:rsidP="00692E8C">
      <w:pPr>
        <w:spacing w:after="0" w:line="280" w:lineRule="exact"/>
        <w:rPr>
          <w:rFonts w:ascii="Arial" w:eastAsia="Times New Roman" w:hAnsi="Arial"/>
          <w:szCs w:val="24"/>
          <w:lang w:eastAsia="fr-FR"/>
        </w:rPr>
      </w:pPr>
    </w:p>
    <w:p w14:paraId="7876D7D9" w14:textId="77777777" w:rsidR="0000624B" w:rsidRDefault="0000624B" w:rsidP="0000624B">
      <w:pPr>
        <w:tabs>
          <w:tab w:val="left" w:pos="9072"/>
        </w:tabs>
        <w:spacing w:after="0"/>
        <w:jc w:val="center"/>
        <w:rPr>
          <w:rFonts w:ascii="Arial" w:eastAsia="Times New Roman" w:hAnsi="Arial"/>
          <w:b/>
          <w:sz w:val="28"/>
          <w:szCs w:val="28"/>
          <w:lang w:eastAsia="fr-FR"/>
        </w:rPr>
      </w:pPr>
      <w:r>
        <w:rPr>
          <w:rFonts w:ascii="Arial" w:eastAsia="Times New Roman" w:hAnsi="Arial"/>
          <w:b/>
          <w:sz w:val="28"/>
          <w:szCs w:val="28"/>
          <w:lang w:eastAsia="fr-FR"/>
        </w:rPr>
        <w:t>Affaire n° 24GEM0055</w:t>
      </w:r>
    </w:p>
    <w:p w14:paraId="02439C41" w14:textId="77777777" w:rsidR="0000624B" w:rsidRDefault="0000624B" w:rsidP="0000624B">
      <w:pPr>
        <w:tabs>
          <w:tab w:val="left" w:pos="9072"/>
        </w:tabs>
        <w:spacing w:after="0"/>
        <w:jc w:val="center"/>
        <w:rPr>
          <w:rFonts w:ascii="Arial" w:eastAsia="Times New Roman" w:hAnsi="Arial"/>
          <w:b/>
          <w:sz w:val="28"/>
          <w:szCs w:val="28"/>
          <w:lang w:eastAsia="fr-FR"/>
        </w:rPr>
      </w:pPr>
      <w:r>
        <w:rPr>
          <w:rFonts w:ascii="Arial" w:eastAsia="Times New Roman" w:hAnsi="Arial"/>
          <w:b/>
          <w:sz w:val="28"/>
          <w:szCs w:val="28"/>
          <w:lang w:eastAsia="fr-FR"/>
        </w:rPr>
        <w:t>Lot 1 : 24GEM0069</w:t>
      </w:r>
    </w:p>
    <w:p w14:paraId="76CE2195" w14:textId="77777777" w:rsidR="0000624B" w:rsidRDefault="0000624B" w:rsidP="0000624B">
      <w:pPr>
        <w:tabs>
          <w:tab w:val="left" w:pos="9072"/>
        </w:tabs>
        <w:spacing w:after="0"/>
        <w:jc w:val="center"/>
        <w:rPr>
          <w:rFonts w:ascii="Arial" w:eastAsia="Times New Roman" w:hAnsi="Arial"/>
          <w:b/>
          <w:sz w:val="28"/>
          <w:szCs w:val="28"/>
          <w:lang w:eastAsia="fr-FR"/>
        </w:rPr>
      </w:pPr>
      <w:r>
        <w:rPr>
          <w:rFonts w:ascii="Arial" w:eastAsia="Times New Roman" w:hAnsi="Arial"/>
          <w:b/>
          <w:sz w:val="28"/>
          <w:szCs w:val="28"/>
          <w:lang w:eastAsia="fr-FR"/>
        </w:rPr>
        <w:t>Lot 2 : 24GEM0070</w:t>
      </w:r>
    </w:p>
    <w:p w14:paraId="01A016DB" w14:textId="77777777" w:rsidR="00692E8C" w:rsidRDefault="00692E8C" w:rsidP="00692E8C">
      <w:pPr>
        <w:spacing w:after="0" w:line="280" w:lineRule="exact"/>
        <w:rPr>
          <w:rFonts w:ascii="Arial" w:eastAsia="Times New Roman" w:hAnsi="Arial"/>
          <w:szCs w:val="24"/>
          <w:lang w:eastAsia="fr-FR"/>
        </w:rPr>
      </w:pPr>
    </w:p>
    <w:p w14:paraId="759980C9" w14:textId="77777777" w:rsidR="00692E8C" w:rsidRDefault="00692E8C" w:rsidP="00692E8C">
      <w:pPr>
        <w:spacing w:after="0" w:line="280" w:lineRule="exact"/>
        <w:rPr>
          <w:rFonts w:ascii="Arial" w:eastAsia="Times New Roman" w:hAnsi="Arial"/>
          <w:szCs w:val="24"/>
          <w:lang w:eastAsia="fr-FR"/>
        </w:rPr>
      </w:pPr>
    </w:p>
    <w:p w14:paraId="1CEE85D3" w14:textId="77777777" w:rsidR="00692E8C" w:rsidRDefault="00692E8C" w:rsidP="00692E8C">
      <w:pPr>
        <w:spacing w:after="0" w:line="280" w:lineRule="exact"/>
        <w:rPr>
          <w:rFonts w:ascii="Arial" w:eastAsia="Times New Roman" w:hAnsi="Arial"/>
          <w:szCs w:val="24"/>
          <w:lang w:eastAsia="fr-FR"/>
        </w:rPr>
      </w:pPr>
    </w:p>
    <w:p w14:paraId="0590B6C3" w14:textId="54792A1D" w:rsidR="00692E8C" w:rsidRDefault="00692E8C" w:rsidP="00692E8C">
      <w:pPr>
        <w:spacing w:after="0" w:line="280" w:lineRule="exact"/>
        <w:rPr>
          <w:rFonts w:ascii="Arial" w:eastAsia="Times New Roman" w:hAnsi="Arial"/>
          <w:szCs w:val="24"/>
          <w:lang w:eastAsia="fr-FR"/>
        </w:rPr>
      </w:pPr>
    </w:p>
    <w:p w14:paraId="4751836F" w14:textId="1D2C1E8E" w:rsidR="00714DAE" w:rsidRDefault="00714DAE" w:rsidP="00692E8C">
      <w:pPr>
        <w:spacing w:after="0" w:line="280" w:lineRule="exact"/>
        <w:rPr>
          <w:rFonts w:ascii="Arial" w:eastAsia="Times New Roman" w:hAnsi="Arial"/>
          <w:szCs w:val="24"/>
          <w:lang w:eastAsia="fr-FR"/>
        </w:rPr>
      </w:pPr>
    </w:p>
    <w:p w14:paraId="409CF046" w14:textId="77777777" w:rsidR="00714DAE" w:rsidRDefault="00714DAE" w:rsidP="00692E8C">
      <w:pPr>
        <w:spacing w:after="0" w:line="280" w:lineRule="exact"/>
        <w:rPr>
          <w:rFonts w:ascii="Arial" w:eastAsia="Times New Roman" w:hAnsi="Arial"/>
          <w:szCs w:val="24"/>
          <w:lang w:eastAsia="fr-FR"/>
        </w:rPr>
      </w:pPr>
    </w:p>
    <w:sdt>
      <w:sdtPr>
        <w:rPr>
          <w:rFonts w:asciiTheme="minorHAnsi" w:eastAsiaTheme="minorHAnsi" w:hAnsiTheme="minorHAnsi" w:cstheme="minorBidi"/>
          <w:b w:val="0"/>
          <w:color w:val="auto"/>
          <w:sz w:val="22"/>
          <w:szCs w:val="22"/>
          <w:lang w:eastAsia="en-US"/>
        </w:rPr>
        <w:id w:val="746839010"/>
        <w:docPartObj>
          <w:docPartGallery w:val="Table of Contents"/>
          <w:docPartUnique/>
        </w:docPartObj>
      </w:sdtPr>
      <w:sdtEndPr>
        <w:rPr>
          <w:rFonts w:ascii="Arial" w:hAnsi="Arial"/>
          <w:bCs/>
        </w:rPr>
      </w:sdtEndPr>
      <w:sdtContent>
        <w:p w14:paraId="1BC018C7" w14:textId="77777777" w:rsidR="00991141" w:rsidRPr="00522244" w:rsidRDefault="00991141" w:rsidP="00AD5A30">
          <w:pPr>
            <w:pStyle w:val="En-ttedetabledesmatires"/>
          </w:pPr>
          <w:r w:rsidRPr="00522244">
            <w:t>Table des matières</w:t>
          </w:r>
        </w:p>
        <w:p w14:paraId="33835E24" w14:textId="77777777" w:rsidR="009D0158" w:rsidRPr="00522244" w:rsidRDefault="009D0158" w:rsidP="009D0158">
          <w:pPr>
            <w:rPr>
              <w:rFonts w:ascii="Arial" w:hAnsi="Arial" w:cs="Arial"/>
              <w:lang w:eastAsia="fr-FR"/>
            </w:rPr>
          </w:pPr>
        </w:p>
        <w:p w14:paraId="2E81AF9D" w14:textId="34518696" w:rsidR="00326C68" w:rsidRDefault="00991141">
          <w:pPr>
            <w:pStyle w:val="TM1"/>
            <w:rPr>
              <w:rFonts w:eastAsiaTheme="minorEastAsia"/>
              <w:noProof/>
              <w:lang w:eastAsia="fr-FR"/>
            </w:rPr>
          </w:pPr>
          <w:r w:rsidRPr="00522244">
            <w:rPr>
              <w:rFonts w:ascii="Arial" w:hAnsi="Arial" w:cs="Arial"/>
            </w:rPr>
            <w:fldChar w:fldCharType="begin"/>
          </w:r>
          <w:r w:rsidRPr="00522244">
            <w:rPr>
              <w:rFonts w:ascii="Arial" w:hAnsi="Arial" w:cs="Arial"/>
            </w:rPr>
            <w:instrText xml:space="preserve"> TOC \o "1-3" \h \z \u </w:instrText>
          </w:r>
          <w:r w:rsidRPr="00522244">
            <w:rPr>
              <w:rFonts w:ascii="Arial" w:hAnsi="Arial" w:cs="Arial"/>
            </w:rPr>
            <w:fldChar w:fldCharType="separate"/>
          </w:r>
          <w:hyperlink w:anchor="_Toc185398488" w:history="1">
            <w:r w:rsidR="00326C68" w:rsidRPr="000B6497">
              <w:rPr>
                <w:rStyle w:val="Lienhypertexte"/>
                <w:noProof/>
              </w:rPr>
              <w:t>1-DISPOSITIONS GENERALES DU CONTRAT</w:t>
            </w:r>
            <w:r w:rsidR="00326C68">
              <w:rPr>
                <w:noProof/>
                <w:webHidden/>
              </w:rPr>
              <w:tab/>
            </w:r>
            <w:r w:rsidR="00326C68">
              <w:rPr>
                <w:noProof/>
                <w:webHidden/>
              </w:rPr>
              <w:fldChar w:fldCharType="begin"/>
            </w:r>
            <w:r w:rsidR="00326C68">
              <w:rPr>
                <w:noProof/>
                <w:webHidden/>
              </w:rPr>
              <w:instrText xml:space="preserve"> PAGEREF _Toc185398488 \h </w:instrText>
            </w:r>
            <w:r w:rsidR="00326C68">
              <w:rPr>
                <w:noProof/>
                <w:webHidden/>
              </w:rPr>
            </w:r>
            <w:r w:rsidR="00326C68">
              <w:rPr>
                <w:noProof/>
                <w:webHidden/>
              </w:rPr>
              <w:fldChar w:fldCharType="separate"/>
            </w:r>
            <w:r w:rsidR="00326C68">
              <w:rPr>
                <w:noProof/>
                <w:webHidden/>
              </w:rPr>
              <w:t>4</w:t>
            </w:r>
            <w:r w:rsidR="00326C68">
              <w:rPr>
                <w:noProof/>
                <w:webHidden/>
              </w:rPr>
              <w:fldChar w:fldCharType="end"/>
            </w:r>
          </w:hyperlink>
        </w:p>
        <w:p w14:paraId="403AF2AD" w14:textId="7975BCC5" w:rsidR="00326C68" w:rsidRDefault="0000624B">
          <w:pPr>
            <w:pStyle w:val="TM2"/>
            <w:tabs>
              <w:tab w:val="left" w:pos="880"/>
              <w:tab w:val="right" w:leader="dot" w:pos="9062"/>
            </w:tabs>
            <w:rPr>
              <w:rFonts w:eastAsiaTheme="minorEastAsia"/>
              <w:noProof/>
              <w:lang w:eastAsia="fr-FR"/>
            </w:rPr>
          </w:pPr>
          <w:hyperlink w:anchor="_Toc185398489" w:history="1">
            <w:r w:rsidR="00326C68" w:rsidRPr="000B6497">
              <w:rPr>
                <w:rStyle w:val="Lienhypertexte"/>
                <w:noProof/>
              </w:rPr>
              <w:t>1.1</w:t>
            </w:r>
            <w:r w:rsidR="00326C68">
              <w:rPr>
                <w:rFonts w:eastAsiaTheme="minorEastAsia"/>
                <w:noProof/>
                <w:lang w:eastAsia="fr-FR"/>
              </w:rPr>
              <w:tab/>
            </w:r>
            <w:r w:rsidR="00326C68" w:rsidRPr="000B6497">
              <w:rPr>
                <w:rStyle w:val="Lienhypertexte"/>
                <w:noProof/>
              </w:rPr>
              <w:t>Objet de l’accord-cadre</w:t>
            </w:r>
            <w:r w:rsidR="00326C68">
              <w:rPr>
                <w:noProof/>
                <w:webHidden/>
              </w:rPr>
              <w:tab/>
            </w:r>
            <w:r w:rsidR="00326C68">
              <w:rPr>
                <w:noProof/>
                <w:webHidden/>
              </w:rPr>
              <w:fldChar w:fldCharType="begin"/>
            </w:r>
            <w:r w:rsidR="00326C68">
              <w:rPr>
                <w:noProof/>
                <w:webHidden/>
              </w:rPr>
              <w:instrText xml:space="preserve"> PAGEREF _Toc185398489 \h </w:instrText>
            </w:r>
            <w:r w:rsidR="00326C68">
              <w:rPr>
                <w:noProof/>
                <w:webHidden/>
              </w:rPr>
            </w:r>
            <w:r w:rsidR="00326C68">
              <w:rPr>
                <w:noProof/>
                <w:webHidden/>
              </w:rPr>
              <w:fldChar w:fldCharType="separate"/>
            </w:r>
            <w:r w:rsidR="00326C68">
              <w:rPr>
                <w:noProof/>
                <w:webHidden/>
              </w:rPr>
              <w:t>4</w:t>
            </w:r>
            <w:r w:rsidR="00326C68">
              <w:rPr>
                <w:noProof/>
                <w:webHidden/>
              </w:rPr>
              <w:fldChar w:fldCharType="end"/>
            </w:r>
          </w:hyperlink>
        </w:p>
        <w:p w14:paraId="307CAC1E" w14:textId="146D4E10" w:rsidR="00326C68" w:rsidRDefault="0000624B">
          <w:pPr>
            <w:pStyle w:val="TM2"/>
            <w:tabs>
              <w:tab w:val="left" w:pos="880"/>
              <w:tab w:val="right" w:leader="dot" w:pos="9062"/>
            </w:tabs>
            <w:rPr>
              <w:rFonts w:eastAsiaTheme="minorEastAsia"/>
              <w:noProof/>
              <w:lang w:eastAsia="fr-FR"/>
            </w:rPr>
          </w:pPr>
          <w:hyperlink w:anchor="_Toc185398490" w:history="1">
            <w:r w:rsidR="00326C68" w:rsidRPr="000B6497">
              <w:rPr>
                <w:rStyle w:val="Lienhypertexte"/>
                <w:noProof/>
              </w:rPr>
              <w:t>1.2</w:t>
            </w:r>
            <w:r w:rsidR="00326C68">
              <w:rPr>
                <w:rFonts w:eastAsiaTheme="minorEastAsia"/>
                <w:noProof/>
                <w:lang w:eastAsia="fr-FR"/>
              </w:rPr>
              <w:tab/>
            </w:r>
            <w:r w:rsidR="00326C68" w:rsidRPr="000B6497">
              <w:rPr>
                <w:rStyle w:val="Lienhypertexte"/>
                <w:noProof/>
              </w:rPr>
              <w:t>Décomposition en lots de l’accord-cadre</w:t>
            </w:r>
            <w:r w:rsidR="00326C68">
              <w:rPr>
                <w:noProof/>
                <w:webHidden/>
              </w:rPr>
              <w:tab/>
            </w:r>
            <w:r w:rsidR="00326C68">
              <w:rPr>
                <w:noProof/>
                <w:webHidden/>
              </w:rPr>
              <w:fldChar w:fldCharType="begin"/>
            </w:r>
            <w:r w:rsidR="00326C68">
              <w:rPr>
                <w:noProof/>
                <w:webHidden/>
              </w:rPr>
              <w:instrText xml:space="preserve"> PAGEREF _Toc185398490 \h </w:instrText>
            </w:r>
            <w:r w:rsidR="00326C68">
              <w:rPr>
                <w:noProof/>
                <w:webHidden/>
              </w:rPr>
            </w:r>
            <w:r w:rsidR="00326C68">
              <w:rPr>
                <w:noProof/>
                <w:webHidden/>
              </w:rPr>
              <w:fldChar w:fldCharType="separate"/>
            </w:r>
            <w:r w:rsidR="00326C68">
              <w:rPr>
                <w:noProof/>
                <w:webHidden/>
              </w:rPr>
              <w:t>4</w:t>
            </w:r>
            <w:r w:rsidR="00326C68">
              <w:rPr>
                <w:noProof/>
                <w:webHidden/>
              </w:rPr>
              <w:fldChar w:fldCharType="end"/>
            </w:r>
          </w:hyperlink>
        </w:p>
        <w:p w14:paraId="39E3C980" w14:textId="60148B26" w:rsidR="00326C68" w:rsidRDefault="0000624B">
          <w:pPr>
            <w:pStyle w:val="TM2"/>
            <w:tabs>
              <w:tab w:val="left" w:pos="880"/>
              <w:tab w:val="right" w:leader="dot" w:pos="9062"/>
            </w:tabs>
            <w:rPr>
              <w:rFonts w:eastAsiaTheme="minorEastAsia"/>
              <w:noProof/>
              <w:lang w:eastAsia="fr-FR"/>
            </w:rPr>
          </w:pPr>
          <w:hyperlink w:anchor="_Toc185398491" w:history="1">
            <w:r w:rsidR="00326C68" w:rsidRPr="000B6497">
              <w:rPr>
                <w:rStyle w:val="Lienhypertexte"/>
                <w:noProof/>
              </w:rPr>
              <w:t>1.3</w:t>
            </w:r>
            <w:r w:rsidR="00326C68">
              <w:rPr>
                <w:rFonts w:eastAsiaTheme="minorEastAsia"/>
                <w:noProof/>
                <w:lang w:eastAsia="fr-FR"/>
              </w:rPr>
              <w:tab/>
            </w:r>
            <w:r w:rsidR="00326C68" w:rsidRPr="000B6497">
              <w:rPr>
                <w:rStyle w:val="Lienhypertexte"/>
                <w:noProof/>
              </w:rPr>
              <w:t>Type d'accord-cadre</w:t>
            </w:r>
            <w:r w:rsidR="00326C68">
              <w:rPr>
                <w:noProof/>
                <w:webHidden/>
              </w:rPr>
              <w:tab/>
            </w:r>
            <w:r w:rsidR="00326C68">
              <w:rPr>
                <w:noProof/>
                <w:webHidden/>
              </w:rPr>
              <w:fldChar w:fldCharType="begin"/>
            </w:r>
            <w:r w:rsidR="00326C68">
              <w:rPr>
                <w:noProof/>
                <w:webHidden/>
              </w:rPr>
              <w:instrText xml:space="preserve"> PAGEREF _Toc185398491 \h </w:instrText>
            </w:r>
            <w:r w:rsidR="00326C68">
              <w:rPr>
                <w:noProof/>
                <w:webHidden/>
              </w:rPr>
            </w:r>
            <w:r w:rsidR="00326C68">
              <w:rPr>
                <w:noProof/>
                <w:webHidden/>
              </w:rPr>
              <w:fldChar w:fldCharType="separate"/>
            </w:r>
            <w:r w:rsidR="00326C68">
              <w:rPr>
                <w:noProof/>
                <w:webHidden/>
              </w:rPr>
              <w:t>4</w:t>
            </w:r>
            <w:r w:rsidR="00326C68">
              <w:rPr>
                <w:noProof/>
                <w:webHidden/>
              </w:rPr>
              <w:fldChar w:fldCharType="end"/>
            </w:r>
          </w:hyperlink>
        </w:p>
        <w:p w14:paraId="72B5FBBA" w14:textId="450F3F3E" w:rsidR="00326C68" w:rsidRDefault="0000624B">
          <w:pPr>
            <w:pStyle w:val="TM2"/>
            <w:tabs>
              <w:tab w:val="left" w:pos="880"/>
              <w:tab w:val="right" w:leader="dot" w:pos="9062"/>
            </w:tabs>
            <w:rPr>
              <w:rFonts w:eastAsiaTheme="minorEastAsia"/>
              <w:noProof/>
              <w:lang w:eastAsia="fr-FR"/>
            </w:rPr>
          </w:pPr>
          <w:hyperlink w:anchor="_Toc185398492" w:history="1">
            <w:r w:rsidR="00326C68" w:rsidRPr="000B6497">
              <w:rPr>
                <w:rStyle w:val="Lienhypertexte"/>
                <w:noProof/>
              </w:rPr>
              <w:t>1.4</w:t>
            </w:r>
            <w:r w:rsidR="00326C68">
              <w:rPr>
                <w:rFonts w:eastAsiaTheme="minorEastAsia"/>
                <w:noProof/>
                <w:lang w:eastAsia="fr-FR"/>
              </w:rPr>
              <w:tab/>
            </w:r>
            <w:r w:rsidR="00326C68" w:rsidRPr="000B6497">
              <w:rPr>
                <w:rStyle w:val="Lienhypertexte"/>
                <w:noProof/>
              </w:rPr>
              <w:t>Durée de l’accord-cadre</w:t>
            </w:r>
            <w:r w:rsidR="00326C68">
              <w:rPr>
                <w:noProof/>
                <w:webHidden/>
              </w:rPr>
              <w:tab/>
            </w:r>
            <w:r w:rsidR="00326C68">
              <w:rPr>
                <w:noProof/>
                <w:webHidden/>
              </w:rPr>
              <w:fldChar w:fldCharType="begin"/>
            </w:r>
            <w:r w:rsidR="00326C68">
              <w:rPr>
                <w:noProof/>
                <w:webHidden/>
              </w:rPr>
              <w:instrText xml:space="preserve"> PAGEREF _Toc185398492 \h </w:instrText>
            </w:r>
            <w:r w:rsidR="00326C68">
              <w:rPr>
                <w:noProof/>
                <w:webHidden/>
              </w:rPr>
            </w:r>
            <w:r w:rsidR="00326C68">
              <w:rPr>
                <w:noProof/>
                <w:webHidden/>
              </w:rPr>
              <w:fldChar w:fldCharType="separate"/>
            </w:r>
            <w:r w:rsidR="00326C68">
              <w:rPr>
                <w:noProof/>
                <w:webHidden/>
              </w:rPr>
              <w:t>4</w:t>
            </w:r>
            <w:r w:rsidR="00326C68">
              <w:rPr>
                <w:noProof/>
                <w:webHidden/>
              </w:rPr>
              <w:fldChar w:fldCharType="end"/>
            </w:r>
          </w:hyperlink>
        </w:p>
        <w:p w14:paraId="4A8712AB" w14:textId="2DA97448" w:rsidR="00326C68" w:rsidRDefault="0000624B">
          <w:pPr>
            <w:pStyle w:val="TM2"/>
            <w:tabs>
              <w:tab w:val="left" w:pos="880"/>
              <w:tab w:val="right" w:leader="dot" w:pos="9062"/>
            </w:tabs>
            <w:rPr>
              <w:rFonts w:eastAsiaTheme="minorEastAsia"/>
              <w:noProof/>
              <w:lang w:eastAsia="fr-FR"/>
            </w:rPr>
          </w:pPr>
          <w:hyperlink w:anchor="_Toc185398493" w:history="1">
            <w:r w:rsidR="00326C68" w:rsidRPr="000B6497">
              <w:rPr>
                <w:rStyle w:val="Lienhypertexte"/>
                <w:noProof/>
              </w:rPr>
              <w:t>1.5</w:t>
            </w:r>
            <w:r w:rsidR="00326C68">
              <w:rPr>
                <w:rFonts w:eastAsiaTheme="minorEastAsia"/>
                <w:noProof/>
                <w:lang w:eastAsia="fr-FR"/>
              </w:rPr>
              <w:tab/>
            </w:r>
            <w:r w:rsidR="00326C68" w:rsidRPr="000B6497">
              <w:rPr>
                <w:rStyle w:val="Lienhypertexte"/>
                <w:noProof/>
              </w:rPr>
              <w:t>Lieu d’exécution</w:t>
            </w:r>
            <w:r w:rsidR="00326C68">
              <w:rPr>
                <w:noProof/>
                <w:webHidden/>
              </w:rPr>
              <w:tab/>
            </w:r>
            <w:r w:rsidR="00326C68">
              <w:rPr>
                <w:noProof/>
                <w:webHidden/>
              </w:rPr>
              <w:fldChar w:fldCharType="begin"/>
            </w:r>
            <w:r w:rsidR="00326C68">
              <w:rPr>
                <w:noProof/>
                <w:webHidden/>
              </w:rPr>
              <w:instrText xml:space="preserve"> PAGEREF _Toc185398493 \h </w:instrText>
            </w:r>
            <w:r w:rsidR="00326C68">
              <w:rPr>
                <w:noProof/>
                <w:webHidden/>
              </w:rPr>
            </w:r>
            <w:r w:rsidR="00326C68">
              <w:rPr>
                <w:noProof/>
                <w:webHidden/>
              </w:rPr>
              <w:fldChar w:fldCharType="separate"/>
            </w:r>
            <w:r w:rsidR="00326C68">
              <w:rPr>
                <w:noProof/>
                <w:webHidden/>
              </w:rPr>
              <w:t>5</w:t>
            </w:r>
            <w:r w:rsidR="00326C68">
              <w:rPr>
                <w:noProof/>
                <w:webHidden/>
              </w:rPr>
              <w:fldChar w:fldCharType="end"/>
            </w:r>
          </w:hyperlink>
        </w:p>
        <w:p w14:paraId="3AE40CF4" w14:textId="1F2909FF" w:rsidR="00326C68" w:rsidRDefault="0000624B">
          <w:pPr>
            <w:pStyle w:val="TM1"/>
            <w:rPr>
              <w:rFonts w:eastAsiaTheme="minorEastAsia"/>
              <w:noProof/>
              <w:lang w:eastAsia="fr-FR"/>
            </w:rPr>
          </w:pPr>
          <w:hyperlink w:anchor="_Toc185398494" w:history="1">
            <w:r w:rsidR="00326C68" w:rsidRPr="000B6497">
              <w:rPr>
                <w:rStyle w:val="Lienhypertexte"/>
                <w:noProof/>
              </w:rPr>
              <w:t>2</w:t>
            </w:r>
            <w:r w:rsidR="00326C68">
              <w:rPr>
                <w:rFonts w:eastAsiaTheme="minorEastAsia"/>
                <w:noProof/>
                <w:lang w:eastAsia="fr-FR"/>
              </w:rPr>
              <w:tab/>
            </w:r>
            <w:r w:rsidR="00326C68" w:rsidRPr="000B6497">
              <w:rPr>
                <w:rStyle w:val="Lienhypertexte"/>
                <w:noProof/>
              </w:rPr>
              <w:t>Pièces contractuelles de l’accord-cadre par lot</w:t>
            </w:r>
            <w:r w:rsidR="00326C68">
              <w:rPr>
                <w:noProof/>
                <w:webHidden/>
              </w:rPr>
              <w:tab/>
            </w:r>
            <w:r w:rsidR="00326C68">
              <w:rPr>
                <w:noProof/>
                <w:webHidden/>
              </w:rPr>
              <w:fldChar w:fldCharType="begin"/>
            </w:r>
            <w:r w:rsidR="00326C68">
              <w:rPr>
                <w:noProof/>
                <w:webHidden/>
              </w:rPr>
              <w:instrText xml:space="preserve"> PAGEREF _Toc185398494 \h </w:instrText>
            </w:r>
            <w:r w:rsidR="00326C68">
              <w:rPr>
                <w:noProof/>
                <w:webHidden/>
              </w:rPr>
            </w:r>
            <w:r w:rsidR="00326C68">
              <w:rPr>
                <w:noProof/>
                <w:webHidden/>
              </w:rPr>
              <w:fldChar w:fldCharType="separate"/>
            </w:r>
            <w:r w:rsidR="00326C68">
              <w:rPr>
                <w:noProof/>
                <w:webHidden/>
              </w:rPr>
              <w:t>5</w:t>
            </w:r>
            <w:r w:rsidR="00326C68">
              <w:rPr>
                <w:noProof/>
                <w:webHidden/>
              </w:rPr>
              <w:fldChar w:fldCharType="end"/>
            </w:r>
          </w:hyperlink>
        </w:p>
        <w:p w14:paraId="59D1B685" w14:textId="5F4EB1D4" w:rsidR="00326C68" w:rsidRDefault="0000624B">
          <w:pPr>
            <w:pStyle w:val="TM1"/>
            <w:rPr>
              <w:rFonts w:eastAsiaTheme="minorEastAsia"/>
              <w:noProof/>
              <w:lang w:eastAsia="fr-FR"/>
            </w:rPr>
          </w:pPr>
          <w:hyperlink w:anchor="_Toc185398495" w:history="1">
            <w:r w:rsidR="00326C68" w:rsidRPr="000B6497">
              <w:rPr>
                <w:rStyle w:val="Lienhypertexte"/>
                <w:noProof/>
              </w:rPr>
              <w:t>3</w:t>
            </w:r>
            <w:r w:rsidR="00326C68">
              <w:rPr>
                <w:rFonts w:eastAsiaTheme="minorEastAsia"/>
                <w:noProof/>
                <w:lang w:eastAsia="fr-FR"/>
              </w:rPr>
              <w:tab/>
            </w:r>
            <w:r w:rsidR="00326C68" w:rsidRPr="000B6497">
              <w:rPr>
                <w:rStyle w:val="Lienhypertexte"/>
                <w:noProof/>
              </w:rPr>
              <w:t>Délais d’exécution</w:t>
            </w:r>
            <w:r w:rsidR="00326C68">
              <w:rPr>
                <w:noProof/>
                <w:webHidden/>
              </w:rPr>
              <w:tab/>
            </w:r>
            <w:r w:rsidR="00326C68">
              <w:rPr>
                <w:noProof/>
                <w:webHidden/>
              </w:rPr>
              <w:fldChar w:fldCharType="begin"/>
            </w:r>
            <w:r w:rsidR="00326C68">
              <w:rPr>
                <w:noProof/>
                <w:webHidden/>
              </w:rPr>
              <w:instrText xml:space="preserve"> PAGEREF _Toc185398495 \h </w:instrText>
            </w:r>
            <w:r w:rsidR="00326C68">
              <w:rPr>
                <w:noProof/>
                <w:webHidden/>
              </w:rPr>
            </w:r>
            <w:r w:rsidR="00326C68">
              <w:rPr>
                <w:noProof/>
                <w:webHidden/>
              </w:rPr>
              <w:fldChar w:fldCharType="separate"/>
            </w:r>
            <w:r w:rsidR="00326C68">
              <w:rPr>
                <w:noProof/>
                <w:webHidden/>
              </w:rPr>
              <w:t>5</w:t>
            </w:r>
            <w:r w:rsidR="00326C68">
              <w:rPr>
                <w:noProof/>
                <w:webHidden/>
              </w:rPr>
              <w:fldChar w:fldCharType="end"/>
            </w:r>
          </w:hyperlink>
        </w:p>
        <w:p w14:paraId="5D53E9E6" w14:textId="53510633" w:rsidR="00326C68" w:rsidRDefault="0000624B">
          <w:pPr>
            <w:pStyle w:val="TM1"/>
            <w:rPr>
              <w:rFonts w:eastAsiaTheme="minorEastAsia"/>
              <w:noProof/>
              <w:lang w:eastAsia="fr-FR"/>
            </w:rPr>
          </w:pPr>
          <w:hyperlink w:anchor="_Toc185398496" w:history="1">
            <w:r w:rsidR="00326C68" w:rsidRPr="000B6497">
              <w:rPr>
                <w:rStyle w:val="Lienhypertexte"/>
                <w:noProof/>
              </w:rPr>
              <w:t>4</w:t>
            </w:r>
            <w:r w:rsidR="00326C68">
              <w:rPr>
                <w:rFonts w:eastAsiaTheme="minorEastAsia"/>
                <w:noProof/>
                <w:lang w:eastAsia="fr-FR"/>
              </w:rPr>
              <w:tab/>
            </w:r>
            <w:r w:rsidR="00326C68" w:rsidRPr="000B6497">
              <w:rPr>
                <w:rStyle w:val="Lienhypertexte"/>
                <w:noProof/>
              </w:rPr>
              <w:t>Confidentialité et mesure de sécurité</w:t>
            </w:r>
            <w:r w:rsidR="00326C68">
              <w:rPr>
                <w:noProof/>
                <w:webHidden/>
              </w:rPr>
              <w:tab/>
            </w:r>
            <w:r w:rsidR="00326C68">
              <w:rPr>
                <w:noProof/>
                <w:webHidden/>
              </w:rPr>
              <w:fldChar w:fldCharType="begin"/>
            </w:r>
            <w:r w:rsidR="00326C68">
              <w:rPr>
                <w:noProof/>
                <w:webHidden/>
              </w:rPr>
              <w:instrText xml:space="preserve"> PAGEREF _Toc185398496 \h </w:instrText>
            </w:r>
            <w:r w:rsidR="00326C68">
              <w:rPr>
                <w:noProof/>
                <w:webHidden/>
              </w:rPr>
            </w:r>
            <w:r w:rsidR="00326C68">
              <w:rPr>
                <w:noProof/>
                <w:webHidden/>
              </w:rPr>
              <w:fldChar w:fldCharType="separate"/>
            </w:r>
            <w:r w:rsidR="00326C68">
              <w:rPr>
                <w:noProof/>
                <w:webHidden/>
              </w:rPr>
              <w:t>5</w:t>
            </w:r>
            <w:r w:rsidR="00326C68">
              <w:rPr>
                <w:noProof/>
                <w:webHidden/>
              </w:rPr>
              <w:fldChar w:fldCharType="end"/>
            </w:r>
          </w:hyperlink>
        </w:p>
        <w:p w14:paraId="774117BC" w14:textId="0A81F571" w:rsidR="00326C68" w:rsidRDefault="0000624B">
          <w:pPr>
            <w:pStyle w:val="TM1"/>
            <w:rPr>
              <w:rFonts w:eastAsiaTheme="minorEastAsia"/>
              <w:noProof/>
              <w:lang w:eastAsia="fr-FR"/>
            </w:rPr>
          </w:pPr>
          <w:hyperlink w:anchor="_Toc185398497" w:history="1">
            <w:r w:rsidR="00326C68" w:rsidRPr="000B6497">
              <w:rPr>
                <w:rStyle w:val="Lienhypertexte"/>
                <w:noProof/>
              </w:rPr>
              <w:t>5</w:t>
            </w:r>
            <w:r w:rsidR="00326C68">
              <w:rPr>
                <w:rFonts w:eastAsiaTheme="minorEastAsia"/>
                <w:noProof/>
                <w:lang w:eastAsia="fr-FR"/>
              </w:rPr>
              <w:tab/>
            </w:r>
            <w:r w:rsidR="00326C68" w:rsidRPr="000B6497">
              <w:rPr>
                <w:rStyle w:val="Lienhypertexte"/>
                <w:noProof/>
              </w:rPr>
              <w:t>Conditions d’exécution des prestations</w:t>
            </w:r>
            <w:r w:rsidR="00326C68">
              <w:rPr>
                <w:noProof/>
                <w:webHidden/>
              </w:rPr>
              <w:tab/>
            </w:r>
            <w:r w:rsidR="00326C68">
              <w:rPr>
                <w:noProof/>
                <w:webHidden/>
              </w:rPr>
              <w:fldChar w:fldCharType="begin"/>
            </w:r>
            <w:r w:rsidR="00326C68">
              <w:rPr>
                <w:noProof/>
                <w:webHidden/>
              </w:rPr>
              <w:instrText xml:space="preserve"> PAGEREF _Toc185398497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173878D1" w14:textId="00D45655" w:rsidR="00326C68" w:rsidRDefault="0000624B">
          <w:pPr>
            <w:pStyle w:val="TM1"/>
            <w:rPr>
              <w:rFonts w:eastAsiaTheme="minorEastAsia"/>
              <w:noProof/>
              <w:lang w:eastAsia="fr-FR"/>
            </w:rPr>
          </w:pPr>
          <w:hyperlink w:anchor="_Toc185398498" w:history="1">
            <w:r w:rsidR="00326C68" w:rsidRPr="000B6497">
              <w:rPr>
                <w:rStyle w:val="Lienhypertexte"/>
                <w:noProof/>
              </w:rPr>
              <w:t>6</w:t>
            </w:r>
            <w:r w:rsidR="00326C68">
              <w:rPr>
                <w:rFonts w:eastAsiaTheme="minorEastAsia"/>
                <w:noProof/>
                <w:lang w:eastAsia="fr-FR"/>
              </w:rPr>
              <w:tab/>
            </w:r>
            <w:r w:rsidR="00326C68" w:rsidRPr="000B6497">
              <w:rPr>
                <w:rStyle w:val="Lienhypertexte"/>
                <w:noProof/>
              </w:rPr>
              <w:t>Constatation de l’exécution des prestations</w:t>
            </w:r>
            <w:r w:rsidR="00326C68">
              <w:rPr>
                <w:noProof/>
                <w:webHidden/>
              </w:rPr>
              <w:tab/>
            </w:r>
            <w:r w:rsidR="00326C68">
              <w:rPr>
                <w:noProof/>
                <w:webHidden/>
              </w:rPr>
              <w:fldChar w:fldCharType="begin"/>
            </w:r>
            <w:r w:rsidR="00326C68">
              <w:rPr>
                <w:noProof/>
                <w:webHidden/>
              </w:rPr>
              <w:instrText xml:space="preserve"> PAGEREF _Toc185398498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6C7FA498" w14:textId="15DCC550" w:rsidR="00326C68" w:rsidRDefault="0000624B">
          <w:pPr>
            <w:pStyle w:val="TM2"/>
            <w:tabs>
              <w:tab w:val="right" w:leader="dot" w:pos="9062"/>
            </w:tabs>
            <w:rPr>
              <w:rFonts w:eastAsiaTheme="minorEastAsia"/>
              <w:noProof/>
              <w:lang w:eastAsia="fr-FR"/>
            </w:rPr>
          </w:pPr>
          <w:hyperlink w:anchor="_Toc185398499" w:history="1">
            <w:r w:rsidR="00326C68" w:rsidRPr="000B6497">
              <w:rPr>
                <w:rStyle w:val="Lienhypertexte"/>
                <w:noProof/>
              </w:rPr>
              <w:t>6-1 Vérifications</w:t>
            </w:r>
            <w:r w:rsidR="00326C68">
              <w:rPr>
                <w:noProof/>
                <w:webHidden/>
              </w:rPr>
              <w:tab/>
            </w:r>
            <w:r w:rsidR="00326C68">
              <w:rPr>
                <w:noProof/>
                <w:webHidden/>
              </w:rPr>
              <w:fldChar w:fldCharType="begin"/>
            </w:r>
            <w:r w:rsidR="00326C68">
              <w:rPr>
                <w:noProof/>
                <w:webHidden/>
              </w:rPr>
              <w:instrText xml:space="preserve"> PAGEREF _Toc185398499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77DA3DAC" w14:textId="5938E96C" w:rsidR="00326C68" w:rsidRDefault="0000624B">
          <w:pPr>
            <w:pStyle w:val="TM2"/>
            <w:tabs>
              <w:tab w:val="right" w:leader="dot" w:pos="9062"/>
            </w:tabs>
            <w:rPr>
              <w:rFonts w:eastAsiaTheme="minorEastAsia"/>
              <w:noProof/>
              <w:lang w:eastAsia="fr-FR"/>
            </w:rPr>
          </w:pPr>
          <w:hyperlink w:anchor="_Toc185398500" w:history="1">
            <w:r w:rsidR="00326C68" w:rsidRPr="000B6497">
              <w:rPr>
                <w:rStyle w:val="Lienhypertexte"/>
                <w:noProof/>
              </w:rPr>
              <w:t>6-2 - Décision après vérification</w:t>
            </w:r>
            <w:r w:rsidR="00326C68">
              <w:rPr>
                <w:noProof/>
                <w:webHidden/>
              </w:rPr>
              <w:tab/>
            </w:r>
            <w:r w:rsidR="00326C68">
              <w:rPr>
                <w:noProof/>
                <w:webHidden/>
              </w:rPr>
              <w:fldChar w:fldCharType="begin"/>
            </w:r>
            <w:r w:rsidR="00326C68">
              <w:rPr>
                <w:noProof/>
                <w:webHidden/>
              </w:rPr>
              <w:instrText xml:space="preserve"> PAGEREF _Toc185398500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0A7CE367" w14:textId="0A994290" w:rsidR="00326C68" w:rsidRDefault="0000624B">
          <w:pPr>
            <w:pStyle w:val="TM1"/>
            <w:rPr>
              <w:rFonts w:eastAsiaTheme="minorEastAsia"/>
              <w:noProof/>
              <w:lang w:eastAsia="fr-FR"/>
            </w:rPr>
          </w:pPr>
          <w:hyperlink w:anchor="_Toc185398501" w:history="1">
            <w:r w:rsidR="00326C68" w:rsidRPr="000B6497">
              <w:rPr>
                <w:rStyle w:val="Lienhypertexte"/>
                <w:noProof/>
              </w:rPr>
              <w:t>7</w:t>
            </w:r>
            <w:r w:rsidR="00326C68">
              <w:rPr>
                <w:rFonts w:eastAsiaTheme="minorEastAsia"/>
                <w:noProof/>
                <w:lang w:eastAsia="fr-FR"/>
              </w:rPr>
              <w:tab/>
            </w:r>
            <w:r w:rsidR="00326C68" w:rsidRPr="000B6497">
              <w:rPr>
                <w:rStyle w:val="Lienhypertexte"/>
                <w:noProof/>
              </w:rPr>
              <w:t>Avance</w:t>
            </w:r>
            <w:r w:rsidR="00326C68">
              <w:rPr>
                <w:noProof/>
                <w:webHidden/>
              </w:rPr>
              <w:tab/>
            </w:r>
            <w:r w:rsidR="00326C68">
              <w:rPr>
                <w:noProof/>
                <w:webHidden/>
              </w:rPr>
              <w:fldChar w:fldCharType="begin"/>
            </w:r>
            <w:r w:rsidR="00326C68">
              <w:rPr>
                <w:noProof/>
                <w:webHidden/>
              </w:rPr>
              <w:instrText xml:space="preserve"> PAGEREF _Toc185398501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742C99E4" w14:textId="0E0C6B45" w:rsidR="00326C68" w:rsidRDefault="0000624B">
          <w:pPr>
            <w:pStyle w:val="TM2"/>
            <w:tabs>
              <w:tab w:val="right" w:leader="dot" w:pos="9062"/>
            </w:tabs>
            <w:rPr>
              <w:rFonts w:eastAsiaTheme="minorEastAsia"/>
              <w:noProof/>
              <w:lang w:eastAsia="fr-FR"/>
            </w:rPr>
          </w:pPr>
          <w:hyperlink w:anchor="_Toc185398502" w:history="1">
            <w:r w:rsidR="00326C68" w:rsidRPr="000B6497">
              <w:rPr>
                <w:rStyle w:val="Lienhypertexte"/>
                <w:noProof/>
              </w:rPr>
              <w:t>7.1 - Conditions de versement et de remboursement</w:t>
            </w:r>
            <w:r w:rsidR="00326C68">
              <w:rPr>
                <w:noProof/>
                <w:webHidden/>
              </w:rPr>
              <w:tab/>
            </w:r>
            <w:r w:rsidR="00326C68">
              <w:rPr>
                <w:noProof/>
                <w:webHidden/>
              </w:rPr>
              <w:fldChar w:fldCharType="begin"/>
            </w:r>
            <w:r w:rsidR="00326C68">
              <w:rPr>
                <w:noProof/>
                <w:webHidden/>
              </w:rPr>
              <w:instrText xml:space="preserve"> PAGEREF _Toc185398502 \h </w:instrText>
            </w:r>
            <w:r w:rsidR="00326C68">
              <w:rPr>
                <w:noProof/>
                <w:webHidden/>
              </w:rPr>
            </w:r>
            <w:r w:rsidR="00326C68">
              <w:rPr>
                <w:noProof/>
                <w:webHidden/>
              </w:rPr>
              <w:fldChar w:fldCharType="separate"/>
            </w:r>
            <w:r w:rsidR="00326C68">
              <w:rPr>
                <w:noProof/>
                <w:webHidden/>
              </w:rPr>
              <w:t>6</w:t>
            </w:r>
            <w:r w:rsidR="00326C68">
              <w:rPr>
                <w:noProof/>
                <w:webHidden/>
              </w:rPr>
              <w:fldChar w:fldCharType="end"/>
            </w:r>
          </w:hyperlink>
        </w:p>
        <w:p w14:paraId="6E18B7DC" w14:textId="60EFF1E6" w:rsidR="00326C68" w:rsidRDefault="0000624B">
          <w:pPr>
            <w:pStyle w:val="TM2"/>
            <w:tabs>
              <w:tab w:val="right" w:leader="dot" w:pos="9062"/>
            </w:tabs>
            <w:rPr>
              <w:rFonts w:eastAsiaTheme="minorEastAsia"/>
              <w:noProof/>
              <w:lang w:eastAsia="fr-FR"/>
            </w:rPr>
          </w:pPr>
          <w:hyperlink w:anchor="_Toc185398503" w:history="1">
            <w:r w:rsidR="00326C68" w:rsidRPr="000B6497">
              <w:rPr>
                <w:rStyle w:val="Lienhypertexte"/>
                <w:noProof/>
              </w:rPr>
              <w:t>7.2 - Garanties financières de l'avance</w:t>
            </w:r>
            <w:r w:rsidR="00326C68">
              <w:rPr>
                <w:noProof/>
                <w:webHidden/>
              </w:rPr>
              <w:tab/>
            </w:r>
            <w:r w:rsidR="00326C68">
              <w:rPr>
                <w:noProof/>
                <w:webHidden/>
              </w:rPr>
              <w:fldChar w:fldCharType="begin"/>
            </w:r>
            <w:r w:rsidR="00326C68">
              <w:rPr>
                <w:noProof/>
                <w:webHidden/>
              </w:rPr>
              <w:instrText xml:space="preserve"> PAGEREF _Toc185398503 \h </w:instrText>
            </w:r>
            <w:r w:rsidR="00326C68">
              <w:rPr>
                <w:noProof/>
                <w:webHidden/>
              </w:rPr>
            </w:r>
            <w:r w:rsidR="00326C68">
              <w:rPr>
                <w:noProof/>
                <w:webHidden/>
              </w:rPr>
              <w:fldChar w:fldCharType="separate"/>
            </w:r>
            <w:r w:rsidR="00326C68">
              <w:rPr>
                <w:noProof/>
                <w:webHidden/>
              </w:rPr>
              <w:t>7</w:t>
            </w:r>
            <w:r w:rsidR="00326C68">
              <w:rPr>
                <w:noProof/>
                <w:webHidden/>
              </w:rPr>
              <w:fldChar w:fldCharType="end"/>
            </w:r>
          </w:hyperlink>
        </w:p>
        <w:p w14:paraId="455272D3" w14:textId="19C17664" w:rsidR="00326C68" w:rsidRDefault="0000624B">
          <w:pPr>
            <w:pStyle w:val="TM1"/>
            <w:rPr>
              <w:rFonts w:eastAsiaTheme="minorEastAsia"/>
              <w:noProof/>
              <w:lang w:eastAsia="fr-FR"/>
            </w:rPr>
          </w:pPr>
          <w:hyperlink w:anchor="_Toc185398504" w:history="1">
            <w:r w:rsidR="00326C68" w:rsidRPr="000B6497">
              <w:rPr>
                <w:rStyle w:val="Lienhypertexte"/>
                <w:noProof/>
              </w:rPr>
              <w:t>8</w:t>
            </w:r>
            <w:r w:rsidR="00326C68">
              <w:rPr>
                <w:rFonts w:eastAsiaTheme="minorEastAsia"/>
                <w:noProof/>
                <w:lang w:eastAsia="fr-FR"/>
              </w:rPr>
              <w:tab/>
            </w:r>
            <w:r w:rsidR="00326C68" w:rsidRPr="000B6497">
              <w:rPr>
                <w:rStyle w:val="Lienhypertexte"/>
                <w:noProof/>
              </w:rPr>
              <w:t>Modalité de commande et prix de l’accord cadre par lot</w:t>
            </w:r>
            <w:r w:rsidR="00326C68">
              <w:rPr>
                <w:noProof/>
                <w:webHidden/>
              </w:rPr>
              <w:tab/>
            </w:r>
            <w:r w:rsidR="00326C68">
              <w:rPr>
                <w:noProof/>
                <w:webHidden/>
              </w:rPr>
              <w:fldChar w:fldCharType="begin"/>
            </w:r>
            <w:r w:rsidR="00326C68">
              <w:rPr>
                <w:noProof/>
                <w:webHidden/>
              </w:rPr>
              <w:instrText xml:space="preserve"> PAGEREF _Toc185398504 \h </w:instrText>
            </w:r>
            <w:r w:rsidR="00326C68">
              <w:rPr>
                <w:noProof/>
                <w:webHidden/>
              </w:rPr>
            </w:r>
            <w:r w:rsidR="00326C68">
              <w:rPr>
                <w:noProof/>
                <w:webHidden/>
              </w:rPr>
              <w:fldChar w:fldCharType="separate"/>
            </w:r>
            <w:r w:rsidR="00326C68">
              <w:rPr>
                <w:noProof/>
                <w:webHidden/>
              </w:rPr>
              <w:t>7</w:t>
            </w:r>
            <w:r w:rsidR="00326C68">
              <w:rPr>
                <w:noProof/>
                <w:webHidden/>
              </w:rPr>
              <w:fldChar w:fldCharType="end"/>
            </w:r>
          </w:hyperlink>
        </w:p>
        <w:p w14:paraId="070BE4E5" w14:textId="113B1B43" w:rsidR="00326C68" w:rsidRDefault="0000624B">
          <w:pPr>
            <w:pStyle w:val="TM2"/>
            <w:tabs>
              <w:tab w:val="left" w:pos="880"/>
              <w:tab w:val="right" w:leader="dot" w:pos="9062"/>
            </w:tabs>
            <w:rPr>
              <w:rFonts w:eastAsiaTheme="minorEastAsia"/>
              <w:noProof/>
              <w:lang w:eastAsia="fr-FR"/>
            </w:rPr>
          </w:pPr>
          <w:hyperlink w:anchor="_Toc185398505" w:history="1">
            <w:r w:rsidR="00326C68" w:rsidRPr="000B6497">
              <w:rPr>
                <w:rStyle w:val="Lienhypertexte"/>
                <w:noProof/>
              </w:rPr>
              <w:t>8.1</w:t>
            </w:r>
            <w:r w:rsidR="00326C68">
              <w:rPr>
                <w:rFonts w:eastAsiaTheme="minorEastAsia"/>
                <w:noProof/>
                <w:lang w:eastAsia="fr-FR"/>
              </w:rPr>
              <w:tab/>
            </w:r>
            <w:r w:rsidR="00326C68" w:rsidRPr="000B6497">
              <w:rPr>
                <w:rStyle w:val="Lienhypertexte"/>
                <w:noProof/>
              </w:rPr>
              <w:t>Modalités de variations des prix pour chaque lot</w:t>
            </w:r>
            <w:r w:rsidR="00326C68">
              <w:rPr>
                <w:noProof/>
                <w:webHidden/>
              </w:rPr>
              <w:tab/>
            </w:r>
            <w:r w:rsidR="00326C68">
              <w:rPr>
                <w:noProof/>
                <w:webHidden/>
              </w:rPr>
              <w:fldChar w:fldCharType="begin"/>
            </w:r>
            <w:r w:rsidR="00326C68">
              <w:rPr>
                <w:noProof/>
                <w:webHidden/>
              </w:rPr>
              <w:instrText xml:space="preserve"> PAGEREF _Toc185398505 \h </w:instrText>
            </w:r>
            <w:r w:rsidR="00326C68">
              <w:rPr>
                <w:noProof/>
                <w:webHidden/>
              </w:rPr>
            </w:r>
            <w:r w:rsidR="00326C68">
              <w:rPr>
                <w:noProof/>
                <w:webHidden/>
              </w:rPr>
              <w:fldChar w:fldCharType="separate"/>
            </w:r>
            <w:r w:rsidR="00326C68">
              <w:rPr>
                <w:noProof/>
                <w:webHidden/>
              </w:rPr>
              <w:t>8</w:t>
            </w:r>
            <w:r w:rsidR="00326C68">
              <w:rPr>
                <w:noProof/>
                <w:webHidden/>
              </w:rPr>
              <w:fldChar w:fldCharType="end"/>
            </w:r>
          </w:hyperlink>
        </w:p>
        <w:p w14:paraId="6E58C94E" w14:textId="637538AB" w:rsidR="00326C68" w:rsidRDefault="0000624B">
          <w:pPr>
            <w:pStyle w:val="TM1"/>
            <w:rPr>
              <w:rFonts w:eastAsiaTheme="minorEastAsia"/>
              <w:noProof/>
              <w:lang w:eastAsia="fr-FR"/>
            </w:rPr>
          </w:pPr>
          <w:hyperlink w:anchor="_Toc185398506" w:history="1">
            <w:r w:rsidR="00326C68" w:rsidRPr="000B6497">
              <w:rPr>
                <w:rStyle w:val="Lienhypertexte"/>
                <w:noProof/>
              </w:rPr>
              <w:t>9</w:t>
            </w:r>
            <w:r w:rsidR="00326C68">
              <w:rPr>
                <w:rFonts w:eastAsiaTheme="minorEastAsia"/>
                <w:noProof/>
                <w:lang w:eastAsia="fr-FR"/>
              </w:rPr>
              <w:tab/>
            </w:r>
            <w:r w:rsidR="00326C68" w:rsidRPr="000B6497">
              <w:rPr>
                <w:rStyle w:val="Lienhypertexte"/>
                <w:noProof/>
              </w:rPr>
              <w:t>Modalités de règlement</w:t>
            </w:r>
            <w:r w:rsidR="00326C68">
              <w:rPr>
                <w:noProof/>
                <w:webHidden/>
              </w:rPr>
              <w:tab/>
            </w:r>
            <w:r w:rsidR="00326C68">
              <w:rPr>
                <w:noProof/>
                <w:webHidden/>
              </w:rPr>
              <w:fldChar w:fldCharType="begin"/>
            </w:r>
            <w:r w:rsidR="00326C68">
              <w:rPr>
                <w:noProof/>
                <w:webHidden/>
              </w:rPr>
              <w:instrText xml:space="preserve"> PAGEREF _Toc185398506 \h </w:instrText>
            </w:r>
            <w:r w:rsidR="00326C68">
              <w:rPr>
                <w:noProof/>
                <w:webHidden/>
              </w:rPr>
            </w:r>
            <w:r w:rsidR="00326C68">
              <w:rPr>
                <w:noProof/>
                <w:webHidden/>
              </w:rPr>
              <w:fldChar w:fldCharType="separate"/>
            </w:r>
            <w:r w:rsidR="00326C68">
              <w:rPr>
                <w:noProof/>
                <w:webHidden/>
              </w:rPr>
              <w:t>9</w:t>
            </w:r>
            <w:r w:rsidR="00326C68">
              <w:rPr>
                <w:noProof/>
                <w:webHidden/>
              </w:rPr>
              <w:fldChar w:fldCharType="end"/>
            </w:r>
          </w:hyperlink>
        </w:p>
        <w:p w14:paraId="5F2FA44E" w14:textId="717015F8" w:rsidR="00326C68" w:rsidRDefault="0000624B">
          <w:pPr>
            <w:pStyle w:val="TM2"/>
            <w:tabs>
              <w:tab w:val="left" w:pos="880"/>
              <w:tab w:val="right" w:leader="dot" w:pos="9062"/>
            </w:tabs>
            <w:rPr>
              <w:rFonts w:eastAsiaTheme="minorEastAsia"/>
              <w:noProof/>
              <w:lang w:eastAsia="fr-FR"/>
            </w:rPr>
          </w:pPr>
          <w:hyperlink w:anchor="_Toc185398507" w:history="1">
            <w:r w:rsidR="00326C68" w:rsidRPr="000B6497">
              <w:rPr>
                <w:rStyle w:val="Lienhypertexte"/>
                <w:noProof/>
              </w:rPr>
              <w:t>9.1</w:t>
            </w:r>
            <w:r w:rsidR="00326C68">
              <w:rPr>
                <w:rFonts w:eastAsiaTheme="minorEastAsia"/>
                <w:noProof/>
                <w:lang w:eastAsia="fr-FR"/>
              </w:rPr>
              <w:tab/>
            </w:r>
            <w:r w:rsidR="00326C68" w:rsidRPr="000B6497">
              <w:rPr>
                <w:rStyle w:val="Lienhypertexte"/>
                <w:noProof/>
              </w:rPr>
              <w:t>Acomptes</w:t>
            </w:r>
            <w:r w:rsidR="00326C68">
              <w:rPr>
                <w:noProof/>
                <w:webHidden/>
              </w:rPr>
              <w:tab/>
            </w:r>
            <w:r w:rsidR="00326C68">
              <w:rPr>
                <w:noProof/>
                <w:webHidden/>
              </w:rPr>
              <w:fldChar w:fldCharType="begin"/>
            </w:r>
            <w:r w:rsidR="00326C68">
              <w:rPr>
                <w:noProof/>
                <w:webHidden/>
              </w:rPr>
              <w:instrText xml:space="preserve"> PAGEREF _Toc185398507 \h </w:instrText>
            </w:r>
            <w:r w:rsidR="00326C68">
              <w:rPr>
                <w:noProof/>
                <w:webHidden/>
              </w:rPr>
            </w:r>
            <w:r w:rsidR="00326C68">
              <w:rPr>
                <w:noProof/>
                <w:webHidden/>
              </w:rPr>
              <w:fldChar w:fldCharType="separate"/>
            </w:r>
            <w:r w:rsidR="00326C68">
              <w:rPr>
                <w:noProof/>
                <w:webHidden/>
              </w:rPr>
              <w:t>9</w:t>
            </w:r>
            <w:r w:rsidR="00326C68">
              <w:rPr>
                <w:noProof/>
                <w:webHidden/>
              </w:rPr>
              <w:fldChar w:fldCharType="end"/>
            </w:r>
          </w:hyperlink>
        </w:p>
        <w:p w14:paraId="41BF1EA0" w14:textId="040C385E" w:rsidR="00326C68" w:rsidRDefault="0000624B">
          <w:pPr>
            <w:pStyle w:val="TM2"/>
            <w:tabs>
              <w:tab w:val="left" w:pos="880"/>
              <w:tab w:val="right" w:leader="dot" w:pos="9062"/>
            </w:tabs>
            <w:rPr>
              <w:rFonts w:eastAsiaTheme="minorEastAsia"/>
              <w:noProof/>
              <w:lang w:eastAsia="fr-FR"/>
            </w:rPr>
          </w:pPr>
          <w:hyperlink w:anchor="_Toc185398508" w:history="1">
            <w:r w:rsidR="00326C68" w:rsidRPr="000B6497">
              <w:rPr>
                <w:rStyle w:val="Lienhypertexte"/>
                <w:noProof/>
              </w:rPr>
              <w:t>9.2</w:t>
            </w:r>
            <w:r w:rsidR="00326C68">
              <w:rPr>
                <w:rFonts w:eastAsiaTheme="minorEastAsia"/>
                <w:noProof/>
                <w:lang w:eastAsia="fr-FR"/>
              </w:rPr>
              <w:tab/>
            </w:r>
            <w:r w:rsidR="00326C68" w:rsidRPr="000B6497">
              <w:rPr>
                <w:rStyle w:val="Lienhypertexte"/>
                <w:noProof/>
              </w:rPr>
              <w:t>Présentation des demandes de paiements</w:t>
            </w:r>
            <w:r w:rsidR="00326C68">
              <w:rPr>
                <w:noProof/>
                <w:webHidden/>
              </w:rPr>
              <w:tab/>
            </w:r>
            <w:r w:rsidR="00326C68">
              <w:rPr>
                <w:noProof/>
                <w:webHidden/>
              </w:rPr>
              <w:fldChar w:fldCharType="begin"/>
            </w:r>
            <w:r w:rsidR="00326C68">
              <w:rPr>
                <w:noProof/>
                <w:webHidden/>
              </w:rPr>
              <w:instrText xml:space="preserve"> PAGEREF _Toc185398508 \h </w:instrText>
            </w:r>
            <w:r w:rsidR="00326C68">
              <w:rPr>
                <w:noProof/>
                <w:webHidden/>
              </w:rPr>
            </w:r>
            <w:r w:rsidR="00326C68">
              <w:rPr>
                <w:noProof/>
                <w:webHidden/>
              </w:rPr>
              <w:fldChar w:fldCharType="separate"/>
            </w:r>
            <w:r w:rsidR="00326C68">
              <w:rPr>
                <w:noProof/>
                <w:webHidden/>
              </w:rPr>
              <w:t>9</w:t>
            </w:r>
            <w:r w:rsidR="00326C68">
              <w:rPr>
                <w:noProof/>
                <w:webHidden/>
              </w:rPr>
              <w:fldChar w:fldCharType="end"/>
            </w:r>
          </w:hyperlink>
        </w:p>
        <w:p w14:paraId="5C06B53E" w14:textId="6BE3199A" w:rsidR="00326C68" w:rsidRDefault="0000624B">
          <w:pPr>
            <w:pStyle w:val="TM2"/>
            <w:tabs>
              <w:tab w:val="left" w:pos="880"/>
              <w:tab w:val="right" w:leader="dot" w:pos="9062"/>
            </w:tabs>
            <w:rPr>
              <w:rFonts w:eastAsiaTheme="minorEastAsia"/>
              <w:noProof/>
              <w:lang w:eastAsia="fr-FR"/>
            </w:rPr>
          </w:pPr>
          <w:hyperlink w:anchor="_Toc185398509" w:history="1">
            <w:r w:rsidR="00326C68" w:rsidRPr="000B6497">
              <w:rPr>
                <w:rStyle w:val="Lienhypertexte"/>
                <w:noProof/>
              </w:rPr>
              <w:t>9.3</w:t>
            </w:r>
            <w:r w:rsidR="00326C68">
              <w:rPr>
                <w:rFonts w:eastAsiaTheme="minorEastAsia"/>
                <w:noProof/>
                <w:lang w:eastAsia="fr-FR"/>
              </w:rPr>
              <w:tab/>
            </w:r>
            <w:r w:rsidR="00326C68" w:rsidRPr="000B6497">
              <w:rPr>
                <w:rStyle w:val="Lienhypertexte"/>
                <w:noProof/>
              </w:rPr>
              <w:t>Délai global de paiement</w:t>
            </w:r>
            <w:r w:rsidR="00326C68">
              <w:rPr>
                <w:noProof/>
                <w:webHidden/>
              </w:rPr>
              <w:tab/>
            </w:r>
            <w:r w:rsidR="00326C68">
              <w:rPr>
                <w:noProof/>
                <w:webHidden/>
              </w:rPr>
              <w:fldChar w:fldCharType="begin"/>
            </w:r>
            <w:r w:rsidR="00326C68">
              <w:rPr>
                <w:noProof/>
                <w:webHidden/>
              </w:rPr>
              <w:instrText xml:space="preserve"> PAGEREF _Toc185398509 \h </w:instrText>
            </w:r>
            <w:r w:rsidR="00326C68">
              <w:rPr>
                <w:noProof/>
                <w:webHidden/>
              </w:rPr>
            </w:r>
            <w:r w:rsidR="00326C68">
              <w:rPr>
                <w:noProof/>
                <w:webHidden/>
              </w:rPr>
              <w:fldChar w:fldCharType="separate"/>
            </w:r>
            <w:r w:rsidR="00326C68">
              <w:rPr>
                <w:noProof/>
                <w:webHidden/>
              </w:rPr>
              <w:t>10</w:t>
            </w:r>
            <w:r w:rsidR="00326C68">
              <w:rPr>
                <w:noProof/>
                <w:webHidden/>
              </w:rPr>
              <w:fldChar w:fldCharType="end"/>
            </w:r>
          </w:hyperlink>
        </w:p>
        <w:p w14:paraId="0863F28E" w14:textId="360DEC84" w:rsidR="00326C68" w:rsidRDefault="0000624B">
          <w:pPr>
            <w:pStyle w:val="TM1"/>
            <w:rPr>
              <w:rFonts w:eastAsiaTheme="minorEastAsia"/>
              <w:noProof/>
              <w:lang w:eastAsia="fr-FR"/>
            </w:rPr>
          </w:pPr>
          <w:hyperlink w:anchor="_Toc185398510" w:history="1">
            <w:r w:rsidR="00326C68" w:rsidRPr="000B6497">
              <w:rPr>
                <w:rStyle w:val="Lienhypertexte"/>
                <w:noProof/>
              </w:rPr>
              <w:t>10</w:t>
            </w:r>
            <w:r w:rsidR="00326C68">
              <w:rPr>
                <w:rFonts w:eastAsiaTheme="minorEastAsia"/>
                <w:noProof/>
                <w:lang w:eastAsia="fr-FR"/>
              </w:rPr>
              <w:tab/>
            </w:r>
            <w:r w:rsidR="00326C68" w:rsidRPr="000B6497">
              <w:rPr>
                <w:rStyle w:val="Lienhypertexte"/>
                <w:noProof/>
              </w:rPr>
              <w:t>Pénalités</w:t>
            </w:r>
            <w:r w:rsidR="00326C68">
              <w:rPr>
                <w:noProof/>
                <w:webHidden/>
              </w:rPr>
              <w:tab/>
            </w:r>
            <w:r w:rsidR="00326C68">
              <w:rPr>
                <w:noProof/>
                <w:webHidden/>
              </w:rPr>
              <w:fldChar w:fldCharType="begin"/>
            </w:r>
            <w:r w:rsidR="00326C68">
              <w:rPr>
                <w:noProof/>
                <w:webHidden/>
              </w:rPr>
              <w:instrText xml:space="preserve"> PAGEREF _Toc185398510 \h </w:instrText>
            </w:r>
            <w:r w:rsidR="00326C68">
              <w:rPr>
                <w:noProof/>
                <w:webHidden/>
              </w:rPr>
            </w:r>
            <w:r w:rsidR="00326C68">
              <w:rPr>
                <w:noProof/>
                <w:webHidden/>
              </w:rPr>
              <w:fldChar w:fldCharType="separate"/>
            </w:r>
            <w:r w:rsidR="00326C68">
              <w:rPr>
                <w:noProof/>
                <w:webHidden/>
              </w:rPr>
              <w:t>10</w:t>
            </w:r>
            <w:r w:rsidR="00326C68">
              <w:rPr>
                <w:noProof/>
                <w:webHidden/>
              </w:rPr>
              <w:fldChar w:fldCharType="end"/>
            </w:r>
          </w:hyperlink>
        </w:p>
        <w:p w14:paraId="7D5CDBB1" w14:textId="289EE2B2" w:rsidR="00326C68" w:rsidRDefault="0000624B">
          <w:pPr>
            <w:pStyle w:val="TM2"/>
            <w:tabs>
              <w:tab w:val="left" w:pos="880"/>
              <w:tab w:val="right" w:leader="dot" w:pos="9062"/>
            </w:tabs>
            <w:rPr>
              <w:rFonts w:eastAsiaTheme="minorEastAsia"/>
              <w:noProof/>
              <w:lang w:eastAsia="fr-FR"/>
            </w:rPr>
          </w:pPr>
          <w:hyperlink w:anchor="_Toc185398511" w:history="1">
            <w:r w:rsidR="00326C68" w:rsidRPr="000B6497">
              <w:rPr>
                <w:rStyle w:val="Lienhypertexte"/>
                <w:noProof/>
                <w:lang w:eastAsia="fr-FR"/>
              </w:rPr>
              <w:t>10.1</w:t>
            </w:r>
            <w:r w:rsidR="00326C68">
              <w:rPr>
                <w:rFonts w:eastAsiaTheme="minorEastAsia"/>
                <w:noProof/>
                <w:lang w:eastAsia="fr-FR"/>
              </w:rPr>
              <w:tab/>
            </w:r>
            <w:r w:rsidR="00326C68" w:rsidRPr="000B6497">
              <w:rPr>
                <w:rStyle w:val="Lienhypertexte"/>
                <w:noProof/>
                <w:lang w:eastAsia="fr-FR"/>
              </w:rPr>
              <w:t>Pénalités de retard</w:t>
            </w:r>
            <w:r w:rsidR="00326C68">
              <w:rPr>
                <w:noProof/>
                <w:webHidden/>
              </w:rPr>
              <w:tab/>
            </w:r>
            <w:r w:rsidR="00326C68">
              <w:rPr>
                <w:noProof/>
                <w:webHidden/>
              </w:rPr>
              <w:fldChar w:fldCharType="begin"/>
            </w:r>
            <w:r w:rsidR="00326C68">
              <w:rPr>
                <w:noProof/>
                <w:webHidden/>
              </w:rPr>
              <w:instrText xml:space="preserve"> PAGEREF _Toc185398511 \h </w:instrText>
            </w:r>
            <w:r w:rsidR="00326C68">
              <w:rPr>
                <w:noProof/>
                <w:webHidden/>
              </w:rPr>
            </w:r>
            <w:r w:rsidR="00326C68">
              <w:rPr>
                <w:noProof/>
                <w:webHidden/>
              </w:rPr>
              <w:fldChar w:fldCharType="separate"/>
            </w:r>
            <w:r w:rsidR="00326C68">
              <w:rPr>
                <w:noProof/>
                <w:webHidden/>
              </w:rPr>
              <w:t>10</w:t>
            </w:r>
            <w:r w:rsidR="00326C68">
              <w:rPr>
                <w:noProof/>
                <w:webHidden/>
              </w:rPr>
              <w:fldChar w:fldCharType="end"/>
            </w:r>
          </w:hyperlink>
        </w:p>
        <w:p w14:paraId="6E6518A6" w14:textId="7B3A1D87" w:rsidR="00326C68" w:rsidRDefault="0000624B">
          <w:pPr>
            <w:pStyle w:val="TM2"/>
            <w:tabs>
              <w:tab w:val="left" w:pos="880"/>
              <w:tab w:val="right" w:leader="dot" w:pos="9062"/>
            </w:tabs>
            <w:rPr>
              <w:rFonts w:eastAsiaTheme="minorEastAsia"/>
              <w:noProof/>
              <w:lang w:eastAsia="fr-FR"/>
            </w:rPr>
          </w:pPr>
          <w:hyperlink w:anchor="_Toc185398512" w:history="1">
            <w:r w:rsidR="00326C68" w:rsidRPr="000B6497">
              <w:rPr>
                <w:rStyle w:val="Lienhypertexte"/>
                <w:noProof/>
                <w:lang w:eastAsia="fr-FR"/>
              </w:rPr>
              <w:t>10.2</w:t>
            </w:r>
            <w:r w:rsidR="00326C68">
              <w:rPr>
                <w:rFonts w:eastAsiaTheme="minorEastAsia"/>
                <w:noProof/>
                <w:lang w:eastAsia="fr-FR"/>
              </w:rPr>
              <w:tab/>
            </w:r>
            <w:r w:rsidR="00326C68" w:rsidRPr="000B6497">
              <w:rPr>
                <w:rStyle w:val="Lienhypertexte"/>
                <w:noProof/>
                <w:lang w:eastAsia="fr-FR"/>
              </w:rPr>
              <w:t>Pénalités pour absence constatée du responsable de site</w:t>
            </w:r>
            <w:r w:rsidR="00326C68">
              <w:rPr>
                <w:noProof/>
                <w:webHidden/>
              </w:rPr>
              <w:tab/>
            </w:r>
            <w:r w:rsidR="00326C68">
              <w:rPr>
                <w:noProof/>
                <w:webHidden/>
              </w:rPr>
              <w:fldChar w:fldCharType="begin"/>
            </w:r>
            <w:r w:rsidR="00326C68">
              <w:rPr>
                <w:noProof/>
                <w:webHidden/>
              </w:rPr>
              <w:instrText xml:space="preserve"> PAGEREF _Toc185398512 \h </w:instrText>
            </w:r>
            <w:r w:rsidR="00326C68">
              <w:rPr>
                <w:noProof/>
                <w:webHidden/>
              </w:rPr>
            </w:r>
            <w:r w:rsidR="00326C68">
              <w:rPr>
                <w:noProof/>
                <w:webHidden/>
              </w:rPr>
              <w:fldChar w:fldCharType="separate"/>
            </w:r>
            <w:r w:rsidR="00326C68">
              <w:rPr>
                <w:noProof/>
                <w:webHidden/>
              </w:rPr>
              <w:t>10</w:t>
            </w:r>
            <w:r w:rsidR="00326C68">
              <w:rPr>
                <w:noProof/>
                <w:webHidden/>
              </w:rPr>
              <w:fldChar w:fldCharType="end"/>
            </w:r>
          </w:hyperlink>
        </w:p>
        <w:p w14:paraId="376F822E" w14:textId="5C43EE8C" w:rsidR="00326C68" w:rsidRDefault="0000624B">
          <w:pPr>
            <w:pStyle w:val="TM2"/>
            <w:tabs>
              <w:tab w:val="left" w:pos="880"/>
              <w:tab w:val="right" w:leader="dot" w:pos="9062"/>
            </w:tabs>
            <w:rPr>
              <w:rFonts w:eastAsiaTheme="minorEastAsia"/>
              <w:noProof/>
              <w:lang w:eastAsia="fr-FR"/>
            </w:rPr>
          </w:pPr>
          <w:hyperlink w:anchor="_Toc185398513" w:history="1">
            <w:r w:rsidR="00326C68" w:rsidRPr="000B6497">
              <w:rPr>
                <w:rStyle w:val="Lienhypertexte"/>
                <w:noProof/>
                <w:lang w:eastAsia="fr-FR"/>
              </w:rPr>
              <w:t>10.3</w:t>
            </w:r>
            <w:r w:rsidR="00326C68">
              <w:rPr>
                <w:rFonts w:eastAsiaTheme="minorEastAsia"/>
                <w:noProof/>
                <w:lang w:eastAsia="fr-FR"/>
              </w:rPr>
              <w:tab/>
            </w:r>
            <w:r w:rsidR="00326C68" w:rsidRPr="000B6497">
              <w:rPr>
                <w:rStyle w:val="Lienhypertexte"/>
                <w:noProof/>
                <w:lang w:eastAsia="fr-FR"/>
              </w:rPr>
              <w:t>Pénalités pour non-exécution totale ou partielle des prestations</w:t>
            </w:r>
            <w:r w:rsidR="00326C68">
              <w:rPr>
                <w:noProof/>
                <w:webHidden/>
              </w:rPr>
              <w:tab/>
            </w:r>
            <w:r w:rsidR="00326C68">
              <w:rPr>
                <w:noProof/>
                <w:webHidden/>
              </w:rPr>
              <w:fldChar w:fldCharType="begin"/>
            </w:r>
            <w:r w:rsidR="00326C68">
              <w:rPr>
                <w:noProof/>
                <w:webHidden/>
              </w:rPr>
              <w:instrText xml:space="preserve"> PAGEREF _Toc185398513 \h </w:instrText>
            </w:r>
            <w:r w:rsidR="00326C68">
              <w:rPr>
                <w:noProof/>
                <w:webHidden/>
              </w:rPr>
            </w:r>
            <w:r w:rsidR="00326C68">
              <w:rPr>
                <w:noProof/>
                <w:webHidden/>
              </w:rPr>
              <w:fldChar w:fldCharType="separate"/>
            </w:r>
            <w:r w:rsidR="00326C68">
              <w:rPr>
                <w:noProof/>
                <w:webHidden/>
              </w:rPr>
              <w:t>10</w:t>
            </w:r>
            <w:r w:rsidR="00326C68">
              <w:rPr>
                <w:noProof/>
                <w:webHidden/>
              </w:rPr>
              <w:fldChar w:fldCharType="end"/>
            </w:r>
          </w:hyperlink>
        </w:p>
        <w:p w14:paraId="4BE1EB83" w14:textId="5CCA959F" w:rsidR="00326C68" w:rsidRDefault="0000624B">
          <w:pPr>
            <w:pStyle w:val="TM2"/>
            <w:tabs>
              <w:tab w:val="left" w:pos="880"/>
              <w:tab w:val="right" w:leader="dot" w:pos="9062"/>
            </w:tabs>
            <w:rPr>
              <w:rFonts w:eastAsiaTheme="minorEastAsia"/>
              <w:noProof/>
              <w:lang w:eastAsia="fr-FR"/>
            </w:rPr>
          </w:pPr>
          <w:hyperlink w:anchor="_Toc185398514" w:history="1">
            <w:r w:rsidR="00326C68" w:rsidRPr="000B6497">
              <w:rPr>
                <w:rStyle w:val="Lienhypertexte"/>
                <w:noProof/>
                <w:lang w:eastAsia="fr-FR"/>
              </w:rPr>
              <w:t>10.4</w:t>
            </w:r>
            <w:r w:rsidR="00326C68">
              <w:rPr>
                <w:rFonts w:eastAsiaTheme="minorEastAsia"/>
                <w:noProof/>
                <w:lang w:eastAsia="fr-FR"/>
              </w:rPr>
              <w:tab/>
            </w:r>
            <w:r w:rsidR="00326C68" w:rsidRPr="000B6497">
              <w:rPr>
                <w:rStyle w:val="Lienhypertexte"/>
                <w:noProof/>
                <w:lang w:eastAsia="fr-FR"/>
              </w:rPr>
              <w:t>Pénalités pour travail dissimulé</w:t>
            </w:r>
            <w:r w:rsidR="00326C68">
              <w:rPr>
                <w:noProof/>
                <w:webHidden/>
              </w:rPr>
              <w:tab/>
            </w:r>
            <w:r w:rsidR="00326C68">
              <w:rPr>
                <w:noProof/>
                <w:webHidden/>
              </w:rPr>
              <w:fldChar w:fldCharType="begin"/>
            </w:r>
            <w:r w:rsidR="00326C68">
              <w:rPr>
                <w:noProof/>
                <w:webHidden/>
              </w:rPr>
              <w:instrText xml:space="preserve"> PAGEREF _Toc185398514 \h </w:instrText>
            </w:r>
            <w:r w:rsidR="00326C68">
              <w:rPr>
                <w:noProof/>
                <w:webHidden/>
              </w:rPr>
            </w:r>
            <w:r w:rsidR="00326C68">
              <w:rPr>
                <w:noProof/>
                <w:webHidden/>
              </w:rPr>
              <w:fldChar w:fldCharType="separate"/>
            </w:r>
            <w:r w:rsidR="00326C68">
              <w:rPr>
                <w:noProof/>
                <w:webHidden/>
              </w:rPr>
              <w:t>12</w:t>
            </w:r>
            <w:r w:rsidR="00326C68">
              <w:rPr>
                <w:noProof/>
                <w:webHidden/>
              </w:rPr>
              <w:fldChar w:fldCharType="end"/>
            </w:r>
          </w:hyperlink>
        </w:p>
        <w:p w14:paraId="3514E166" w14:textId="060CB3A2" w:rsidR="00326C68" w:rsidRDefault="0000624B">
          <w:pPr>
            <w:pStyle w:val="TM1"/>
            <w:rPr>
              <w:rFonts w:eastAsiaTheme="minorEastAsia"/>
              <w:noProof/>
              <w:lang w:eastAsia="fr-FR"/>
            </w:rPr>
          </w:pPr>
          <w:hyperlink w:anchor="_Toc185398515" w:history="1">
            <w:r w:rsidR="00326C68" w:rsidRPr="000B6497">
              <w:rPr>
                <w:rStyle w:val="Lienhypertexte"/>
                <w:noProof/>
              </w:rPr>
              <w:t>11</w:t>
            </w:r>
            <w:r w:rsidR="00326C68">
              <w:rPr>
                <w:rFonts w:eastAsiaTheme="minorEastAsia"/>
                <w:noProof/>
                <w:lang w:eastAsia="fr-FR"/>
              </w:rPr>
              <w:tab/>
            </w:r>
            <w:r w:rsidR="00326C68" w:rsidRPr="000B6497">
              <w:rPr>
                <w:rStyle w:val="Lienhypertexte"/>
                <w:noProof/>
              </w:rPr>
              <w:t>Assurances</w:t>
            </w:r>
            <w:r w:rsidR="00326C68">
              <w:rPr>
                <w:noProof/>
                <w:webHidden/>
              </w:rPr>
              <w:tab/>
            </w:r>
            <w:r w:rsidR="00326C68">
              <w:rPr>
                <w:noProof/>
                <w:webHidden/>
              </w:rPr>
              <w:fldChar w:fldCharType="begin"/>
            </w:r>
            <w:r w:rsidR="00326C68">
              <w:rPr>
                <w:noProof/>
                <w:webHidden/>
              </w:rPr>
              <w:instrText xml:space="preserve"> PAGEREF _Toc185398515 \h </w:instrText>
            </w:r>
            <w:r w:rsidR="00326C68">
              <w:rPr>
                <w:noProof/>
                <w:webHidden/>
              </w:rPr>
            </w:r>
            <w:r w:rsidR="00326C68">
              <w:rPr>
                <w:noProof/>
                <w:webHidden/>
              </w:rPr>
              <w:fldChar w:fldCharType="separate"/>
            </w:r>
            <w:r w:rsidR="00326C68">
              <w:rPr>
                <w:noProof/>
                <w:webHidden/>
              </w:rPr>
              <w:t>12</w:t>
            </w:r>
            <w:r w:rsidR="00326C68">
              <w:rPr>
                <w:noProof/>
                <w:webHidden/>
              </w:rPr>
              <w:fldChar w:fldCharType="end"/>
            </w:r>
          </w:hyperlink>
        </w:p>
        <w:p w14:paraId="7D17D39A" w14:textId="30758DC1" w:rsidR="00326C68" w:rsidRDefault="0000624B">
          <w:pPr>
            <w:pStyle w:val="TM1"/>
            <w:rPr>
              <w:rFonts w:eastAsiaTheme="minorEastAsia"/>
              <w:noProof/>
              <w:lang w:eastAsia="fr-FR"/>
            </w:rPr>
          </w:pPr>
          <w:hyperlink w:anchor="_Toc185398516" w:history="1">
            <w:r w:rsidR="00326C68" w:rsidRPr="000B6497">
              <w:rPr>
                <w:rStyle w:val="Lienhypertexte"/>
                <w:noProof/>
              </w:rPr>
              <w:t>12</w:t>
            </w:r>
            <w:r w:rsidR="00326C68">
              <w:rPr>
                <w:rFonts w:eastAsiaTheme="minorEastAsia"/>
                <w:noProof/>
                <w:lang w:eastAsia="fr-FR"/>
              </w:rPr>
              <w:tab/>
            </w:r>
            <w:r w:rsidR="00326C68" w:rsidRPr="000B6497">
              <w:rPr>
                <w:rStyle w:val="Lienhypertexte"/>
                <w:noProof/>
              </w:rPr>
              <w:t>Résiliation de l’accord-cadre</w:t>
            </w:r>
            <w:r w:rsidR="00326C68">
              <w:rPr>
                <w:noProof/>
                <w:webHidden/>
              </w:rPr>
              <w:tab/>
            </w:r>
            <w:r w:rsidR="00326C68">
              <w:rPr>
                <w:noProof/>
                <w:webHidden/>
              </w:rPr>
              <w:fldChar w:fldCharType="begin"/>
            </w:r>
            <w:r w:rsidR="00326C68">
              <w:rPr>
                <w:noProof/>
                <w:webHidden/>
              </w:rPr>
              <w:instrText xml:space="preserve"> PAGEREF _Toc185398516 \h </w:instrText>
            </w:r>
            <w:r w:rsidR="00326C68">
              <w:rPr>
                <w:noProof/>
                <w:webHidden/>
              </w:rPr>
            </w:r>
            <w:r w:rsidR="00326C68">
              <w:rPr>
                <w:noProof/>
                <w:webHidden/>
              </w:rPr>
              <w:fldChar w:fldCharType="separate"/>
            </w:r>
            <w:r w:rsidR="00326C68">
              <w:rPr>
                <w:noProof/>
                <w:webHidden/>
              </w:rPr>
              <w:t>12</w:t>
            </w:r>
            <w:r w:rsidR="00326C68">
              <w:rPr>
                <w:noProof/>
                <w:webHidden/>
              </w:rPr>
              <w:fldChar w:fldCharType="end"/>
            </w:r>
          </w:hyperlink>
        </w:p>
        <w:p w14:paraId="161DBB13" w14:textId="7F98E3F5" w:rsidR="00326C68" w:rsidRDefault="0000624B">
          <w:pPr>
            <w:pStyle w:val="TM1"/>
            <w:rPr>
              <w:rFonts w:eastAsiaTheme="minorEastAsia"/>
              <w:noProof/>
              <w:lang w:eastAsia="fr-FR"/>
            </w:rPr>
          </w:pPr>
          <w:hyperlink w:anchor="_Toc185398517" w:history="1">
            <w:r w:rsidR="00326C68" w:rsidRPr="000B6497">
              <w:rPr>
                <w:rStyle w:val="Lienhypertexte"/>
                <w:noProof/>
              </w:rPr>
              <w:t>13</w:t>
            </w:r>
            <w:r w:rsidR="00326C68">
              <w:rPr>
                <w:rFonts w:eastAsiaTheme="minorEastAsia"/>
                <w:noProof/>
                <w:lang w:eastAsia="fr-FR"/>
              </w:rPr>
              <w:tab/>
            </w:r>
            <w:r w:rsidR="00326C68" w:rsidRPr="000B6497">
              <w:rPr>
                <w:rStyle w:val="Lienhypertexte"/>
                <w:noProof/>
              </w:rPr>
              <w:t>Droit et Langue</w:t>
            </w:r>
            <w:r w:rsidR="00326C68">
              <w:rPr>
                <w:noProof/>
                <w:webHidden/>
              </w:rPr>
              <w:tab/>
            </w:r>
            <w:r w:rsidR="00326C68">
              <w:rPr>
                <w:noProof/>
                <w:webHidden/>
              </w:rPr>
              <w:fldChar w:fldCharType="begin"/>
            </w:r>
            <w:r w:rsidR="00326C68">
              <w:rPr>
                <w:noProof/>
                <w:webHidden/>
              </w:rPr>
              <w:instrText xml:space="preserve"> PAGEREF _Toc185398517 \h </w:instrText>
            </w:r>
            <w:r w:rsidR="00326C68">
              <w:rPr>
                <w:noProof/>
                <w:webHidden/>
              </w:rPr>
            </w:r>
            <w:r w:rsidR="00326C68">
              <w:rPr>
                <w:noProof/>
                <w:webHidden/>
              </w:rPr>
              <w:fldChar w:fldCharType="separate"/>
            </w:r>
            <w:r w:rsidR="00326C68">
              <w:rPr>
                <w:noProof/>
                <w:webHidden/>
              </w:rPr>
              <w:t>12</w:t>
            </w:r>
            <w:r w:rsidR="00326C68">
              <w:rPr>
                <w:noProof/>
                <w:webHidden/>
              </w:rPr>
              <w:fldChar w:fldCharType="end"/>
            </w:r>
          </w:hyperlink>
        </w:p>
        <w:p w14:paraId="0D9E92C2" w14:textId="53F3A6B0" w:rsidR="00326C68" w:rsidRDefault="0000624B">
          <w:pPr>
            <w:pStyle w:val="TM1"/>
            <w:rPr>
              <w:rFonts w:eastAsiaTheme="minorEastAsia"/>
              <w:noProof/>
              <w:lang w:eastAsia="fr-FR"/>
            </w:rPr>
          </w:pPr>
          <w:hyperlink w:anchor="_Toc185398518" w:history="1">
            <w:r w:rsidR="00326C68" w:rsidRPr="000B6497">
              <w:rPr>
                <w:rStyle w:val="Lienhypertexte"/>
                <w:noProof/>
              </w:rPr>
              <w:t>14</w:t>
            </w:r>
            <w:r w:rsidR="00326C68">
              <w:rPr>
                <w:rFonts w:eastAsiaTheme="minorEastAsia"/>
                <w:noProof/>
                <w:lang w:eastAsia="fr-FR"/>
              </w:rPr>
              <w:tab/>
            </w:r>
            <w:r w:rsidR="00326C68" w:rsidRPr="000B6497">
              <w:rPr>
                <w:rStyle w:val="Lienhypertexte"/>
                <w:noProof/>
              </w:rPr>
              <w:t>Clauses complémentaires</w:t>
            </w:r>
            <w:r w:rsidR="00326C68">
              <w:rPr>
                <w:noProof/>
                <w:webHidden/>
              </w:rPr>
              <w:tab/>
            </w:r>
            <w:r w:rsidR="00326C68">
              <w:rPr>
                <w:noProof/>
                <w:webHidden/>
              </w:rPr>
              <w:fldChar w:fldCharType="begin"/>
            </w:r>
            <w:r w:rsidR="00326C68">
              <w:rPr>
                <w:noProof/>
                <w:webHidden/>
              </w:rPr>
              <w:instrText xml:space="preserve"> PAGEREF _Toc185398518 \h </w:instrText>
            </w:r>
            <w:r w:rsidR="00326C68">
              <w:rPr>
                <w:noProof/>
                <w:webHidden/>
              </w:rPr>
            </w:r>
            <w:r w:rsidR="00326C68">
              <w:rPr>
                <w:noProof/>
                <w:webHidden/>
              </w:rPr>
              <w:fldChar w:fldCharType="separate"/>
            </w:r>
            <w:r w:rsidR="00326C68">
              <w:rPr>
                <w:noProof/>
                <w:webHidden/>
              </w:rPr>
              <w:t>13</w:t>
            </w:r>
            <w:r w:rsidR="00326C68">
              <w:rPr>
                <w:noProof/>
                <w:webHidden/>
              </w:rPr>
              <w:fldChar w:fldCharType="end"/>
            </w:r>
          </w:hyperlink>
        </w:p>
        <w:p w14:paraId="1770E190" w14:textId="503EE310" w:rsidR="00326C68" w:rsidRDefault="0000624B">
          <w:pPr>
            <w:pStyle w:val="TM2"/>
            <w:tabs>
              <w:tab w:val="left" w:pos="880"/>
              <w:tab w:val="right" w:leader="dot" w:pos="9062"/>
            </w:tabs>
            <w:rPr>
              <w:rFonts w:eastAsiaTheme="minorEastAsia"/>
              <w:noProof/>
              <w:lang w:eastAsia="fr-FR"/>
            </w:rPr>
          </w:pPr>
          <w:hyperlink w:anchor="_Toc185398519" w:history="1">
            <w:r w:rsidR="00326C68" w:rsidRPr="000B6497">
              <w:rPr>
                <w:rStyle w:val="Lienhypertexte"/>
                <w:noProof/>
              </w:rPr>
              <w:t>14.1</w:t>
            </w:r>
            <w:r w:rsidR="00326C68">
              <w:rPr>
                <w:rFonts w:eastAsiaTheme="minorEastAsia"/>
                <w:noProof/>
                <w:lang w:eastAsia="fr-FR"/>
              </w:rPr>
              <w:tab/>
            </w:r>
            <w:r w:rsidR="00326C68" w:rsidRPr="000B6497">
              <w:rPr>
                <w:rStyle w:val="Lienhypertexte"/>
                <w:noProof/>
              </w:rPr>
              <w:t>Modifications chez le Titulaire</w:t>
            </w:r>
            <w:r w:rsidR="00326C68">
              <w:rPr>
                <w:noProof/>
                <w:webHidden/>
              </w:rPr>
              <w:tab/>
            </w:r>
            <w:r w:rsidR="00326C68">
              <w:rPr>
                <w:noProof/>
                <w:webHidden/>
              </w:rPr>
              <w:fldChar w:fldCharType="begin"/>
            </w:r>
            <w:r w:rsidR="00326C68">
              <w:rPr>
                <w:noProof/>
                <w:webHidden/>
              </w:rPr>
              <w:instrText xml:space="preserve"> PAGEREF _Toc185398519 \h </w:instrText>
            </w:r>
            <w:r w:rsidR="00326C68">
              <w:rPr>
                <w:noProof/>
                <w:webHidden/>
              </w:rPr>
            </w:r>
            <w:r w:rsidR="00326C68">
              <w:rPr>
                <w:noProof/>
                <w:webHidden/>
              </w:rPr>
              <w:fldChar w:fldCharType="separate"/>
            </w:r>
            <w:r w:rsidR="00326C68">
              <w:rPr>
                <w:noProof/>
                <w:webHidden/>
              </w:rPr>
              <w:t>13</w:t>
            </w:r>
            <w:r w:rsidR="00326C68">
              <w:rPr>
                <w:noProof/>
                <w:webHidden/>
              </w:rPr>
              <w:fldChar w:fldCharType="end"/>
            </w:r>
          </w:hyperlink>
        </w:p>
        <w:p w14:paraId="608A16EB" w14:textId="3506BECC" w:rsidR="00326C68" w:rsidRDefault="0000624B">
          <w:pPr>
            <w:pStyle w:val="TM2"/>
            <w:tabs>
              <w:tab w:val="left" w:pos="880"/>
              <w:tab w:val="right" w:leader="dot" w:pos="9062"/>
            </w:tabs>
            <w:rPr>
              <w:rFonts w:eastAsiaTheme="minorEastAsia"/>
              <w:noProof/>
              <w:lang w:eastAsia="fr-FR"/>
            </w:rPr>
          </w:pPr>
          <w:hyperlink w:anchor="_Toc185398520" w:history="1">
            <w:r w:rsidR="00326C68" w:rsidRPr="000B6497">
              <w:rPr>
                <w:rStyle w:val="Lienhypertexte"/>
                <w:noProof/>
              </w:rPr>
              <w:t>14.2</w:t>
            </w:r>
            <w:r w:rsidR="00326C68">
              <w:rPr>
                <w:rFonts w:eastAsiaTheme="minorEastAsia"/>
                <w:noProof/>
                <w:lang w:eastAsia="fr-FR"/>
              </w:rPr>
              <w:tab/>
            </w:r>
            <w:r w:rsidR="00326C68" w:rsidRPr="000B6497">
              <w:rPr>
                <w:rStyle w:val="Lienhypertexte"/>
                <w:noProof/>
              </w:rPr>
              <w:t>Application des articles D.8222-5, D.8222-7 et D.8222-8 du Code du travail</w:t>
            </w:r>
            <w:r w:rsidR="00326C68">
              <w:rPr>
                <w:noProof/>
                <w:webHidden/>
              </w:rPr>
              <w:tab/>
            </w:r>
            <w:r w:rsidR="00326C68">
              <w:rPr>
                <w:noProof/>
                <w:webHidden/>
              </w:rPr>
              <w:fldChar w:fldCharType="begin"/>
            </w:r>
            <w:r w:rsidR="00326C68">
              <w:rPr>
                <w:noProof/>
                <w:webHidden/>
              </w:rPr>
              <w:instrText xml:space="preserve"> PAGEREF _Toc185398520 \h </w:instrText>
            </w:r>
            <w:r w:rsidR="00326C68">
              <w:rPr>
                <w:noProof/>
                <w:webHidden/>
              </w:rPr>
            </w:r>
            <w:r w:rsidR="00326C68">
              <w:rPr>
                <w:noProof/>
                <w:webHidden/>
              </w:rPr>
              <w:fldChar w:fldCharType="separate"/>
            </w:r>
            <w:r w:rsidR="00326C68">
              <w:rPr>
                <w:noProof/>
                <w:webHidden/>
              </w:rPr>
              <w:t>13</w:t>
            </w:r>
            <w:r w:rsidR="00326C68">
              <w:rPr>
                <w:noProof/>
                <w:webHidden/>
              </w:rPr>
              <w:fldChar w:fldCharType="end"/>
            </w:r>
          </w:hyperlink>
        </w:p>
        <w:p w14:paraId="2C9E2BC2" w14:textId="78E2268E" w:rsidR="00326C68" w:rsidRDefault="0000624B">
          <w:pPr>
            <w:pStyle w:val="TM2"/>
            <w:tabs>
              <w:tab w:val="left" w:pos="880"/>
              <w:tab w:val="right" w:leader="dot" w:pos="9062"/>
            </w:tabs>
            <w:rPr>
              <w:rFonts w:eastAsiaTheme="minorEastAsia"/>
              <w:noProof/>
              <w:lang w:eastAsia="fr-FR"/>
            </w:rPr>
          </w:pPr>
          <w:hyperlink w:anchor="_Toc185398521" w:history="1">
            <w:r w:rsidR="00326C68" w:rsidRPr="000B6497">
              <w:rPr>
                <w:rStyle w:val="Lienhypertexte"/>
                <w:noProof/>
              </w:rPr>
              <w:t>14.3</w:t>
            </w:r>
            <w:r w:rsidR="00326C68">
              <w:rPr>
                <w:rFonts w:eastAsiaTheme="minorEastAsia"/>
                <w:noProof/>
                <w:lang w:eastAsia="fr-FR"/>
              </w:rPr>
              <w:tab/>
            </w:r>
            <w:r w:rsidR="00326C68" w:rsidRPr="000B6497">
              <w:rPr>
                <w:rStyle w:val="Lienhypertexte"/>
                <w:noProof/>
              </w:rPr>
              <w:t>Représentation et respect de l’image de marque de Grenoble Ecole de Management et de ses partenaires</w:t>
            </w:r>
            <w:r w:rsidR="00326C68">
              <w:rPr>
                <w:noProof/>
                <w:webHidden/>
              </w:rPr>
              <w:tab/>
            </w:r>
            <w:r w:rsidR="00326C68">
              <w:rPr>
                <w:noProof/>
                <w:webHidden/>
              </w:rPr>
              <w:fldChar w:fldCharType="begin"/>
            </w:r>
            <w:r w:rsidR="00326C68">
              <w:rPr>
                <w:noProof/>
                <w:webHidden/>
              </w:rPr>
              <w:instrText xml:space="preserve"> PAGEREF _Toc185398521 \h </w:instrText>
            </w:r>
            <w:r w:rsidR="00326C68">
              <w:rPr>
                <w:noProof/>
                <w:webHidden/>
              </w:rPr>
            </w:r>
            <w:r w:rsidR="00326C68">
              <w:rPr>
                <w:noProof/>
                <w:webHidden/>
              </w:rPr>
              <w:fldChar w:fldCharType="separate"/>
            </w:r>
            <w:r w:rsidR="00326C68">
              <w:rPr>
                <w:noProof/>
                <w:webHidden/>
              </w:rPr>
              <w:t>13</w:t>
            </w:r>
            <w:r w:rsidR="00326C68">
              <w:rPr>
                <w:noProof/>
                <w:webHidden/>
              </w:rPr>
              <w:fldChar w:fldCharType="end"/>
            </w:r>
          </w:hyperlink>
        </w:p>
        <w:p w14:paraId="4B018B04" w14:textId="46666588" w:rsidR="00326C68" w:rsidRDefault="0000624B">
          <w:pPr>
            <w:pStyle w:val="TM2"/>
            <w:tabs>
              <w:tab w:val="left" w:pos="880"/>
              <w:tab w:val="right" w:leader="dot" w:pos="9062"/>
            </w:tabs>
            <w:rPr>
              <w:rFonts w:eastAsiaTheme="minorEastAsia"/>
              <w:noProof/>
              <w:lang w:eastAsia="fr-FR"/>
            </w:rPr>
          </w:pPr>
          <w:hyperlink w:anchor="_Toc185398522" w:history="1">
            <w:r w:rsidR="00326C68" w:rsidRPr="000B6497">
              <w:rPr>
                <w:rStyle w:val="Lienhypertexte"/>
                <w:noProof/>
              </w:rPr>
              <w:t>14.4</w:t>
            </w:r>
            <w:r w:rsidR="00326C68">
              <w:rPr>
                <w:rFonts w:eastAsiaTheme="minorEastAsia"/>
                <w:noProof/>
                <w:lang w:eastAsia="fr-FR"/>
              </w:rPr>
              <w:tab/>
            </w:r>
            <w:r w:rsidR="00326C68" w:rsidRPr="000B6497">
              <w:rPr>
                <w:rStyle w:val="Lienhypertexte"/>
                <w:noProof/>
              </w:rPr>
              <w:t>Obligations de confidentialité</w:t>
            </w:r>
            <w:r w:rsidR="00326C68">
              <w:rPr>
                <w:noProof/>
                <w:webHidden/>
              </w:rPr>
              <w:tab/>
            </w:r>
            <w:r w:rsidR="00326C68">
              <w:rPr>
                <w:noProof/>
                <w:webHidden/>
              </w:rPr>
              <w:fldChar w:fldCharType="begin"/>
            </w:r>
            <w:r w:rsidR="00326C68">
              <w:rPr>
                <w:noProof/>
                <w:webHidden/>
              </w:rPr>
              <w:instrText xml:space="preserve"> PAGEREF _Toc185398522 \h </w:instrText>
            </w:r>
            <w:r w:rsidR="00326C68">
              <w:rPr>
                <w:noProof/>
                <w:webHidden/>
              </w:rPr>
            </w:r>
            <w:r w:rsidR="00326C68">
              <w:rPr>
                <w:noProof/>
                <w:webHidden/>
              </w:rPr>
              <w:fldChar w:fldCharType="separate"/>
            </w:r>
            <w:r w:rsidR="00326C68">
              <w:rPr>
                <w:noProof/>
                <w:webHidden/>
              </w:rPr>
              <w:t>13</w:t>
            </w:r>
            <w:r w:rsidR="00326C68">
              <w:rPr>
                <w:noProof/>
                <w:webHidden/>
              </w:rPr>
              <w:fldChar w:fldCharType="end"/>
            </w:r>
          </w:hyperlink>
        </w:p>
        <w:p w14:paraId="153EF49E" w14:textId="0BF10CFF" w:rsidR="00326C68" w:rsidRDefault="0000624B">
          <w:pPr>
            <w:pStyle w:val="TM1"/>
            <w:rPr>
              <w:rFonts w:eastAsiaTheme="minorEastAsia"/>
              <w:noProof/>
              <w:lang w:eastAsia="fr-FR"/>
            </w:rPr>
          </w:pPr>
          <w:hyperlink w:anchor="_Toc185398523" w:history="1">
            <w:r w:rsidR="00326C68" w:rsidRPr="000B6497">
              <w:rPr>
                <w:rStyle w:val="Lienhypertexte"/>
                <w:noProof/>
              </w:rPr>
              <w:t>15</w:t>
            </w:r>
            <w:r w:rsidR="00326C68">
              <w:rPr>
                <w:rFonts w:eastAsiaTheme="minorEastAsia"/>
                <w:noProof/>
                <w:lang w:eastAsia="fr-FR"/>
              </w:rPr>
              <w:tab/>
            </w:r>
            <w:r w:rsidR="00326C68" w:rsidRPr="000B6497">
              <w:rPr>
                <w:rStyle w:val="Lienhypertexte"/>
                <w:noProof/>
              </w:rPr>
              <w:t>Protection des données à caractère personnel</w:t>
            </w:r>
            <w:r w:rsidR="00326C68">
              <w:rPr>
                <w:noProof/>
                <w:webHidden/>
              </w:rPr>
              <w:tab/>
            </w:r>
            <w:r w:rsidR="00326C68">
              <w:rPr>
                <w:noProof/>
                <w:webHidden/>
              </w:rPr>
              <w:fldChar w:fldCharType="begin"/>
            </w:r>
            <w:r w:rsidR="00326C68">
              <w:rPr>
                <w:noProof/>
                <w:webHidden/>
              </w:rPr>
              <w:instrText xml:space="preserve"> PAGEREF _Toc185398523 \h </w:instrText>
            </w:r>
            <w:r w:rsidR="00326C68">
              <w:rPr>
                <w:noProof/>
                <w:webHidden/>
              </w:rPr>
            </w:r>
            <w:r w:rsidR="00326C68">
              <w:rPr>
                <w:noProof/>
                <w:webHidden/>
              </w:rPr>
              <w:fldChar w:fldCharType="separate"/>
            </w:r>
            <w:r w:rsidR="00326C68">
              <w:rPr>
                <w:noProof/>
                <w:webHidden/>
              </w:rPr>
              <w:t>14</w:t>
            </w:r>
            <w:r w:rsidR="00326C68">
              <w:rPr>
                <w:noProof/>
                <w:webHidden/>
              </w:rPr>
              <w:fldChar w:fldCharType="end"/>
            </w:r>
          </w:hyperlink>
        </w:p>
        <w:p w14:paraId="2B3B14E9" w14:textId="4CD52AEA" w:rsidR="00326C68" w:rsidRDefault="0000624B">
          <w:pPr>
            <w:pStyle w:val="TM1"/>
            <w:rPr>
              <w:rFonts w:eastAsiaTheme="minorEastAsia"/>
              <w:noProof/>
              <w:lang w:eastAsia="fr-FR"/>
            </w:rPr>
          </w:pPr>
          <w:hyperlink w:anchor="_Toc185398524" w:history="1">
            <w:r w:rsidR="00326C68" w:rsidRPr="000B6497">
              <w:rPr>
                <w:rStyle w:val="Lienhypertexte"/>
                <w:noProof/>
              </w:rPr>
              <w:t>16</w:t>
            </w:r>
            <w:r w:rsidR="00326C68">
              <w:rPr>
                <w:rFonts w:eastAsiaTheme="minorEastAsia"/>
                <w:noProof/>
                <w:lang w:eastAsia="fr-FR"/>
              </w:rPr>
              <w:tab/>
            </w:r>
            <w:r w:rsidR="00326C68" w:rsidRPr="000B6497">
              <w:rPr>
                <w:rStyle w:val="Lienhypertexte"/>
                <w:noProof/>
              </w:rPr>
              <w:t>Clause de réexamen</w:t>
            </w:r>
            <w:r w:rsidR="00326C68">
              <w:rPr>
                <w:noProof/>
                <w:webHidden/>
              </w:rPr>
              <w:tab/>
            </w:r>
            <w:r w:rsidR="00326C68">
              <w:rPr>
                <w:noProof/>
                <w:webHidden/>
              </w:rPr>
              <w:fldChar w:fldCharType="begin"/>
            </w:r>
            <w:r w:rsidR="00326C68">
              <w:rPr>
                <w:noProof/>
                <w:webHidden/>
              </w:rPr>
              <w:instrText xml:space="preserve"> PAGEREF _Toc185398524 \h </w:instrText>
            </w:r>
            <w:r w:rsidR="00326C68">
              <w:rPr>
                <w:noProof/>
                <w:webHidden/>
              </w:rPr>
            </w:r>
            <w:r w:rsidR="00326C68">
              <w:rPr>
                <w:noProof/>
                <w:webHidden/>
              </w:rPr>
              <w:fldChar w:fldCharType="separate"/>
            </w:r>
            <w:r w:rsidR="00326C68">
              <w:rPr>
                <w:noProof/>
                <w:webHidden/>
              </w:rPr>
              <w:t>14</w:t>
            </w:r>
            <w:r w:rsidR="00326C68">
              <w:rPr>
                <w:noProof/>
                <w:webHidden/>
              </w:rPr>
              <w:fldChar w:fldCharType="end"/>
            </w:r>
          </w:hyperlink>
        </w:p>
        <w:p w14:paraId="149DFB60" w14:textId="74FEAC08" w:rsidR="00326C68" w:rsidRDefault="0000624B">
          <w:pPr>
            <w:pStyle w:val="TM1"/>
            <w:rPr>
              <w:rFonts w:eastAsiaTheme="minorEastAsia"/>
              <w:noProof/>
              <w:lang w:eastAsia="fr-FR"/>
            </w:rPr>
          </w:pPr>
          <w:hyperlink w:anchor="_Toc185398525" w:history="1">
            <w:r w:rsidR="00326C68" w:rsidRPr="000B6497">
              <w:rPr>
                <w:rStyle w:val="Lienhypertexte"/>
                <w:noProof/>
              </w:rPr>
              <w:t>17</w:t>
            </w:r>
            <w:r w:rsidR="00326C68">
              <w:rPr>
                <w:rFonts w:eastAsiaTheme="minorEastAsia"/>
                <w:noProof/>
                <w:lang w:eastAsia="fr-FR"/>
              </w:rPr>
              <w:tab/>
            </w:r>
            <w:r w:rsidR="00326C68" w:rsidRPr="000B6497">
              <w:rPr>
                <w:rStyle w:val="Lienhypertexte"/>
                <w:noProof/>
              </w:rPr>
              <w:t>Reprise de personnel</w:t>
            </w:r>
            <w:r w:rsidR="00326C68">
              <w:rPr>
                <w:noProof/>
                <w:webHidden/>
              </w:rPr>
              <w:tab/>
            </w:r>
            <w:r w:rsidR="00326C68">
              <w:rPr>
                <w:noProof/>
                <w:webHidden/>
              </w:rPr>
              <w:fldChar w:fldCharType="begin"/>
            </w:r>
            <w:r w:rsidR="00326C68">
              <w:rPr>
                <w:noProof/>
                <w:webHidden/>
              </w:rPr>
              <w:instrText xml:space="preserve"> PAGEREF _Toc185398525 \h </w:instrText>
            </w:r>
            <w:r w:rsidR="00326C68">
              <w:rPr>
                <w:noProof/>
                <w:webHidden/>
              </w:rPr>
            </w:r>
            <w:r w:rsidR="00326C68">
              <w:rPr>
                <w:noProof/>
                <w:webHidden/>
              </w:rPr>
              <w:fldChar w:fldCharType="separate"/>
            </w:r>
            <w:r w:rsidR="00326C68">
              <w:rPr>
                <w:noProof/>
                <w:webHidden/>
              </w:rPr>
              <w:t>15</w:t>
            </w:r>
            <w:r w:rsidR="00326C68">
              <w:rPr>
                <w:noProof/>
                <w:webHidden/>
              </w:rPr>
              <w:fldChar w:fldCharType="end"/>
            </w:r>
          </w:hyperlink>
        </w:p>
        <w:p w14:paraId="0BC1455B" w14:textId="2B1B116C" w:rsidR="00326C68" w:rsidRDefault="0000624B">
          <w:pPr>
            <w:pStyle w:val="TM2"/>
            <w:tabs>
              <w:tab w:val="left" w:pos="880"/>
              <w:tab w:val="right" w:leader="dot" w:pos="9062"/>
            </w:tabs>
            <w:rPr>
              <w:rFonts w:eastAsiaTheme="minorEastAsia"/>
              <w:noProof/>
              <w:lang w:eastAsia="fr-FR"/>
            </w:rPr>
          </w:pPr>
          <w:hyperlink w:anchor="_Toc185398526" w:history="1">
            <w:r w:rsidR="00326C68" w:rsidRPr="000B6497">
              <w:rPr>
                <w:rStyle w:val="Lienhypertexte"/>
                <w:noProof/>
                <w:lang w:eastAsia="fr-FR"/>
              </w:rPr>
              <w:t>17.1</w:t>
            </w:r>
            <w:r w:rsidR="00326C68">
              <w:rPr>
                <w:rFonts w:eastAsiaTheme="minorEastAsia"/>
                <w:noProof/>
                <w:lang w:eastAsia="fr-FR"/>
              </w:rPr>
              <w:tab/>
            </w:r>
            <w:r w:rsidR="00326C68" w:rsidRPr="000B6497">
              <w:rPr>
                <w:rStyle w:val="Lienhypertexte"/>
                <w:noProof/>
                <w:lang w:eastAsia="fr-FR"/>
              </w:rPr>
              <w:t>Obligations du titulaire en tant qu’entreprise entrante</w:t>
            </w:r>
            <w:r w:rsidR="00326C68">
              <w:rPr>
                <w:noProof/>
                <w:webHidden/>
              </w:rPr>
              <w:tab/>
            </w:r>
            <w:r w:rsidR="00326C68">
              <w:rPr>
                <w:noProof/>
                <w:webHidden/>
              </w:rPr>
              <w:fldChar w:fldCharType="begin"/>
            </w:r>
            <w:r w:rsidR="00326C68">
              <w:rPr>
                <w:noProof/>
                <w:webHidden/>
              </w:rPr>
              <w:instrText xml:space="preserve"> PAGEREF _Toc185398526 \h </w:instrText>
            </w:r>
            <w:r w:rsidR="00326C68">
              <w:rPr>
                <w:noProof/>
                <w:webHidden/>
              </w:rPr>
            </w:r>
            <w:r w:rsidR="00326C68">
              <w:rPr>
                <w:noProof/>
                <w:webHidden/>
              </w:rPr>
              <w:fldChar w:fldCharType="separate"/>
            </w:r>
            <w:r w:rsidR="00326C68">
              <w:rPr>
                <w:noProof/>
                <w:webHidden/>
              </w:rPr>
              <w:t>15</w:t>
            </w:r>
            <w:r w:rsidR="00326C68">
              <w:rPr>
                <w:noProof/>
                <w:webHidden/>
              </w:rPr>
              <w:fldChar w:fldCharType="end"/>
            </w:r>
          </w:hyperlink>
        </w:p>
        <w:p w14:paraId="108E5F5F" w14:textId="122113FD" w:rsidR="00326C68" w:rsidRDefault="0000624B">
          <w:pPr>
            <w:pStyle w:val="TM2"/>
            <w:tabs>
              <w:tab w:val="left" w:pos="880"/>
              <w:tab w:val="right" w:leader="dot" w:pos="9062"/>
            </w:tabs>
            <w:rPr>
              <w:rFonts w:eastAsiaTheme="minorEastAsia"/>
              <w:noProof/>
              <w:lang w:eastAsia="fr-FR"/>
            </w:rPr>
          </w:pPr>
          <w:hyperlink w:anchor="_Toc185398527" w:history="1">
            <w:r w:rsidR="00326C68" w:rsidRPr="000B6497">
              <w:rPr>
                <w:rStyle w:val="Lienhypertexte"/>
                <w:noProof/>
                <w:lang w:eastAsia="fr-FR"/>
              </w:rPr>
              <w:t>17.2</w:t>
            </w:r>
            <w:r w:rsidR="00326C68">
              <w:rPr>
                <w:rFonts w:eastAsiaTheme="minorEastAsia"/>
                <w:noProof/>
                <w:lang w:eastAsia="fr-FR"/>
              </w:rPr>
              <w:tab/>
            </w:r>
            <w:r w:rsidR="00326C68" w:rsidRPr="000B6497">
              <w:rPr>
                <w:rStyle w:val="Lienhypertexte"/>
                <w:noProof/>
                <w:lang w:eastAsia="fr-FR"/>
              </w:rPr>
              <w:t>Obligations du titulaire en tant qu’entreprise sortante</w:t>
            </w:r>
            <w:r w:rsidR="00326C68">
              <w:rPr>
                <w:noProof/>
                <w:webHidden/>
              </w:rPr>
              <w:tab/>
            </w:r>
            <w:r w:rsidR="00326C68">
              <w:rPr>
                <w:noProof/>
                <w:webHidden/>
              </w:rPr>
              <w:fldChar w:fldCharType="begin"/>
            </w:r>
            <w:r w:rsidR="00326C68">
              <w:rPr>
                <w:noProof/>
                <w:webHidden/>
              </w:rPr>
              <w:instrText xml:space="preserve"> PAGEREF _Toc185398527 \h </w:instrText>
            </w:r>
            <w:r w:rsidR="00326C68">
              <w:rPr>
                <w:noProof/>
                <w:webHidden/>
              </w:rPr>
            </w:r>
            <w:r w:rsidR="00326C68">
              <w:rPr>
                <w:noProof/>
                <w:webHidden/>
              </w:rPr>
              <w:fldChar w:fldCharType="separate"/>
            </w:r>
            <w:r w:rsidR="00326C68">
              <w:rPr>
                <w:noProof/>
                <w:webHidden/>
              </w:rPr>
              <w:t>16</w:t>
            </w:r>
            <w:r w:rsidR="00326C68">
              <w:rPr>
                <w:noProof/>
                <w:webHidden/>
              </w:rPr>
              <w:fldChar w:fldCharType="end"/>
            </w:r>
          </w:hyperlink>
        </w:p>
        <w:p w14:paraId="40ED728A" w14:textId="16D8973C" w:rsidR="00326C68" w:rsidRDefault="0000624B">
          <w:pPr>
            <w:pStyle w:val="TM1"/>
            <w:rPr>
              <w:rFonts w:eastAsiaTheme="minorEastAsia"/>
              <w:noProof/>
              <w:lang w:eastAsia="fr-FR"/>
            </w:rPr>
          </w:pPr>
          <w:hyperlink w:anchor="_Toc185398528" w:history="1">
            <w:r w:rsidR="00326C68" w:rsidRPr="000B6497">
              <w:rPr>
                <w:rStyle w:val="Lienhypertexte"/>
                <w:noProof/>
              </w:rPr>
              <w:t>18</w:t>
            </w:r>
            <w:r w:rsidR="00326C68">
              <w:rPr>
                <w:rFonts w:eastAsiaTheme="minorEastAsia"/>
                <w:noProof/>
                <w:lang w:eastAsia="fr-FR"/>
              </w:rPr>
              <w:tab/>
            </w:r>
            <w:r w:rsidR="00326C68" w:rsidRPr="000B6497">
              <w:rPr>
                <w:rStyle w:val="Lienhypertexte"/>
                <w:noProof/>
              </w:rPr>
              <w:t>Dérogations au C.C.A.G.</w:t>
            </w:r>
            <w:r w:rsidR="00326C68">
              <w:rPr>
                <w:noProof/>
                <w:webHidden/>
              </w:rPr>
              <w:tab/>
            </w:r>
            <w:r w:rsidR="00326C68">
              <w:rPr>
                <w:noProof/>
                <w:webHidden/>
              </w:rPr>
              <w:fldChar w:fldCharType="begin"/>
            </w:r>
            <w:r w:rsidR="00326C68">
              <w:rPr>
                <w:noProof/>
                <w:webHidden/>
              </w:rPr>
              <w:instrText xml:space="preserve"> PAGEREF _Toc185398528 \h </w:instrText>
            </w:r>
            <w:r w:rsidR="00326C68">
              <w:rPr>
                <w:noProof/>
                <w:webHidden/>
              </w:rPr>
            </w:r>
            <w:r w:rsidR="00326C68">
              <w:rPr>
                <w:noProof/>
                <w:webHidden/>
              </w:rPr>
              <w:fldChar w:fldCharType="separate"/>
            </w:r>
            <w:r w:rsidR="00326C68">
              <w:rPr>
                <w:noProof/>
                <w:webHidden/>
              </w:rPr>
              <w:t>16</w:t>
            </w:r>
            <w:r w:rsidR="00326C68">
              <w:rPr>
                <w:noProof/>
                <w:webHidden/>
              </w:rPr>
              <w:fldChar w:fldCharType="end"/>
            </w:r>
          </w:hyperlink>
        </w:p>
        <w:p w14:paraId="57D73F96" w14:textId="569F0B4F" w:rsidR="00991141" w:rsidRPr="00522244" w:rsidRDefault="00991141">
          <w:pPr>
            <w:rPr>
              <w:rFonts w:ascii="Arial" w:hAnsi="Arial" w:cs="Arial"/>
            </w:rPr>
          </w:pPr>
          <w:r w:rsidRPr="00522244">
            <w:rPr>
              <w:rFonts w:ascii="Arial" w:hAnsi="Arial" w:cs="Arial"/>
              <w:b/>
              <w:bCs/>
            </w:rPr>
            <w:fldChar w:fldCharType="end"/>
          </w:r>
        </w:p>
      </w:sdtContent>
    </w:sdt>
    <w:p w14:paraId="77AF54C6" w14:textId="77777777" w:rsidR="004903D8" w:rsidRPr="00522244" w:rsidRDefault="004903D8" w:rsidP="00AD5A30">
      <w:pPr>
        <w:pStyle w:val="Titre1"/>
        <w:numPr>
          <w:ilvl w:val="0"/>
          <w:numId w:val="0"/>
        </w:numPr>
        <w:ind w:left="432"/>
      </w:pPr>
      <w:bookmarkStart w:id="1" w:name="_Toc430330050"/>
    </w:p>
    <w:p w14:paraId="1C5436BA" w14:textId="77777777" w:rsidR="004903D8" w:rsidRPr="00522244" w:rsidRDefault="004903D8" w:rsidP="004903D8">
      <w:pPr>
        <w:rPr>
          <w:rFonts w:ascii="Arial" w:hAnsi="Arial" w:cs="Arial"/>
          <w:lang w:eastAsia="fr-FR"/>
        </w:rPr>
      </w:pPr>
    </w:p>
    <w:p w14:paraId="3043A122" w14:textId="77777777" w:rsidR="004903D8" w:rsidRPr="00522244" w:rsidRDefault="004903D8" w:rsidP="004903D8">
      <w:pPr>
        <w:rPr>
          <w:rFonts w:ascii="Arial" w:hAnsi="Arial" w:cs="Arial"/>
          <w:lang w:eastAsia="fr-FR"/>
        </w:rPr>
      </w:pPr>
    </w:p>
    <w:p w14:paraId="0D23C8A7" w14:textId="7805E819" w:rsidR="009F4C85" w:rsidRPr="00522244" w:rsidRDefault="009F4C85">
      <w:pPr>
        <w:rPr>
          <w:rFonts w:ascii="Arial" w:hAnsi="Arial" w:cs="Arial"/>
          <w:lang w:eastAsia="fr-FR"/>
        </w:rPr>
      </w:pPr>
      <w:r w:rsidRPr="00522244">
        <w:rPr>
          <w:rFonts w:ascii="Arial" w:hAnsi="Arial" w:cs="Arial"/>
          <w:lang w:eastAsia="fr-FR"/>
        </w:rPr>
        <w:br w:type="page"/>
      </w:r>
    </w:p>
    <w:p w14:paraId="083693AF" w14:textId="267F2D06" w:rsidR="004903D8" w:rsidRPr="00AD5A30" w:rsidRDefault="00AD5A30" w:rsidP="00AD5A30">
      <w:pPr>
        <w:pStyle w:val="Titre1"/>
        <w:numPr>
          <w:ilvl w:val="0"/>
          <w:numId w:val="0"/>
        </w:numPr>
      </w:pPr>
      <w:bookmarkStart w:id="2" w:name="_Toc185398488"/>
      <w:bookmarkEnd w:id="1"/>
      <w:r>
        <w:lastRenderedPageBreak/>
        <w:t>1-</w:t>
      </w:r>
      <w:r w:rsidR="00223B8B" w:rsidRPr="00AD5A30">
        <w:t>DISPOSITIONS GENERALES DU CONTRAT</w:t>
      </w:r>
      <w:bookmarkEnd w:id="2"/>
    </w:p>
    <w:p w14:paraId="0FF00A3F" w14:textId="77777777" w:rsidR="00714DAE" w:rsidRPr="00714DAE" w:rsidRDefault="00714DAE" w:rsidP="00714DAE">
      <w:pPr>
        <w:rPr>
          <w:lang w:eastAsia="fr-FR"/>
        </w:rPr>
      </w:pPr>
    </w:p>
    <w:p w14:paraId="30CC42F8" w14:textId="41CEC874" w:rsidR="004903D8" w:rsidRPr="00AA0525" w:rsidRDefault="004903D8" w:rsidP="00AA0525">
      <w:pPr>
        <w:pStyle w:val="Titre2"/>
      </w:pPr>
      <w:bookmarkStart w:id="3" w:name="_Toc430330051"/>
      <w:bookmarkStart w:id="4" w:name="_Toc185398489"/>
      <w:r w:rsidRPr="00AA0525">
        <w:t>Objet de l’accord-cadre</w:t>
      </w:r>
      <w:bookmarkEnd w:id="3"/>
      <w:bookmarkEnd w:id="4"/>
    </w:p>
    <w:p w14:paraId="4E622A27" w14:textId="2512E172" w:rsidR="00354593" w:rsidRDefault="00354593" w:rsidP="00DA2DC1">
      <w:pPr>
        <w:autoSpaceDE w:val="0"/>
        <w:autoSpaceDN w:val="0"/>
        <w:adjustRightInd w:val="0"/>
        <w:spacing w:after="0" w:line="240" w:lineRule="auto"/>
        <w:rPr>
          <w:rFonts w:ascii="Helvetica" w:hAnsi="Helvetica" w:cs="Helvetica"/>
          <w:color w:val="FF0000"/>
        </w:rPr>
      </w:pPr>
    </w:p>
    <w:p w14:paraId="38EDE8DC" w14:textId="73BC03A0" w:rsidR="004A2B6C" w:rsidRPr="004A2B6C" w:rsidRDefault="004A2B6C" w:rsidP="004A2B6C">
      <w:pPr>
        <w:jc w:val="both"/>
        <w:rPr>
          <w:rFonts w:ascii="Arial" w:hAnsi="Arial" w:cs="Arial"/>
        </w:rPr>
      </w:pPr>
      <w:r w:rsidRPr="004A2B6C">
        <w:rPr>
          <w:rFonts w:ascii="Arial" w:hAnsi="Arial" w:cs="Arial"/>
        </w:rPr>
        <w:t xml:space="preserve">Les stipulations du présent Cahier des clauses administratives particulières (CCAP) concernent les prestations de nettoyage courant </w:t>
      </w:r>
      <w:r>
        <w:rPr>
          <w:rFonts w:ascii="Arial" w:hAnsi="Arial" w:cs="Arial"/>
        </w:rPr>
        <w:t>des campus de Grenoble Ecole de Management (GEM).</w:t>
      </w:r>
    </w:p>
    <w:p w14:paraId="5BED128B" w14:textId="77777777" w:rsidR="004A2B6C" w:rsidRDefault="004A2B6C" w:rsidP="004A2B6C">
      <w:pPr>
        <w:jc w:val="both"/>
        <w:rPr>
          <w:rFonts w:ascii="Arial" w:hAnsi="Arial" w:cs="Arial"/>
        </w:rPr>
      </w:pPr>
      <w:r w:rsidRPr="004A2B6C">
        <w:rPr>
          <w:rFonts w:ascii="Arial" w:hAnsi="Arial" w:cs="Arial"/>
        </w:rPr>
        <w:t>Cet accord-cadre fixe toutes les conditions d'exécution des prestations, il est exécuté au fur et à mesure de l'émission de bons de commande émis par le pouvoir adjudicateur.</w:t>
      </w:r>
    </w:p>
    <w:p w14:paraId="5C57AA4C" w14:textId="15AA97B6" w:rsidR="004903D8" w:rsidRPr="00AA0525" w:rsidRDefault="00DA2DC1" w:rsidP="00AA0525">
      <w:pPr>
        <w:pStyle w:val="Titre2"/>
      </w:pPr>
      <w:bookmarkStart w:id="5" w:name="_Toc185398490"/>
      <w:bookmarkStart w:id="6" w:name="_Toc430330052"/>
      <w:r w:rsidRPr="00AA0525">
        <w:t>D</w:t>
      </w:r>
      <w:r w:rsidR="004903D8" w:rsidRPr="00AA0525">
        <w:t>écomposition en lots de l’accord-cadre</w:t>
      </w:r>
      <w:bookmarkEnd w:id="5"/>
    </w:p>
    <w:p w14:paraId="45BF210E" w14:textId="77777777" w:rsidR="002C090F" w:rsidRDefault="002C090F" w:rsidP="00DA2DC1">
      <w:pPr>
        <w:rPr>
          <w:rFonts w:ascii="Arial" w:hAnsi="Arial" w:cs="Arial"/>
        </w:rPr>
      </w:pPr>
    </w:p>
    <w:p w14:paraId="45E8B8FA" w14:textId="4206DBCF" w:rsidR="00223B8B" w:rsidRDefault="00223B8B" w:rsidP="00DA2DC1">
      <w:pPr>
        <w:rPr>
          <w:rFonts w:ascii="Arial" w:hAnsi="Arial" w:cs="Arial"/>
        </w:rPr>
      </w:pPr>
      <w:r w:rsidRPr="00223B8B">
        <w:rPr>
          <w:rFonts w:ascii="Arial" w:hAnsi="Arial" w:cs="Arial"/>
        </w:rPr>
        <w:t>L’acc</w:t>
      </w:r>
      <w:r w:rsidR="008C6249">
        <w:rPr>
          <w:rFonts w:ascii="Arial" w:hAnsi="Arial" w:cs="Arial"/>
        </w:rPr>
        <w:t xml:space="preserve">ord cadre </w:t>
      </w:r>
      <w:r w:rsidR="004A2B6C">
        <w:rPr>
          <w:rFonts w:ascii="Arial" w:hAnsi="Arial" w:cs="Arial"/>
        </w:rPr>
        <w:t>est alloti par site géographique :</w:t>
      </w:r>
    </w:p>
    <w:p w14:paraId="077FFFFF" w14:textId="1C2B72C3" w:rsidR="004A2B6C" w:rsidRDefault="004A2B6C" w:rsidP="00DA2DC1">
      <w:pPr>
        <w:rPr>
          <w:rFonts w:ascii="Arial" w:hAnsi="Arial" w:cs="Arial"/>
        </w:rPr>
      </w:pPr>
      <w:r>
        <w:rPr>
          <w:rFonts w:ascii="Arial" w:hAnsi="Arial" w:cs="Arial"/>
        </w:rPr>
        <w:t xml:space="preserve">Lot n°1 : Grenoble (campus Sémard et campus </w:t>
      </w:r>
      <w:proofErr w:type="spellStart"/>
      <w:r>
        <w:rPr>
          <w:rFonts w:ascii="Arial" w:hAnsi="Arial" w:cs="Arial"/>
        </w:rPr>
        <w:t>Gemlab</w:t>
      </w:r>
      <w:proofErr w:type="spellEnd"/>
      <w:r>
        <w:rPr>
          <w:rFonts w:ascii="Arial" w:hAnsi="Arial" w:cs="Arial"/>
        </w:rPr>
        <w:t>)</w:t>
      </w:r>
    </w:p>
    <w:p w14:paraId="7C59833C" w14:textId="711A06DA" w:rsidR="004A2B6C" w:rsidRDefault="004A2B6C" w:rsidP="004A2B6C">
      <w:pPr>
        <w:rPr>
          <w:rFonts w:ascii="Arial" w:hAnsi="Arial" w:cs="Arial"/>
        </w:rPr>
      </w:pPr>
      <w:r>
        <w:rPr>
          <w:rFonts w:ascii="Arial" w:hAnsi="Arial" w:cs="Arial"/>
        </w:rPr>
        <w:t>Lot n°2 : Pantin (campus parisien de GEM)</w:t>
      </w:r>
    </w:p>
    <w:p w14:paraId="0E85C745" w14:textId="77777777" w:rsidR="004C0079" w:rsidRDefault="004C0079" w:rsidP="004A2B6C">
      <w:pPr>
        <w:rPr>
          <w:rFonts w:ascii="Arial" w:hAnsi="Arial" w:cs="Arial"/>
        </w:rPr>
      </w:pPr>
    </w:p>
    <w:p w14:paraId="18008267" w14:textId="623D14C5" w:rsidR="00223B8B" w:rsidRPr="00AA0525" w:rsidRDefault="00223B8B" w:rsidP="00AA0525">
      <w:pPr>
        <w:pStyle w:val="Titre2"/>
      </w:pPr>
      <w:bookmarkStart w:id="7" w:name="_Toc185398491"/>
      <w:r w:rsidRPr="00AA0525">
        <w:t>Type d'accord-cadre</w:t>
      </w:r>
      <w:bookmarkEnd w:id="7"/>
    </w:p>
    <w:p w14:paraId="0E65A7B6" w14:textId="77777777" w:rsidR="00022567" w:rsidRDefault="00022567" w:rsidP="00223B8B">
      <w:pPr>
        <w:autoSpaceDE w:val="0"/>
        <w:autoSpaceDN w:val="0"/>
        <w:adjustRightInd w:val="0"/>
        <w:spacing w:after="0" w:line="240" w:lineRule="auto"/>
        <w:jc w:val="both"/>
        <w:rPr>
          <w:rFonts w:ascii="Arial" w:hAnsi="Arial" w:cs="Arial"/>
        </w:rPr>
      </w:pPr>
    </w:p>
    <w:p w14:paraId="6F29821B" w14:textId="77777777" w:rsidR="00E21013" w:rsidRPr="00E21013" w:rsidRDefault="00E21013" w:rsidP="00E21013">
      <w:pPr>
        <w:autoSpaceDE w:val="0"/>
        <w:autoSpaceDN w:val="0"/>
        <w:adjustRightInd w:val="0"/>
        <w:spacing w:after="0" w:line="240" w:lineRule="auto"/>
        <w:jc w:val="both"/>
        <w:rPr>
          <w:rFonts w:ascii="Arial" w:hAnsi="Arial" w:cs="Arial"/>
        </w:rPr>
      </w:pPr>
      <w:r w:rsidRPr="00E21013">
        <w:rPr>
          <w:rFonts w:ascii="Arial" w:hAnsi="Arial" w:cs="Arial"/>
        </w:rPr>
        <w:t>L'accord-cadre avec maximum est passé en application des articles L2125-1 1°, R. 2162-1 à R. 2162-6, R. 2162-13 et R. 2162-14 du Code de la commande publique. Il donnera lieu à l'émission de bons de commande.</w:t>
      </w:r>
    </w:p>
    <w:p w14:paraId="4CFE2326" w14:textId="2F2E63B6" w:rsidR="00E21013" w:rsidRDefault="00E21013" w:rsidP="00E21013">
      <w:pPr>
        <w:autoSpaceDE w:val="0"/>
        <w:autoSpaceDN w:val="0"/>
        <w:adjustRightInd w:val="0"/>
        <w:spacing w:after="0" w:line="240" w:lineRule="auto"/>
        <w:jc w:val="both"/>
        <w:rPr>
          <w:rFonts w:ascii="Arial" w:hAnsi="Arial" w:cs="Arial"/>
        </w:rPr>
      </w:pPr>
      <w:r w:rsidRPr="00E21013">
        <w:rPr>
          <w:rFonts w:ascii="Arial" w:hAnsi="Arial" w:cs="Arial"/>
        </w:rPr>
        <w:t xml:space="preserve">Les montants maximums annuels par lot sont définis comme suit : </w:t>
      </w:r>
    </w:p>
    <w:tbl>
      <w:tblPr>
        <w:tblStyle w:val="Grilledutableau"/>
        <w:tblW w:w="0" w:type="auto"/>
        <w:tblLook w:val="04A0" w:firstRow="1" w:lastRow="0" w:firstColumn="1" w:lastColumn="0" w:noHBand="0" w:noVBand="1"/>
      </w:tblPr>
      <w:tblGrid>
        <w:gridCol w:w="3020"/>
        <w:gridCol w:w="3021"/>
        <w:gridCol w:w="3021"/>
      </w:tblGrid>
      <w:tr w:rsidR="00E21013" w14:paraId="05284D0A" w14:textId="77777777" w:rsidTr="00E21013">
        <w:tc>
          <w:tcPr>
            <w:tcW w:w="3020" w:type="dxa"/>
          </w:tcPr>
          <w:p w14:paraId="1E9383F9" w14:textId="7A570D91" w:rsidR="00E21013" w:rsidRDefault="00E21013" w:rsidP="00E21013">
            <w:pPr>
              <w:autoSpaceDE w:val="0"/>
              <w:autoSpaceDN w:val="0"/>
              <w:adjustRightInd w:val="0"/>
              <w:jc w:val="both"/>
              <w:rPr>
                <w:rFonts w:ascii="Arial" w:hAnsi="Arial" w:cs="Arial"/>
              </w:rPr>
            </w:pPr>
            <w:r w:rsidRPr="00E21013">
              <w:rPr>
                <w:rFonts w:ascii="Arial" w:hAnsi="Arial" w:cs="Arial"/>
                <w:color w:val="000000"/>
                <w:sz w:val="20"/>
                <w:szCs w:val="20"/>
              </w:rPr>
              <w:t xml:space="preserve">Lots </w:t>
            </w:r>
          </w:p>
        </w:tc>
        <w:tc>
          <w:tcPr>
            <w:tcW w:w="3021" w:type="dxa"/>
          </w:tcPr>
          <w:p w14:paraId="1C3AABB8" w14:textId="47601D71" w:rsidR="00E21013" w:rsidRDefault="00E21013" w:rsidP="00E21013">
            <w:pPr>
              <w:autoSpaceDE w:val="0"/>
              <w:autoSpaceDN w:val="0"/>
              <w:adjustRightInd w:val="0"/>
              <w:jc w:val="both"/>
              <w:rPr>
                <w:rFonts w:ascii="Arial" w:hAnsi="Arial" w:cs="Arial"/>
              </w:rPr>
            </w:pPr>
            <w:r w:rsidRPr="00E21013">
              <w:rPr>
                <w:rFonts w:ascii="Arial" w:hAnsi="Arial" w:cs="Arial"/>
                <w:color w:val="000000"/>
                <w:sz w:val="20"/>
                <w:szCs w:val="20"/>
              </w:rPr>
              <w:t>Désignation</w:t>
            </w:r>
          </w:p>
        </w:tc>
        <w:tc>
          <w:tcPr>
            <w:tcW w:w="3021" w:type="dxa"/>
          </w:tcPr>
          <w:p w14:paraId="11DA7788" w14:textId="73C19D33" w:rsidR="00E21013" w:rsidRDefault="00E21013" w:rsidP="00E21013">
            <w:pPr>
              <w:autoSpaceDE w:val="0"/>
              <w:autoSpaceDN w:val="0"/>
              <w:adjustRightInd w:val="0"/>
              <w:jc w:val="both"/>
              <w:rPr>
                <w:rFonts w:ascii="Arial" w:hAnsi="Arial" w:cs="Arial"/>
              </w:rPr>
            </w:pPr>
            <w:r w:rsidRPr="00E21013">
              <w:rPr>
                <w:rFonts w:ascii="Arial" w:hAnsi="Arial" w:cs="Arial"/>
                <w:color w:val="000000"/>
                <w:sz w:val="20"/>
                <w:szCs w:val="20"/>
              </w:rPr>
              <w:t xml:space="preserve">Montant maximum annuel H.T </w:t>
            </w:r>
          </w:p>
        </w:tc>
      </w:tr>
      <w:tr w:rsidR="004C0079" w14:paraId="2FC45C0E" w14:textId="77777777" w:rsidTr="00E21013">
        <w:tc>
          <w:tcPr>
            <w:tcW w:w="3020" w:type="dxa"/>
          </w:tcPr>
          <w:p w14:paraId="762027AF" w14:textId="0E65B51D" w:rsidR="004C0079" w:rsidRDefault="004C0079" w:rsidP="004C0079">
            <w:pPr>
              <w:autoSpaceDE w:val="0"/>
              <w:autoSpaceDN w:val="0"/>
              <w:adjustRightInd w:val="0"/>
              <w:jc w:val="both"/>
              <w:rPr>
                <w:rFonts w:ascii="Arial" w:hAnsi="Arial" w:cs="Arial"/>
              </w:rPr>
            </w:pPr>
            <w:r w:rsidRPr="00E21013">
              <w:rPr>
                <w:rFonts w:ascii="Arial" w:hAnsi="Arial" w:cs="Arial"/>
                <w:color w:val="000000"/>
                <w:sz w:val="20"/>
                <w:szCs w:val="20"/>
              </w:rPr>
              <w:t xml:space="preserve">01 </w:t>
            </w:r>
          </w:p>
        </w:tc>
        <w:tc>
          <w:tcPr>
            <w:tcW w:w="3021" w:type="dxa"/>
          </w:tcPr>
          <w:p w14:paraId="4A9F6779" w14:textId="69102F6B" w:rsidR="004C0079" w:rsidRDefault="004C0079" w:rsidP="004C0079">
            <w:pPr>
              <w:autoSpaceDE w:val="0"/>
              <w:autoSpaceDN w:val="0"/>
              <w:adjustRightInd w:val="0"/>
              <w:jc w:val="both"/>
              <w:rPr>
                <w:rFonts w:ascii="Arial" w:hAnsi="Arial" w:cs="Arial"/>
              </w:rPr>
            </w:pPr>
            <w:r>
              <w:rPr>
                <w:rFonts w:ascii="Arial" w:hAnsi="Arial" w:cs="Arial"/>
              </w:rPr>
              <w:t xml:space="preserve">Grenoble (campus Sémard et campus </w:t>
            </w:r>
            <w:proofErr w:type="spellStart"/>
            <w:r>
              <w:rPr>
                <w:rFonts w:ascii="Arial" w:hAnsi="Arial" w:cs="Arial"/>
              </w:rPr>
              <w:t>Gemlab</w:t>
            </w:r>
            <w:proofErr w:type="spellEnd"/>
            <w:r>
              <w:rPr>
                <w:rFonts w:ascii="Arial" w:hAnsi="Arial" w:cs="Arial"/>
              </w:rPr>
              <w:t>)</w:t>
            </w:r>
          </w:p>
        </w:tc>
        <w:tc>
          <w:tcPr>
            <w:tcW w:w="3021" w:type="dxa"/>
          </w:tcPr>
          <w:p w14:paraId="60517362" w14:textId="68EA0497" w:rsidR="004C0079" w:rsidRPr="009D3BD4" w:rsidRDefault="00637686" w:rsidP="004C0079">
            <w:pPr>
              <w:autoSpaceDE w:val="0"/>
              <w:autoSpaceDN w:val="0"/>
              <w:adjustRightInd w:val="0"/>
              <w:jc w:val="both"/>
              <w:rPr>
                <w:rFonts w:ascii="Arial" w:hAnsi="Arial" w:cs="Arial"/>
              </w:rPr>
            </w:pPr>
            <w:r w:rsidRPr="009D3BD4">
              <w:rPr>
                <w:rFonts w:ascii="Arial" w:hAnsi="Arial" w:cs="Arial"/>
                <w:color w:val="000000"/>
                <w:sz w:val="20"/>
                <w:szCs w:val="20"/>
              </w:rPr>
              <w:t>6</w:t>
            </w:r>
            <w:r w:rsidR="004C0079" w:rsidRPr="009D3BD4">
              <w:rPr>
                <w:rFonts w:ascii="Arial" w:hAnsi="Arial" w:cs="Arial"/>
                <w:color w:val="000000"/>
                <w:sz w:val="20"/>
                <w:szCs w:val="20"/>
              </w:rPr>
              <w:t xml:space="preserve">00 000,00 € </w:t>
            </w:r>
          </w:p>
        </w:tc>
      </w:tr>
      <w:tr w:rsidR="004C0079" w14:paraId="7DF9D825" w14:textId="77777777" w:rsidTr="00E21013">
        <w:tc>
          <w:tcPr>
            <w:tcW w:w="3020" w:type="dxa"/>
          </w:tcPr>
          <w:p w14:paraId="1B0C5CAE" w14:textId="09F723F4" w:rsidR="004C0079" w:rsidRDefault="004C0079" w:rsidP="004C0079">
            <w:pPr>
              <w:autoSpaceDE w:val="0"/>
              <w:autoSpaceDN w:val="0"/>
              <w:adjustRightInd w:val="0"/>
              <w:jc w:val="both"/>
              <w:rPr>
                <w:rFonts w:ascii="Arial" w:hAnsi="Arial" w:cs="Arial"/>
              </w:rPr>
            </w:pPr>
            <w:r w:rsidRPr="00E21013">
              <w:rPr>
                <w:rFonts w:ascii="Arial" w:hAnsi="Arial" w:cs="Arial"/>
                <w:color w:val="000000"/>
                <w:sz w:val="20"/>
                <w:szCs w:val="20"/>
              </w:rPr>
              <w:t xml:space="preserve">02 </w:t>
            </w:r>
          </w:p>
        </w:tc>
        <w:tc>
          <w:tcPr>
            <w:tcW w:w="3021" w:type="dxa"/>
          </w:tcPr>
          <w:p w14:paraId="444C3FA6" w14:textId="52325CAC" w:rsidR="004C0079" w:rsidRDefault="004C0079" w:rsidP="004C0079">
            <w:pPr>
              <w:autoSpaceDE w:val="0"/>
              <w:autoSpaceDN w:val="0"/>
              <w:adjustRightInd w:val="0"/>
              <w:jc w:val="both"/>
              <w:rPr>
                <w:rFonts w:ascii="Arial" w:hAnsi="Arial" w:cs="Arial"/>
              </w:rPr>
            </w:pPr>
            <w:r>
              <w:rPr>
                <w:rFonts w:ascii="Arial" w:hAnsi="Arial" w:cs="Arial"/>
              </w:rPr>
              <w:t>Pantin (campus parisien de GEM)</w:t>
            </w:r>
          </w:p>
        </w:tc>
        <w:tc>
          <w:tcPr>
            <w:tcW w:w="3021" w:type="dxa"/>
          </w:tcPr>
          <w:p w14:paraId="3C32A53D" w14:textId="2AD47841" w:rsidR="004C0079" w:rsidRPr="009D3BD4" w:rsidRDefault="00637686" w:rsidP="004C0079">
            <w:pPr>
              <w:autoSpaceDE w:val="0"/>
              <w:autoSpaceDN w:val="0"/>
              <w:adjustRightInd w:val="0"/>
              <w:jc w:val="both"/>
              <w:rPr>
                <w:rFonts w:ascii="Arial" w:hAnsi="Arial" w:cs="Arial"/>
              </w:rPr>
            </w:pPr>
            <w:r w:rsidRPr="009D3BD4">
              <w:rPr>
                <w:rFonts w:ascii="Arial" w:hAnsi="Arial" w:cs="Arial"/>
                <w:color w:val="000000"/>
                <w:sz w:val="20"/>
                <w:szCs w:val="20"/>
              </w:rPr>
              <w:t>20</w:t>
            </w:r>
            <w:r w:rsidR="004C0079" w:rsidRPr="009D3BD4">
              <w:rPr>
                <w:rFonts w:ascii="Arial" w:hAnsi="Arial" w:cs="Arial"/>
                <w:color w:val="000000"/>
                <w:sz w:val="20"/>
                <w:szCs w:val="20"/>
              </w:rPr>
              <w:t xml:space="preserve">0 000,00 € </w:t>
            </w:r>
          </w:p>
        </w:tc>
      </w:tr>
    </w:tbl>
    <w:p w14:paraId="21B41B9B" w14:textId="1593BEA9" w:rsidR="00E21013" w:rsidRDefault="00E21013" w:rsidP="00E21013">
      <w:pPr>
        <w:autoSpaceDE w:val="0"/>
        <w:autoSpaceDN w:val="0"/>
        <w:adjustRightInd w:val="0"/>
        <w:spacing w:after="0" w:line="240" w:lineRule="auto"/>
        <w:jc w:val="both"/>
        <w:rPr>
          <w:rFonts w:ascii="Arial" w:hAnsi="Arial" w:cs="Arial"/>
        </w:rPr>
      </w:pPr>
    </w:p>
    <w:p w14:paraId="73EB8DF2" w14:textId="77777777" w:rsidR="00E21013" w:rsidRDefault="00E21013" w:rsidP="00223B8B">
      <w:pPr>
        <w:autoSpaceDE w:val="0"/>
        <w:autoSpaceDN w:val="0"/>
        <w:adjustRightInd w:val="0"/>
        <w:spacing w:after="0" w:line="240" w:lineRule="auto"/>
        <w:jc w:val="both"/>
        <w:rPr>
          <w:rFonts w:ascii="Arial" w:hAnsi="Arial" w:cs="Arial"/>
        </w:rPr>
      </w:pPr>
    </w:p>
    <w:p w14:paraId="4948270A" w14:textId="7F978C3A" w:rsidR="000828CC" w:rsidRDefault="000828CC" w:rsidP="00223B8B">
      <w:pPr>
        <w:autoSpaceDE w:val="0"/>
        <w:autoSpaceDN w:val="0"/>
        <w:adjustRightInd w:val="0"/>
        <w:spacing w:after="0" w:line="240" w:lineRule="auto"/>
        <w:jc w:val="both"/>
        <w:rPr>
          <w:rFonts w:ascii="Arial" w:hAnsi="Arial" w:cs="Arial"/>
        </w:rPr>
      </w:pPr>
      <w:r>
        <w:rPr>
          <w:rFonts w:ascii="Arial" w:hAnsi="Arial" w:cs="Arial"/>
        </w:rPr>
        <w:t>Il est conclu en l’application du CCAG applicable aux marchés de fournitures courantes ou services, approuvé par arrêté du 30 mars 2021 (CCAG –FCS 2021).</w:t>
      </w:r>
    </w:p>
    <w:p w14:paraId="4F68AE50" w14:textId="77777777" w:rsidR="00E21013" w:rsidRDefault="00E21013" w:rsidP="00223B8B">
      <w:pPr>
        <w:autoSpaceDE w:val="0"/>
        <w:autoSpaceDN w:val="0"/>
        <w:adjustRightInd w:val="0"/>
        <w:spacing w:after="0" w:line="240" w:lineRule="auto"/>
        <w:jc w:val="both"/>
        <w:rPr>
          <w:rFonts w:ascii="Arial" w:hAnsi="Arial" w:cs="Arial"/>
        </w:rPr>
      </w:pPr>
    </w:p>
    <w:p w14:paraId="1D3C3BB6" w14:textId="4B1A5DCF" w:rsidR="00223B8B" w:rsidRDefault="00E21013" w:rsidP="00223B8B">
      <w:pPr>
        <w:autoSpaceDE w:val="0"/>
        <w:autoSpaceDN w:val="0"/>
        <w:adjustRightInd w:val="0"/>
        <w:spacing w:after="0" w:line="240" w:lineRule="auto"/>
        <w:jc w:val="both"/>
        <w:rPr>
          <w:rFonts w:ascii="Arial" w:hAnsi="Arial" w:cs="Arial"/>
        </w:rPr>
      </w:pPr>
      <w:r w:rsidRPr="00E21013">
        <w:rPr>
          <w:rFonts w:ascii="Arial" w:hAnsi="Arial" w:cs="Arial"/>
        </w:rPr>
        <w:t>Chaque lot fait l'objet d'un accord-cadre attribué à un seul opérateur économique.</w:t>
      </w:r>
    </w:p>
    <w:p w14:paraId="2110D6ED" w14:textId="77777777" w:rsidR="005208C2" w:rsidRPr="00223B8B" w:rsidRDefault="005208C2" w:rsidP="00223B8B">
      <w:pPr>
        <w:autoSpaceDE w:val="0"/>
        <w:autoSpaceDN w:val="0"/>
        <w:adjustRightInd w:val="0"/>
        <w:spacing w:after="0" w:line="240" w:lineRule="auto"/>
        <w:jc w:val="both"/>
        <w:rPr>
          <w:rFonts w:ascii="Arial" w:hAnsi="Arial" w:cs="Arial"/>
        </w:rPr>
      </w:pPr>
    </w:p>
    <w:p w14:paraId="2A68DDA6" w14:textId="77777777" w:rsidR="004903D8" w:rsidRPr="00AA0525" w:rsidRDefault="004903D8" w:rsidP="00AA0525">
      <w:pPr>
        <w:pStyle w:val="Titre2"/>
      </w:pPr>
      <w:bookmarkStart w:id="8" w:name="_Toc430330053"/>
      <w:bookmarkStart w:id="9" w:name="_Toc185398492"/>
      <w:bookmarkEnd w:id="6"/>
      <w:r w:rsidRPr="00AA0525">
        <w:t>Durée de l’accord-cadre</w:t>
      </w:r>
      <w:bookmarkEnd w:id="8"/>
      <w:bookmarkEnd w:id="9"/>
    </w:p>
    <w:p w14:paraId="0881CC62" w14:textId="77777777" w:rsidR="00DA2DC1" w:rsidRDefault="00DA2DC1" w:rsidP="00DA2DC1">
      <w:pPr>
        <w:autoSpaceDE w:val="0"/>
        <w:autoSpaceDN w:val="0"/>
        <w:adjustRightInd w:val="0"/>
        <w:spacing w:after="0" w:line="240" w:lineRule="auto"/>
        <w:rPr>
          <w:rFonts w:ascii="Helvetica" w:hAnsi="Helvetica" w:cs="Helvetica"/>
        </w:rPr>
      </w:pPr>
      <w:bookmarkStart w:id="10" w:name="_Toc430330055"/>
    </w:p>
    <w:p w14:paraId="09AC37FB" w14:textId="5A36C3FB" w:rsidR="0083676A" w:rsidRDefault="0083676A" w:rsidP="0083676A">
      <w:pPr>
        <w:pStyle w:val="Default"/>
        <w:jc w:val="both"/>
        <w:rPr>
          <w:rFonts w:ascii="Arial" w:hAnsi="Arial" w:cs="Arial"/>
          <w:color w:val="auto"/>
          <w:sz w:val="22"/>
          <w:szCs w:val="22"/>
        </w:rPr>
      </w:pPr>
      <w:r w:rsidRPr="0083676A">
        <w:rPr>
          <w:rFonts w:ascii="Arial" w:hAnsi="Arial" w:cs="Arial"/>
          <w:color w:val="auto"/>
          <w:sz w:val="22"/>
          <w:szCs w:val="22"/>
        </w:rPr>
        <w:t xml:space="preserve">L'accord-cadre est conclu pour une </w:t>
      </w:r>
      <w:r w:rsidRPr="009D3BD4">
        <w:rPr>
          <w:rFonts w:ascii="Arial" w:hAnsi="Arial" w:cs="Arial"/>
          <w:color w:val="auto"/>
          <w:sz w:val="22"/>
          <w:szCs w:val="22"/>
        </w:rPr>
        <w:t xml:space="preserve">période initiale de </w:t>
      </w:r>
      <w:r w:rsidR="004C0079" w:rsidRPr="009D3BD4">
        <w:rPr>
          <w:rFonts w:ascii="Arial" w:hAnsi="Arial" w:cs="Arial"/>
          <w:color w:val="auto"/>
          <w:sz w:val="22"/>
          <w:szCs w:val="22"/>
        </w:rPr>
        <w:t>2</w:t>
      </w:r>
      <w:r w:rsidRPr="009D3BD4">
        <w:rPr>
          <w:rFonts w:ascii="Arial" w:hAnsi="Arial" w:cs="Arial"/>
          <w:color w:val="auto"/>
          <w:sz w:val="22"/>
          <w:szCs w:val="22"/>
        </w:rPr>
        <w:t xml:space="preserve"> an</w:t>
      </w:r>
      <w:r w:rsidR="004C0079" w:rsidRPr="009D3BD4">
        <w:rPr>
          <w:rFonts w:ascii="Arial" w:hAnsi="Arial" w:cs="Arial"/>
          <w:color w:val="auto"/>
          <w:sz w:val="22"/>
          <w:szCs w:val="22"/>
        </w:rPr>
        <w:t>s</w:t>
      </w:r>
      <w:r w:rsidRPr="009D3BD4">
        <w:rPr>
          <w:rFonts w:ascii="Arial" w:hAnsi="Arial" w:cs="Arial"/>
          <w:color w:val="auto"/>
          <w:sz w:val="22"/>
          <w:szCs w:val="22"/>
        </w:rPr>
        <w:t>.</w:t>
      </w:r>
      <w:r w:rsidRPr="0083676A">
        <w:rPr>
          <w:rFonts w:ascii="Arial" w:hAnsi="Arial" w:cs="Arial"/>
          <w:color w:val="auto"/>
          <w:sz w:val="22"/>
          <w:szCs w:val="22"/>
        </w:rPr>
        <w:t xml:space="preserve">  L'accord-cadre est conclu à compter de la date de notification du contrat. </w:t>
      </w:r>
    </w:p>
    <w:p w14:paraId="3F4E5597" w14:textId="77777777" w:rsidR="0083676A" w:rsidRPr="0083676A" w:rsidRDefault="0083676A" w:rsidP="0083676A">
      <w:pPr>
        <w:pStyle w:val="Default"/>
        <w:jc w:val="both"/>
        <w:rPr>
          <w:rFonts w:ascii="Arial" w:hAnsi="Arial" w:cs="Arial"/>
          <w:color w:val="auto"/>
          <w:sz w:val="22"/>
          <w:szCs w:val="22"/>
        </w:rPr>
      </w:pPr>
    </w:p>
    <w:p w14:paraId="5E75F08C" w14:textId="3A3DC4CC" w:rsidR="0083676A" w:rsidRDefault="0083676A" w:rsidP="0083676A">
      <w:pPr>
        <w:autoSpaceDE w:val="0"/>
        <w:autoSpaceDN w:val="0"/>
        <w:adjustRightInd w:val="0"/>
        <w:spacing w:after="0" w:line="240" w:lineRule="auto"/>
        <w:jc w:val="both"/>
        <w:rPr>
          <w:rFonts w:ascii="Arial" w:hAnsi="Arial" w:cs="Arial"/>
        </w:rPr>
      </w:pPr>
      <w:r w:rsidRPr="009D3BD4">
        <w:rPr>
          <w:rFonts w:ascii="Arial" w:hAnsi="Arial" w:cs="Arial"/>
        </w:rPr>
        <w:t>Les délais d'exécution ou de livraison</w:t>
      </w:r>
      <w:r w:rsidRPr="0083676A">
        <w:rPr>
          <w:rFonts w:ascii="Arial" w:hAnsi="Arial" w:cs="Arial"/>
        </w:rPr>
        <w:t xml:space="preserve"> des prestations sont fixés conformément aux stipulations des pièces du marché</w:t>
      </w:r>
      <w:r w:rsidR="004C0079">
        <w:rPr>
          <w:rFonts w:ascii="Arial" w:hAnsi="Arial" w:cs="Arial"/>
        </w:rPr>
        <w:t xml:space="preserve"> (voir CCTP)</w:t>
      </w:r>
      <w:r w:rsidRPr="0083676A">
        <w:rPr>
          <w:rFonts w:ascii="Arial" w:hAnsi="Arial" w:cs="Arial"/>
        </w:rPr>
        <w:t>.</w:t>
      </w:r>
    </w:p>
    <w:p w14:paraId="312624C1" w14:textId="1C6945BD" w:rsidR="0083676A" w:rsidRDefault="0083676A" w:rsidP="0083676A">
      <w:pPr>
        <w:autoSpaceDE w:val="0"/>
        <w:autoSpaceDN w:val="0"/>
        <w:adjustRightInd w:val="0"/>
        <w:spacing w:after="0" w:line="240" w:lineRule="auto"/>
        <w:jc w:val="both"/>
        <w:rPr>
          <w:rFonts w:ascii="Arial" w:hAnsi="Arial" w:cs="Arial"/>
        </w:rPr>
      </w:pPr>
    </w:p>
    <w:p w14:paraId="151E813B" w14:textId="77777777" w:rsidR="0083676A" w:rsidRPr="0083676A" w:rsidRDefault="0083676A" w:rsidP="0083676A">
      <w:pPr>
        <w:autoSpaceDE w:val="0"/>
        <w:autoSpaceDN w:val="0"/>
        <w:adjustRightInd w:val="0"/>
        <w:spacing w:after="0" w:line="240" w:lineRule="auto"/>
        <w:rPr>
          <w:rFonts w:ascii="Arial" w:hAnsi="Arial" w:cs="Arial"/>
          <w:u w:val="single"/>
        </w:rPr>
      </w:pPr>
      <w:r w:rsidRPr="0083676A">
        <w:rPr>
          <w:rFonts w:ascii="Arial" w:hAnsi="Arial" w:cs="Arial"/>
          <w:u w:val="single"/>
        </w:rPr>
        <w:t>Reconduction :</w:t>
      </w:r>
    </w:p>
    <w:p w14:paraId="0DA52F91" w14:textId="77777777" w:rsidR="0083676A" w:rsidRDefault="0083676A" w:rsidP="0083676A">
      <w:pPr>
        <w:autoSpaceDE w:val="0"/>
        <w:autoSpaceDN w:val="0"/>
        <w:adjustRightInd w:val="0"/>
        <w:spacing w:after="0" w:line="240" w:lineRule="auto"/>
        <w:jc w:val="both"/>
        <w:rPr>
          <w:rFonts w:ascii="Arial" w:hAnsi="Arial" w:cs="Arial"/>
        </w:rPr>
      </w:pPr>
    </w:p>
    <w:p w14:paraId="64CAF141" w14:textId="2FFD6811" w:rsidR="0083676A" w:rsidRPr="0083676A" w:rsidRDefault="005276D9" w:rsidP="0083676A">
      <w:pPr>
        <w:pStyle w:val="Default"/>
        <w:jc w:val="both"/>
        <w:rPr>
          <w:rFonts w:ascii="Arial" w:hAnsi="Arial" w:cs="Arial"/>
          <w:color w:val="auto"/>
          <w:sz w:val="22"/>
          <w:szCs w:val="22"/>
        </w:rPr>
      </w:pPr>
      <w:r w:rsidRPr="009D3BD4">
        <w:rPr>
          <w:rFonts w:ascii="Arial" w:hAnsi="Arial" w:cs="Arial"/>
          <w:color w:val="auto"/>
          <w:sz w:val="22"/>
          <w:szCs w:val="22"/>
        </w:rPr>
        <w:t>Après les deux ans de la période initiale, l</w:t>
      </w:r>
      <w:r w:rsidR="0083676A" w:rsidRPr="009D3BD4">
        <w:rPr>
          <w:rFonts w:ascii="Arial" w:hAnsi="Arial" w:cs="Arial"/>
          <w:color w:val="auto"/>
          <w:sz w:val="22"/>
          <w:szCs w:val="22"/>
        </w:rPr>
        <w:t xml:space="preserve">'accord-cadre est reconduit tacitement jusqu'à son terme. Le nombre de périodes de reconduction est fixé à </w:t>
      </w:r>
      <w:r w:rsidRPr="009D3BD4">
        <w:rPr>
          <w:rFonts w:ascii="Arial" w:hAnsi="Arial" w:cs="Arial"/>
          <w:color w:val="auto"/>
          <w:sz w:val="22"/>
          <w:szCs w:val="22"/>
        </w:rPr>
        <w:t>2</w:t>
      </w:r>
      <w:r w:rsidR="0083676A" w:rsidRPr="009D3BD4">
        <w:rPr>
          <w:rFonts w:ascii="Arial" w:hAnsi="Arial" w:cs="Arial"/>
          <w:color w:val="auto"/>
          <w:sz w:val="22"/>
          <w:szCs w:val="22"/>
        </w:rPr>
        <w:t>. La durée de chaque période de reconduction est de 1 an. La durée maximale du contrat, toutes périodes confondues, est de 4 ans.</w:t>
      </w:r>
      <w:r w:rsidR="0083676A" w:rsidRPr="0083676A">
        <w:rPr>
          <w:rFonts w:ascii="Arial" w:hAnsi="Arial" w:cs="Arial"/>
          <w:color w:val="auto"/>
          <w:sz w:val="22"/>
          <w:szCs w:val="22"/>
        </w:rPr>
        <w:t xml:space="preserve"> </w:t>
      </w:r>
    </w:p>
    <w:p w14:paraId="48DFEEC7" w14:textId="126319D4" w:rsidR="0083676A" w:rsidRPr="00F95475" w:rsidRDefault="0083676A" w:rsidP="0083676A">
      <w:pPr>
        <w:autoSpaceDE w:val="0"/>
        <w:autoSpaceDN w:val="0"/>
        <w:adjustRightInd w:val="0"/>
        <w:spacing w:after="0" w:line="240" w:lineRule="auto"/>
        <w:jc w:val="both"/>
        <w:rPr>
          <w:rFonts w:ascii="Arial" w:hAnsi="Arial" w:cs="Arial"/>
        </w:rPr>
      </w:pPr>
      <w:r w:rsidRPr="0083676A">
        <w:rPr>
          <w:rFonts w:ascii="Arial" w:hAnsi="Arial" w:cs="Arial"/>
        </w:rPr>
        <w:lastRenderedPageBreak/>
        <w:t xml:space="preserve">La reconduction est considérée comme acceptée si aucune décision écrite contraire n'est prise par </w:t>
      </w:r>
      <w:r w:rsidR="008C6249">
        <w:rPr>
          <w:rFonts w:ascii="Arial" w:hAnsi="Arial" w:cs="Arial"/>
        </w:rPr>
        <w:t xml:space="preserve">GEM </w:t>
      </w:r>
      <w:r w:rsidR="008C6249" w:rsidRPr="009D3BD4">
        <w:rPr>
          <w:rFonts w:ascii="Arial" w:hAnsi="Arial" w:cs="Arial"/>
        </w:rPr>
        <w:t xml:space="preserve">au moins </w:t>
      </w:r>
      <w:r w:rsidR="005276D9" w:rsidRPr="009D3BD4">
        <w:rPr>
          <w:rFonts w:ascii="Arial" w:hAnsi="Arial" w:cs="Arial"/>
        </w:rPr>
        <w:t>3</w:t>
      </w:r>
      <w:r w:rsidRPr="009D3BD4">
        <w:rPr>
          <w:rFonts w:ascii="Arial" w:hAnsi="Arial" w:cs="Arial"/>
        </w:rPr>
        <w:t xml:space="preserve"> mois avant</w:t>
      </w:r>
      <w:r w:rsidRPr="0083676A">
        <w:rPr>
          <w:rFonts w:ascii="Arial" w:hAnsi="Arial" w:cs="Arial"/>
        </w:rPr>
        <w:t xml:space="preserve"> la fin de la durée de validité de l'accord-cadre. Le titulaire ne peut pas refuser la reconduction.</w:t>
      </w:r>
    </w:p>
    <w:p w14:paraId="04AB8B64" w14:textId="4900FEC5" w:rsidR="00F95475" w:rsidRDefault="00F95475" w:rsidP="00DA2DC1">
      <w:pPr>
        <w:autoSpaceDE w:val="0"/>
        <w:autoSpaceDN w:val="0"/>
        <w:adjustRightInd w:val="0"/>
        <w:spacing w:after="0" w:line="240" w:lineRule="auto"/>
        <w:jc w:val="both"/>
        <w:rPr>
          <w:rFonts w:ascii="Helvetica" w:hAnsi="Helvetica" w:cs="Helvetica"/>
        </w:rPr>
      </w:pPr>
    </w:p>
    <w:p w14:paraId="310EE30B" w14:textId="6BF8C4F4" w:rsidR="0009609A" w:rsidRPr="00AA0525" w:rsidRDefault="0009609A" w:rsidP="00AA0525">
      <w:pPr>
        <w:pStyle w:val="Titre2"/>
      </w:pPr>
      <w:bookmarkStart w:id="11" w:name="_Toc185398493"/>
      <w:r w:rsidRPr="00AA0525">
        <w:t>Lieu d’exécution</w:t>
      </w:r>
      <w:bookmarkEnd w:id="11"/>
    </w:p>
    <w:p w14:paraId="1D74F521" w14:textId="4475D1B7" w:rsidR="0009609A" w:rsidRDefault="0009609A" w:rsidP="0009609A"/>
    <w:p w14:paraId="035AE64D" w14:textId="77777777" w:rsidR="005276D9" w:rsidRDefault="00595F6F" w:rsidP="00595F6F">
      <w:pPr>
        <w:rPr>
          <w:rFonts w:ascii="Arial" w:eastAsia="Times New Roman" w:hAnsi="Arial" w:cs="Times New Roman"/>
          <w:szCs w:val="24"/>
          <w:lang w:eastAsia="fr-FR"/>
        </w:rPr>
      </w:pPr>
      <w:r w:rsidRPr="00595F6F">
        <w:rPr>
          <w:rFonts w:ascii="Arial" w:eastAsia="Times New Roman" w:hAnsi="Arial" w:cs="Times New Roman"/>
          <w:szCs w:val="24"/>
          <w:lang w:eastAsia="fr-FR"/>
        </w:rPr>
        <w:t xml:space="preserve">Les prestations auront </w:t>
      </w:r>
      <w:r w:rsidR="005276D9">
        <w:rPr>
          <w:rFonts w:ascii="Arial" w:eastAsia="Times New Roman" w:hAnsi="Arial" w:cs="Times New Roman"/>
          <w:szCs w:val="24"/>
          <w:lang w:eastAsia="fr-FR"/>
        </w:rPr>
        <w:t>lieu selon les lots sur les lieux suivants :</w:t>
      </w:r>
    </w:p>
    <w:p w14:paraId="4D31A995" w14:textId="77777777" w:rsidR="005276D9" w:rsidRPr="005E4562" w:rsidRDefault="005276D9" w:rsidP="005276D9">
      <w:pPr>
        <w:rPr>
          <w:rFonts w:ascii="Arial" w:hAnsi="Arial" w:cs="Arial"/>
          <w:b/>
        </w:rPr>
      </w:pPr>
      <w:r w:rsidRPr="005E4562">
        <w:rPr>
          <w:rFonts w:ascii="Arial" w:hAnsi="Arial" w:cs="Arial"/>
          <w:b/>
        </w:rPr>
        <w:t>Lot n°1 : Grenoble</w:t>
      </w:r>
    </w:p>
    <w:p w14:paraId="479740D5" w14:textId="55B25B1D" w:rsidR="005276D9" w:rsidRPr="005276D9" w:rsidRDefault="005276D9" w:rsidP="008724E5">
      <w:pPr>
        <w:pStyle w:val="Paragraphedeliste"/>
        <w:numPr>
          <w:ilvl w:val="0"/>
          <w:numId w:val="4"/>
        </w:numPr>
        <w:rPr>
          <w:rFonts w:ascii="Arial" w:hAnsi="Arial" w:cs="Arial"/>
        </w:rPr>
      </w:pPr>
      <w:proofErr w:type="gramStart"/>
      <w:r w:rsidRPr="005276D9">
        <w:rPr>
          <w:rFonts w:ascii="Arial" w:hAnsi="Arial" w:cs="Arial"/>
        </w:rPr>
        <w:t>campus</w:t>
      </w:r>
      <w:proofErr w:type="gramEnd"/>
      <w:r w:rsidRPr="005276D9">
        <w:rPr>
          <w:rFonts w:ascii="Arial" w:hAnsi="Arial" w:cs="Arial"/>
        </w:rPr>
        <w:t xml:space="preserve"> Sémard : 12 ru</w:t>
      </w:r>
      <w:r w:rsidR="00A223D3">
        <w:rPr>
          <w:rFonts w:ascii="Arial" w:hAnsi="Arial" w:cs="Arial"/>
        </w:rPr>
        <w:t>e</w:t>
      </w:r>
      <w:r w:rsidRPr="005276D9">
        <w:rPr>
          <w:rFonts w:ascii="Arial" w:hAnsi="Arial" w:cs="Arial"/>
        </w:rPr>
        <w:t xml:space="preserve"> Pierre Sémard</w:t>
      </w:r>
      <w:r w:rsidR="00A223D3">
        <w:rPr>
          <w:rFonts w:ascii="Arial" w:hAnsi="Arial" w:cs="Arial"/>
        </w:rPr>
        <w:t xml:space="preserve"> -</w:t>
      </w:r>
      <w:r w:rsidRPr="005276D9">
        <w:rPr>
          <w:rFonts w:ascii="Arial" w:hAnsi="Arial" w:cs="Arial"/>
        </w:rPr>
        <w:t xml:space="preserve"> 38000 Grenoble</w:t>
      </w:r>
    </w:p>
    <w:p w14:paraId="0A0DA172" w14:textId="1EC21C30" w:rsidR="005276D9" w:rsidRDefault="005276D9" w:rsidP="008724E5">
      <w:pPr>
        <w:pStyle w:val="Paragraphedeliste"/>
        <w:numPr>
          <w:ilvl w:val="0"/>
          <w:numId w:val="4"/>
        </w:numPr>
        <w:rPr>
          <w:rFonts w:ascii="Arial" w:hAnsi="Arial" w:cs="Arial"/>
        </w:rPr>
      </w:pPr>
      <w:proofErr w:type="gramStart"/>
      <w:r>
        <w:rPr>
          <w:rFonts w:ascii="Arial" w:hAnsi="Arial" w:cs="Arial"/>
        </w:rPr>
        <w:t>campus</w:t>
      </w:r>
      <w:proofErr w:type="gramEnd"/>
      <w:r>
        <w:rPr>
          <w:rFonts w:ascii="Arial" w:hAnsi="Arial" w:cs="Arial"/>
        </w:rPr>
        <w:t xml:space="preserve"> </w:t>
      </w:r>
      <w:proofErr w:type="spellStart"/>
      <w:r>
        <w:rPr>
          <w:rFonts w:ascii="Arial" w:hAnsi="Arial" w:cs="Arial"/>
        </w:rPr>
        <w:t>Gemlab</w:t>
      </w:r>
      <w:proofErr w:type="spellEnd"/>
      <w:r>
        <w:rPr>
          <w:rFonts w:ascii="Arial" w:hAnsi="Arial" w:cs="Arial"/>
        </w:rPr>
        <w:t> :</w:t>
      </w:r>
      <w:r w:rsidR="00A223D3">
        <w:rPr>
          <w:rFonts w:ascii="Arial" w:hAnsi="Arial" w:cs="Arial"/>
        </w:rPr>
        <w:t xml:space="preserve"> </w:t>
      </w:r>
      <w:r w:rsidR="00A223D3" w:rsidRPr="00A223D3">
        <w:rPr>
          <w:rFonts w:ascii="Arial" w:hAnsi="Arial" w:cs="Arial"/>
        </w:rPr>
        <w:t>142 avenue des martyrs – 38000 Grenoble</w:t>
      </w:r>
    </w:p>
    <w:p w14:paraId="17C021DA" w14:textId="77777777" w:rsidR="00A223D3" w:rsidRPr="005276D9" w:rsidRDefault="00A223D3" w:rsidP="008724E5">
      <w:pPr>
        <w:pStyle w:val="Paragraphedeliste"/>
        <w:numPr>
          <w:ilvl w:val="0"/>
          <w:numId w:val="4"/>
        </w:numPr>
        <w:rPr>
          <w:rFonts w:ascii="Arial" w:hAnsi="Arial" w:cs="Arial"/>
        </w:rPr>
      </w:pPr>
    </w:p>
    <w:p w14:paraId="47F75061" w14:textId="365E3B88" w:rsidR="005276D9" w:rsidRPr="005E4562" w:rsidRDefault="005276D9" w:rsidP="005276D9">
      <w:pPr>
        <w:rPr>
          <w:rFonts w:ascii="Arial" w:hAnsi="Arial" w:cs="Arial"/>
          <w:b/>
        </w:rPr>
      </w:pPr>
      <w:r w:rsidRPr="005E4562">
        <w:rPr>
          <w:rFonts w:ascii="Arial" w:hAnsi="Arial" w:cs="Arial"/>
          <w:b/>
        </w:rPr>
        <w:t>Lot n°2 : Pantin (campus parisien de GEM)</w:t>
      </w:r>
    </w:p>
    <w:p w14:paraId="581E9BA2" w14:textId="41E4F661" w:rsidR="00A223D3" w:rsidRPr="00A223D3" w:rsidRDefault="00A223D3" w:rsidP="008724E5">
      <w:pPr>
        <w:pStyle w:val="Paragraphedeliste"/>
        <w:numPr>
          <w:ilvl w:val="0"/>
          <w:numId w:val="5"/>
        </w:numPr>
        <w:rPr>
          <w:rFonts w:ascii="Arial" w:hAnsi="Arial" w:cs="Arial"/>
        </w:rPr>
      </w:pPr>
      <w:proofErr w:type="gramStart"/>
      <w:r>
        <w:rPr>
          <w:rFonts w:ascii="Arial" w:hAnsi="Arial" w:cs="Arial"/>
        </w:rPr>
        <w:t>campus</w:t>
      </w:r>
      <w:proofErr w:type="gramEnd"/>
      <w:r>
        <w:rPr>
          <w:rFonts w:ascii="Arial" w:hAnsi="Arial" w:cs="Arial"/>
        </w:rPr>
        <w:t xml:space="preserve"> Paris-Pantin : </w:t>
      </w:r>
      <w:r w:rsidRPr="00A223D3">
        <w:rPr>
          <w:rFonts w:ascii="Arial" w:hAnsi="Arial" w:cs="Arial"/>
        </w:rPr>
        <w:t xml:space="preserve">183 Rue Jean </w:t>
      </w:r>
      <w:proofErr w:type="spellStart"/>
      <w:r w:rsidRPr="00A223D3">
        <w:rPr>
          <w:rFonts w:ascii="Arial" w:hAnsi="Arial" w:cs="Arial"/>
        </w:rPr>
        <w:t>Lolive</w:t>
      </w:r>
      <w:proofErr w:type="spellEnd"/>
      <w:r w:rsidRPr="00A223D3">
        <w:rPr>
          <w:rFonts w:ascii="Arial" w:hAnsi="Arial" w:cs="Arial"/>
        </w:rPr>
        <w:t xml:space="preserve"> – 93500 Pantin</w:t>
      </w:r>
    </w:p>
    <w:p w14:paraId="1DAE7C0E" w14:textId="40DF5574" w:rsidR="0009609A" w:rsidRPr="00DA2DC1" w:rsidRDefault="0009609A" w:rsidP="00DA2DC1">
      <w:pPr>
        <w:autoSpaceDE w:val="0"/>
        <w:autoSpaceDN w:val="0"/>
        <w:adjustRightInd w:val="0"/>
        <w:spacing w:after="0" w:line="240" w:lineRule="auto"/>
        <w:jc w:val="both"/>
        <w:rPr>
          <w:rFonts w:ascii="Helvetica" w:hAnsi="Helvetica" w:cs="Helvetica"/>
        </w:rPr>
      </w:pPr>
    </w:p>
    <w:p w14:paraId="3F8FDB9F" w14:textId="77777777" w:rsidR="002C090F" w:rsidRPr="00F95475" w:rsidRDefault="002C090F" w:rsidP="00F95475">
      <w:pPr>
        <w:autoSpaceDE w:val="0"/>
        <w:autoSpaceDN w:val="0"/>
        <w:adjustRightInd w:val="0"/>
        <w:spacing w:after="0" w:line="240" w:lineRule="auto"/>
        <w:jc w:val="both"/>
        <w:rPr>
          <w:rFonts w:ascii="Arial" w:hAnsi="Arial" w:cs="Arial"/>
        </w:rPr>
      </w:pPr>
    </w:p>
    <w:p w14:paraId="10F1ED38" w14:textId="39CDC4CC" w:rsidR="004903D8" w:rsidRDefault="004903D8" w:rsidP="00AD5A30">
      <w:pPr>
        <w:pStyle w:val="Titre1"/>
      </w:pPr>
      <w:bookmarkStart w:id="12" w:name="_Toc185398494"/>
      <w:bookmarkEnd w:id="10"/>
      <w:r w:rsidRPr="00522244">
        <w:t>Pièces contractuelles de l’accord-cadre</w:t>
      </w:r>
      <w:r w:rsidR="003544BF">
        <w:t xml:space="preserve"> par lot</w:t>
      </w:r>
      <w:bookmarkEnd w:id="12"/>
    </w:p>
    <w:p w14:paraId="4E97130E" w14:textId="77777777" w:rsidR="00A9524B" w:rsidRPr="00AA0525" w:rsidRDefault="00A9524B" w:rsidP="00A9524B">
      <w:pPr>
        <w:spacing w:after="0"/>
        <w:jc w:val="both"/>
        <w:rPr>
          <w:rFonts w:ascii="Arial" w:eastAsia="Times New Roman" w:hAnsi="Arial"/>
          <w:sz w:val="24"/>
          <w:szCs w:val="24"/>
          <w:lang w:eastAsia="fr-FR"/>
        </w:rPr>
      </w:pPr>
    </w:p>
    <w:p w14:paraId="693C38CB" w14:textId="77777777" w:rsidR="000E4FDD" w:rsidRPr="00AA0525" w:rsidRDefault="000E4FDD" w:rsidP="00AA0525">
      <w:pPr>
        <w:autoSpaceDE w:val="0"/>
        <w:autoSpaceDN w:val="0"/>
        <w:adjustRightInd w:val="0"/>
        <w:spacing w:after="0" w:line="276" w:lineRule="auto"/>
        <w:rPr>
          <w:rFonts w:ascii="Arial" w:hAnsi="Arial" w:cs="Arial"/>
          <w:color w:val="000000"/>
          <w:szCs w:val="20"/>
        </w:rPr>
      </w:pPr>
      <w:r w:rsidRPr="00AA0525">
        <w:rPr>
          <w:rFonts w:ascii="Arial" w:hAnsi="Arial" w:cs="Arial"/>
          <w:color w:val="000000"/>
          <w:szCs w:val="20"/>
        </w:rPr>
        <w:t xml:space="preserve">Par dérogation à l'article 4.1 du CCAG-FCS, les pièces contractuelles de l'accord-cadre sont les suivantes et, en cas de contradiction entre leurs stipulations, prévalent dans cet ordre de priorité : </w:t>
      </w:r>
    </w:p>
    <w:p w14:paraId="465BB6B0" w14:textId="77777777" w:rsidR="000E4FDD" w:rsidRPr="00AA0525" w:rsidRDefault="000E4FDD" w:rsidP="00AA0525">
      <w:pPr>
        <w:autoSpaceDE w:val="0"/>
        <w:autoSpaceDN w:val="0"/>
        <w:adjustRightInd w:val="0"/>
        <w:spacing w:after="0" w:line="276" w:lineRule="auto"/>
        <w:rPr>
          <w:rFonts w:ascii="Arial" w:hAnsi="Arial" w:cs="Arial"/>
          <w:color w:val="000000"/>
          <w:szCs w:val="20"/>
        </w:rPr>
      </w:pPr>
      <w:r w:rsidRPr="00AA0525">
        <w:rPr>
          <w:rFonts w:ascii="Arial" w:hAnsi="Arial" w:cs="Arial"/>
          <w:color w:val="000000"/>
          <w:szCs w:val="20"/>
        </w:rPr>
        <w:t xml:space="preserve">- L'acte d'engagement (AE) ; </w:t>
      </w:r>
    </w:p>
    <w:p w14:paraId="477C49D7" w14:textId="77777777" w:rsidR="000E4FDD" w:rsidRPr="00AA0525" w:rsidRDefault="000E4FDD" w:rsidP="00AA0525">
      <w:pPr>
        <w:autoSpaceDE w:val="0"/>
        <w:autoSpaceDN w:val="0"/>
        <w:adjustRightInd w:val="0"/>
        <w:spacing w:after="0" w:line="276" w:lineRule="auto"/>
        <w:rPr>
          <w:rFonts w:ascii="Arial" w:hAnsi="Arial" w:cs="Arial"/>
          <w:color w:val="000000"/>
          <w:szCs w:val="20"/>
        </w:rPr>
      </w:pPr>
      <w:r w:rsidRPr="00AA0525">
        <w:rPr>
          <w:rFonts w:ascii="Arial" w:hAnsi="Arial" w:cs="Arial"/>
          <w:color w:val="000000"/>
          <w:szCs w:val="20"/>
        </w:rPr>
        <w:t xml:space="preserve">- Le présent Cahier des clauses administratives particulières (CCAP) ; </w:t>
      </w:r>
    </w:p>
    <w:p w14:paraId="06299706" w14:textId="77777777" w:rsidR="000E4FDD" w:rsidRPr="00AA0525" w:rsidRDefault="000E4FDD" w:rsidP="00AA0525">
      <w:pPr>
        <w:autoSpaceDE w:val="0"/>
        <w:autoSpaceDN w:val="0"/>
        <w:adjustRightInd w:val="0"/>
        <w:spacing w:after="0" w:line="276" w:lineRule="auto"/>
        <w:rPr>
          <w:rFonts w:ascii="Arial" w:hAnsi="Arial" w:cs="Arial"/>
          <w:color w:val="000000"/>
          <w:szCs w:val="20"/>
        </w:rPr>
      </w:pPr>
      <w:r w:rsidRPr="00AA0525">
        <w:rPr>
          <w:rFonts w:ascii="Arial" w:hAnsi="Arial" w:cs="Arial"/>
          <w:color w:val="000000"/>
          <w:szCs w:val="20"/>
        </w:rPr>
        <w:t xml:space="preserve">- Le Cahier des clauses techniques particulières (CCTP) et ses annexes ; </w:t>
      </w:r>
    </w:p>
    <w:p w14:paraId="04937376" w14:textId="360FF633" w:rsidR="000E4FDD" w:rsidRPr="00AA0525" w:rsidRDefault="000E4FDD" w:rsidP="00AA0525">
      <w:pPr>
        <w:autoSpaceDE w:val="0"/>
        <w:autoSpaceDN w:val="0"/>
        <w:adjustRightInd w:val="0"/>
        <w:spacing w:after="0" w:line="276" w:lineRule="auto"/>
        <w:rPr>
          <w:rFonts w:ascii="Arial" w:hAnsi="Arial" w:cs="Arial"/>
          <w:color w:val="000000"/>
          <w:szCs w:val="20"/>
        </w:rPr>
      </w:pPr>
      <w:r w:rsidRPr="00AA0525">
        <w:rPr>
          <w:rFonts w:ascii="Arial" w:hAnsi="Arial" w:cs="Arial"/>
          <w:color w:val="000000"/>
          <w:szCs w:val="20"/>
        </w:rPr>
        <w:t>- Le bordereau de la Décomposition du Prix Global et Forfaitaire (</w:t>
      </w:r>
      <w:r w:rsidR="00CE1BF3" w:rsidRPr="00AA0525">
        <w:rPr>
          <w:rFonts w:ascii="Arial" w:hAnsi="Arial" w:cs="Arial"/>
          <w:color w:val="000000"/>
          <w:szCs w:val="20"/>
        </w:rPr>
        <w:t>DPGF) et</w:t>
      </w:r>
      <w:r w:rsidRPr="00AA0525">
        <w:rPr>
          <w:rFonts w:ascii="Arial" w:hAnsi="Arial" w:cs="Arial"/>
          <w:color w:val="000000"/>
          <w:szCs w:val="20"/>
        </w:rPr>
        <w:t xml:space="preserve"> des Prix Unitaires / Devis Quantitatif Estimatif (BPU/DQE)</w:t>
      </w:r>
    </w:p>
    <w:p w14:paraId="27C124C6" w14:textId="77777777" w:rsidR="000E4FDD" w:rsidRPr="009D3BD4" w:rsidRDefault="000E4FDD" w:rsidP="00AA0525">
      <w:pPr>
        <w:autoSpaceDE w:val="0"/>
        <w:autoSpaceDN w:val="0"/>
        <w:adjustRightInd w:val="0"/>
        <w:spacing w:after="0" w:line="276" w:lineRule="auto"/>
        <w:rPr>
          <w:rFonts w:ascii="Arial" w:hAnsi="Arial" w:cs="Arial"/>
          <w:color w:val="000000"/>
          <w:szCs w:val="20"/>
        </w:rPr>
      </w:pPr>
      <w:r w:rsidRPr="009D3BD4">
        <w:rPr>
          <w:rFonts w:ascii="Arial" w:hAnsi="Arial" w:cs="Arial"/>
          <w:color w:val="000000"/>
          <w:szCs w:val="20"/>
        </w:rPr>
        <w:t xml:space="preserve">- Le Cadre de Réponse Technique (CRT) ; </w:t>
      </w:r>
    </w:p>
    <w:p w14:paraId="37AC8E88" w14:textId="77777777" w:rsidR="000E4FDD" w:rsidRPr="009D3BD4" w:rsidRDefault="000E4FDD" w:rsidP="00AA0525">
      <w:pPr>
        <w:autoSpaceDE w:val="0"/>
        <w:autoSpaceDN w:val="0"/>
        <w:adjustRightInd w:val="0"/>
        <w:spacing w:after="0" w:line="276" w:lineRule="auto"/>
        <w:rPr>
          <w:rFonts w:ascii="Arial" w:hAnsi="Arial" w:cs="Arial"/>
          <w:color w:val="000000"/>
          <w:szCs w:val="20"/>
        </w:rPr>
      </w:pPr>
      <w:r w:rsidRPr="009D3BD4">
        <w:rPr>
          <w:rFonts w:ascii="Arial" w:hAnsi="Arial" w:cs="Arial"/>
          <w:color w:val="000000"/>
          <w:szCs w:val="20"/>
        </w:rPr>
        <w:t xml:space="preserve">- Le Cahier des clauses administratives générales (CCAG) applicables aux marchés publics de fournitures courantes et de services, approuvé par l'arrêté du 30 mars 2021 ; </w:t>
      </w:r>
    </w:p>
    <w:p w14:paraId="71E4BFA2" w14:textId="2B7A8C89" w:rsidR="000E4FDD" w:rsidRPr="00AA0525" w:rsidRDefault="000E4FDD" w:rsidP="00AA0525">
      <w:pPr>
        <w:autoSpaceDE w:val="0"/>
        <w:autoSpaceDN w:val="0"/>
        <w:adjustRightInd w:val="0"/>
        <w:spacing w:after="0" w:line="276" w:lineRule="auto"/>
        <w:rPr>
          <w:rFonts w:ascii="Arial" w:hAnsi="Arial" w:cs="Arial"/>
          <w:color w:val="000000"/>
          <w:szCs w:val="20"/>
        </w:rPr>
      </w:pPr>
      <w:r w:rsidRPr="009D3BD4">
        <w:rPr>
          <w:rFonts w:ascii="Arial" w:hAnsi="Arial" w:cs="Arial"/>
          <w:color w:val="000000"/>
          <w:szCs w:val="20"/>
        </w:rPr>
        <w:t xml:space="preserve">- Le mémoire </w:t>
      </w:r>
      <w:r w:rsidR="00AE0660" w:rsidRPr="009D3BD4">
        <w:rPr>
          <w:rFonts w:ascii="Arial" w:hAnsi="Arial" w:cs="Arial"/>
          <w:color w:val="000000"/>
          <w:szCs w:val="20"/>
        </w:rPr>
        <w:t>relatif à l’option robotique si cette option est retenue par GEM</w:t>
      </w:r>
      <w:r w:rsidRPr="009D3BD4">
        <w:rPr>
          <w:rFonts w:ascii="Arial" w:hAnsi="Arial" w:cs="Arial"/>
          <w:color w:val="000000"/>
          <w:szCs w:val="20"/>
        </w:rPr>
        <w:t xml:space="preserve"> ;</w:t>
      </w:r>
      <w:r w:rsidRPr="00AA0525">
        <w:rPr>
          <w:rFonts w:ascii="Arial" w:hAnsi="Arial" w:cs="Arial"/>
          <w:color w:val="000000"/>
          <w:szCs w:val="20"/>
        </w:rPr>
        <w:t xml:space="preserve"> </w:t>
      </w:r>
    </w:p>
    <w:p w14:paraId="3F5BAB7E" w14:textId="7B950EE6" w:rsidR="000E4FDD" w:rsidRPr="00AA0525" w:rsidRDefault="000E4FDD" w:rsidP="00AA0525">
      <w:pPr>
        <w:spacing w:after="0" w:line="276" w:lineRule="auto"/>
        <w:jc w:val="both"/>
        <w:rPr>
          <w:rFonts w:ascii="Arial" w:hAnsi="Arial" w:cs="Arial"/>
          <w:color w:val="000000"/>
          <w:szCs w:val="20"/>
        </w:rPr>
      </w:pPr>
      <w:r w:rsidRPr="00AA0525">
        <w:rPr>
          <w:rFonts w:ascii="Arial" w:hAnsi="Arial" w:cs="Arial"/>
          <w:color w:val="000000"/>
          <w:szCs w:val="20"/>
        </w:rPr>
        <w:t xml:space="preserve">- Les actes spéciaux de sous-traitance et leurs éventuels actes modificatifs, postérieurs à la notification du marché. </w:t>
      </w:r>
    </w:p>
    <w:p w14:paraId="20699806" w14:textId="09BB948B" w:rsidR="000E4FDD" w:rsidRPr="00AA0525" w:rsidRDefault="009A6BCE" w:rsidP="00AA0525">
      <w:pPr>
        <w:spacing w:after="0" w:line="276" w:lineRule="auto"/>
        <w:jc w:val="both"/>
        <w:rPr>
          <w:rFonts w:ascii="Arial" w:hAnsi="Arial" w:cs="Arial"/>
          <w:color w:val="000000"/>
          <w:szCs w:val="20"/>
        </w:rPr>
      </w:pPr>
      <w:r w:rsidRPr="00AA0525">
        <w:rPr>
          <w:rFonts w:ascii="Arial" w:hAnsi="Arial" w:cs="Arial"/>
          <w:color w:val="000000"/>
          <w:szCs w:val="20"/>
        </w:rPr>
        <w:t xml:space="preserve">- </w:t>
      </w:r>
      <w:r w:rsidR="000E4FDD" w:rsidRPr="00AA0525">
        <w:rPr>
          <w:rFonts w:ascii="Arial" w:hAnsi="Arial" w:cs="Arial"/>
          <w:color w:val="000000"/>
          <w:szCs w:val="20"/>
        </w:rPr>
        <w:t>La charte des achats responsables</w:t>
      </w:r>
    </w:p>
    <w:p w14:paraId="1BB87AE5" w14:textId="21F2CB66" w:rsidR="004903D8" w:rsidRDefault="004903D8" w:rsidP="00AD5A30">
      <w:pPr>
        <w:pStyle w:val="Titre1"/>
      </w:pPr>
      <w:bookmarkStart w:id="13" w:name="_Toc185398495"/>
      <w:bookmarkStart w:id="14" w:name="_Toc430330057"/>
      <w:r w:rsidRPr="00522244">
        <w:t>Délais d’exécution</w:t>
      </w:r>
      <w:bookmarkEnd w:id="13"/>
      <w:r w:rsidRPr="00522244">
        <w:t xml:space="preserve"> </w:t>
      </w:r>
      <w:bookmarkEnd w:id="14"/>
    </w:p>
    <w:p w14:paraId="714C94D5" w14:textId="3C35C7DA" w:rsidR="004903D8" w:rsidRDefault="004903D8" w:rsidP="004903D8">
      <w:pPr>
        <w:keepLines/>
        <w:tabs>
          <w:tab w:val="left" w:pos="567"/>
          <w:tab w:val="left" w:pos="851"/>
          <w:tab w:val="left" w:pos="1134"/>
        </w:tabs>
        <w:spacing w:after="0"/>
        <w:ind w:left="284" w:firstLine="284"/>
        <w:jc w:val="both"/>
        <w:rPr>
          <w:rFonts w:ascii="Arial" w:eastAsia="Times New Roman" w:hAnsi="Arial" w:cs="Arial"/>
          <w:szCs w:val="20"/>
        </w:rPr>
      </w:pPr>
    </w:p>
    <w:p w14:paraId="2DFE4C04" w14:textId="1007EAEA" w:rsidR="00D847C8" w:rsidRPr="00A52C42" w:rsidRDefault="00D847C8" w:rsidP="00D847C8">
      <w:pPr>
        <w:pStyle w:val="Normal2"/>
        <w:spacing w:line="280" w:lineRule="exact"/>
        <w:ind w:left="0" w:right="-569" w:firstLine="0"/>
        <w:rPr>
          <w:sz w:val="20"/>
        </w:rPr>
      </w:pPr>
      <w:r w:rsidRPr="00947A0D">
        <w:rPr>
          <w:rFonts w:ascii="Arial" w:hAnsi="Arial"/>
          <w:szCs w:val="24"/>
        </w:rPr>
        <w:t>Le délai</w:t>
      </w:r>
      <w:r>
        <w:rPr>
          <w:rFonts w:ascii="Arial" w:hAnsi="Arial"/>
          <w:szCs w:val="24"/>
        </w:rPr>
        <w:t xml:space="preserve"> global</w:t>
      </w:r>
      <w:r w:rsidRPr="00947A0D">
        <w:rPr>
          <w:rFonts w:ascii="Arial" w:hAnsi="Arial"/>
          <w:szCs w:val="24"/>
        </w:rPr>
        <w:t xml:space="preserve"> d’exécution des prestations commence à courir à compter de la notification </w:t>
      </w:r>
      <w:r>
        <w:rPr>
          <w:rFonts w:ascii="Arial" w:hAnsi="Arial"/>
          <w:szCs w:val="24"/>
        </w:rPr>
        <w:t xml:space="preserve">du présent accord cadre. </w:t>
      </w:r>
    </w:p>
    <w:p w14:paraId="03A10070" w14:textId="529A6FA6" w:rsidR="000E4FDD" w:rsidRDefault="000E4FDD" w:rsidP="00B066BF">
      <w:pPr>
        <w:autoSpaceDE w:val="0"/>
        <w:autoSpaceDN w:val="0"/>
        <w:adjustRightInd w:val="0"/>
        <w:spacing w:after="0" w:line="240" w:lineRule="auto"/>
        <w:jc w:val="both"/>
        <w:rPr>
          <w:rFonts w:ascii="Helvetica" w:hAnsi="Helvetica" w:cs="Helvetica"/>
        </w:rPr>
      </w:pPr>
    </w:p>
    <w:p w14:paraId="42D6B12D" w14:textId="2F6629FF" w:rsidR="00F95475" w:rsidRDefault="00F95475" w:rsidP="00AD5A30">
      <w:pPr>
        <w:pStyle w:val="Titre1"/>
      </w:pPr>
      <w:bookmarkStart w:id="15" w:name="_Toc185398496"/>
      <w:r w:rsidRPr="000E4FDD">
        <w:t>Confidentialité et mesure de sécurité</w:t>
      </w:r>
      <w:bookmarkEnd w:id="15"/>
      <w:r w:rsidRPr="000E4FDD">
        <w:t xml:space="preserve"> </w:t>
      </w:r>
    </w:p>
    <w:p w14:paraId="24B66491" w14:textId="77777777" w:rsidR="000E4FDD" w:rsidRPr="00674252" w:rsidRDefault="000E4FDD" w:rsidP="00674252">
      <w:pPr>
        <w:pStyle w:val="Sansinterligne"/>
        <w:spacing w:line="276" w:lineRule="auto"/>
        <w:rPr>
          <w:rFonts w:ascii="Arial" w:hAnsi="Arial" w:cs="Arial"/>
        </w:rPr>
      </w:pPr>
      <w:bookmarkStart w:id="16" w:name="_Toc430330060"/>
      <w:r w:rsidRPr="00674252">
        <w:rPr>
          <w:rFonts w:ascii="Arial" w:hAnsi="Arial" w:cs="Arial"/>
        </w:rPr>
        <w:t>Le présent accord-cadre comporte une obligation de confidentialité telle que prévue à l'article 5.1 du CCAG-FCS.</w:t>
      </w:r>
    </w:p>
    <w:p w14:paraId="7D053503" w14:textId="4BB30D6E" w:rsidR="000E4FDD" w:rsidRPr="00674252" w:rsidRDefault="000E4FDD" w:rsidP="00674252">
      <w:pPr>
        <w:pStyle w:val="Sansinterligne"/>
        <w:spacing w:line="276" w:lineRule="auto"/>
        <w:rPr>
          <w:rFonts w:ascii="Arial" w:hAnsi="Arial" w:cs="Arial"/>
        </w:rPr>
      </w:pPr>
      <w:r w:rsidRPr="00674252">
        <w:rPr>
          <w:rFonts w:ascii="Arial" w:hAnsi="Arial" w:cs="Arial"/>
        </w:rPr>
        <w:t>Le titulaire doit informer ses sous-traitants des obligations de confidentialité et/ou des mesures de sécurité.</w:t>
      </w:r>
    </w:p>
    <w:p w14:paraId="312911AB" w14:textId="4C08268F" w:rsidR="004903D8" w:rsidRPr="00522244" w:rsidRDefault="004903D8" w:rsidP="00AD5A30">
      <w:pPr>
        <w:pStyle w:val="Titre1"/>
      </w:pPr>
      <w:bookmarkStart w:id="17" w:name="_Toc185398497"/>
      <w:r w:rsidRPr="00522244">
        <w:lastRenderedPageBreak/>
        <w:t>Conditions d’exécution de</w:t>
      </w:r>
      <w:bookmarkEnd w:id="16"/>
      <w:r w:rsidR="00B066BF">
        <w:t>s prestations</w:t>
      </w:r>
      <w:bookmarkEnd w:id="17"/>
    </w:p>
    <w:p w14:paraId="2BA6CD2A" w14:textId="4020E561" w:rsidR="00FD562F" w:rsidRDefault="00FD562F" w:rsidP="004903D8">
      <w:pPr>
        <w:keepLines/>
        <w:tabs>
          <w:tab w:val="left" w:pos="567"/>
          <w:tab w:val="left" w:pos="851"/>
          <w:tab w:val="left" w:pos="1134"/>
        </w:tabs>
        <w:spacing w:after="0"/>
        <w:ind w:left="284"/>
        <w:jc w:val="both"/>
        <w:rPr>
          <w:rFonts w:ascii="Arial" w:eastAsia="Times New Roman" w:hAnsi="Arial" w:cs="Arial"/>
          <w:szCs w:val="20"/>
        </w:rPr>
      </w:pPr>
    </w:p>
    <w:p w14:paraId="309D5DE4" w14:textId="442BF3E7" w:rsidR="00B066BF" w:rsidRDefault="00B066BF" w:rsidP="00B066BF">
      <w:pPr>
        <w:autoSpaceDE w:val="0"/>
        <w:autoSpaceDN w:val="0"/>
        <w:adjustRightInd w:val="0"/>
        <w:spacing w:after="0" w:line="240" w:lineRule="auto"/>
        <w:jc w:val="both"/>
        <w:rPr>
          <w:rFonts w:ascii="Helvetica" w:hAnsi="Helvetica" w:cs="Helvetica"/>
        </w:rPr>
      </w:pPr>
      <w:r>
        <w:rPr>
          <w:rFonts w:ascii="Helvetica" w:hAnsi="Helvetica" w:cs="Helvetica"/>
        </w:rPr>
        <w:t>L’exécution des pre</w:t>
      </w:r>
      <w:r w:rsidR="000E4FDD">
        <w:rPr>
          <w:rFonts w:ascii="Helvetica" w:hAnsi="Helvetica" w:cs="Helvetica"/>
        </w:rPr>
        <w:t>stations se fera sur la base du CCTP et des demande</w:t>
      </w:r>
      <w:r w:rsidR="009A6BCE">
        <w:rPr>
          <w:rFonts w:ascii="Helvetica" w:hAnsi="Helvetica" w:cs="Helvetica"/>
        </w:rPr>
        <w:t>s</w:t>
      </w:r>
      <w:r w:rsidR="000E4FDD">
        <w:rPr>
          <w:rFonts w:ascii="Helvetica" w:hAnsi="Helvetica" w:cs="Helvetica"/>
        </w:rPr>
        <w:t xml:space="preserve"> de prestations complémentaire</w:t>
      </w:r>
      <w:r>
        <w:rPr>
          <w:rFonts w:ascii="Helvetica" w:hAnsi="Helvetica" w:cs="Helvetica"/>
        </w:rPr>
        <w:t xml:space="preserve"> par la ou les personnes habilitées</w:t>
      </w:r>
      <w:r w:rsidR="009A6BCE">
        <w:rPr>
          <w:rFonts w:ascii="Helvetica" w:hAnsi="Helvetica" w:cs="Helvetica"/>
        </w:rPr>
        <w:t xml:space="preserve">, selon le processus expliqué à l’article 10 </w:t>
      </w:r>
      <w:r w:rsidR="005E4562">
        <w:rPr>
          <w:rFonts w:ascii="Helvetica" w:hAnsi="Helvetica" w:cs="Helvetica"/>
        </w:rPr>
        <w:t>ci-dessous</w:t>
      </w:r>
      <w:r>
        <w:rPr>
          <w:rFonts w:ascii="Helvetica" w:hAnsi="Helvetica" w:cs="Helvetica"/>
        </w:rPr>
        <w:t>.</w:t>
      </w:r>
    </w:p>
    <w:p w14:paraId="317191A6" w14:textId="6CF43537" w:rsidR="00B066BF" w:rsidRDefault="00B066BF" w:rsidP="00B066BF">
      <w:pPr>
        <w:autoSpaceDE w:val="0"/>
        <w:autoSpaceDN w:val="0"/>
        <w:adjustRightInd w:val="0"/>
        <w:spacing w:after="0" w:line="240" w:lineRule="auto"/>
        <w:jc w:val="both"/>
        <w:rPr>
          <w:rFonts w:ascii="Helvetica" w:hAnsi="Helvetica" w:cs="Helvetica"/>
        </w:rPr>
      </w:pPr>
      <w:r>
        <w:rPr>
          <w:rFonts w:ascii="Helvetica" w:hAnsi="Helvetica" w:cs="Helvetica"/>
        </w:rPr>
        <w:t>Les prestations devront être conformes aux stipulations du marché (les normes et spécifications techniques applicables étant celles en vigueur à la date du marché).</w:t>
      </w:r>
    </w:p>
    <w:p w14:paraId="4304BE6E" w14:textId="77777777" w:rsidR="00B066BF" w:rsidRDefault="00B066BF" w:rsidP="00B066BF">
      <w:pPr>
        <w:autoSpaceDE w:val="0"/>
        <w:autoSpaceDN w:val="0"/>
        <w:adjustRightInd w:val="0"/>
        <w:spacing w:after="0" w:line="240" w:lineRule="auto"/>
        <w:rPr>
          <w:rFonts w:ascii="Helvetica" w:hAnsi="Helvetica" w:cs="Helvetica"/>
        </w:rPr>
      </w:pPr>
    </w:p>
    <w:p w14:paraId="5FE01D5B" w14:textId="6A580632" w:rsidR="00FD562F" w:rsidRPr="0008640F" w:rsidRDefault="00B066BF" w:rsidP="00AD5A30">
      <w:pPr>
        <w:pStyle w:val="Titre1"/>
      </w:pPr>
      <w:bookmarkStart w:id="18" w:name="_Toc185398498"/>
      <w:r w:rsidRPr="00B066BF">
        <w:t>Constatation de l’exécution des prestations</w:t>
      </w:r>
      <w:bookmarkEnd w:id="18"/>
    </w:p>
    <w:p w14:paraId="7AF087CB" w14:textId="59B40A8D" w:rsidR="009A6BCE" w:rsidRPr="009A6BCE" w:rsidRDefault="009A6BCE" w:rsidP="00AA0525">
      <w:pPr>
        <w:pStyle w:val="Titre2"/>
        <w:numPr>
          <w:ilvl w:val="0"/>
          <w:numId w:val="0"/>
        </w:numPr>
        <w:ind w:left="576"/>
      </w:pPr>
      <w:bookmarkStart w:id="19" w:name="_Toc185398499"/>
      <w:r w:rsidRPr="009A6BCE">
        <w:t>6-1 Vérifications</w:t>
      </w:r>
      <w:bookmarkEnd w:id="19"/>
    </w:p>
    <w:p w14:paraId="789677D8" w14:textId="77777777" w:rsidR="009A6BCE" w:rsidRPr="00F913E1" w:rsidRDefault="009A6BCE" w:rsidP="009A6BCE">
      <w:pPr>
        <w:rPr>
          <w:rFonts w:ascii="Helvetica" w:hAnsi="Helvetica" w:cs="Helvetica"/>
        </w:rPr>
      </w:pPr>
      <w:r w:rsidRPr="00F913E1">
        <w:rPr>
          <w:rFonts w:ascii="Helvetica" w:hAnsi="Helvetica" w:cs="Helvetica"/>
        </w:rPr>
        <w:t>Les vérifications quantitatives et qualitatives simples seront effectuées au moment même de la livraison de la fourniture ou de l'exécution de service (examen sommaire) conformément aux articles 27 et 28.2 du CCAG-FCS.</w:t>
      </w:r>
    </w:p>
    <w:p w14:paraId="3F809879" w14:textId="1507323D" w:rsidR="009A6BCE" w:rsidRPr="009A6BCE" w:rsidRDefault="009A6BCE" w:rsidP="009A6BCE">
      <w:pPr>
        <w:rPr>
          <w:rFonts w:ascii="Helvetica" w:hAnsi="Helvetica" w:cs="Helvetica"/>
        </w:rPr>
      </w:pPr>
      <w:r w:rsidRPr="00F913E1">
        <w:rPr>
          <w:rFonts w:ascii="Helvetica" w:hAnsi="Helvetica" w:cs="Helvetica"/>
        </w:rPr>
        <w:t>Grenoble Ecole de Management pourra procéder à tous les contrôles qu'il jugera nécessaire en vue de vérifier la conformité des prestations, selon les exigences stipulées aux CCTP.</w:t>
      </w:r>
    </w:p>
    <w:p w14:paraId="43662F4D" w14:textId="1FEBE48E" w:rsidR="009A6BCE" w:rsidRPr="009A6BCE" w:rsidRDefault="009A6BCE" w:rsidP="00AA0525">
      <w:pPr>
        <w:pStyle w:val="Titre2"/>
        <w:numPr>
          <w:ilvl w:val="0"/>
          <w:numId w:val="0"/>
        </w:numPr>
        <w:ind w:left="576"/>
      </w:pPr>
      <w:bookmarkStart w:id="20" w:name="_Toc185398500"/>
      <w:r w:rsidRPr="009A6BCE">
        <w:t>6-2 - Décision après vérification</w:t>
      </w:r>
      <w:bookmarkEnd w:id="20"/>
    </w:p>
    <w:p w14:paraId="1C7F2E3D" w14:textId="4231728A" w:rsidR="00953A7C" w:rsidRPr="00F913E1" w:rsidRDefault="009A6BCE" w:rsidP="009A6BCE">
      <w:pPr>
        <w:rPr>
          <w:rFonts w:ascii="Helvetica" w:hAnsi="Helvetica" w:cs="Helvetica"/>
        </w:rPr>
      </w:pPr>
      <w:r w:rsidRPr="00F913E1">
        <w:rPr>
          <w:rFonts w:ascii="Helvetica" w:hAnsi="Helvetica" w:cs="Helvetica"/>
        </w:rPr>
        <w:t>A l'issue des opérations de vérification, le pouvoir adjudicateur prendra sa décision dans les conditions prévues aux articles 29 et 30 du CCAG-FCS.</w:t>
      </w:r>
    </w:p>
    <w:p w14:paraId="365C6C59" w14:textId="35859A6F" w:rsidR="008C6249" w:rsidRPr="00F913E1" w:rsidRDefault="008C6249" w:rsidP="008C6249">
      <w:pPr>
        <w:keepLines/>
        <w:tabs>
          <w:tab w:val="left" w:pos="567"/>
          <w:tab w:val="left" w:pos="851"/>
          <w:tab w:val="left" w:pos="1134"/>
        </w:tabs>
        <w:spacing w:after="0"/>
        <w:ind w:left="284"/>
        <w:jc w:val="both"/>
        <w:rPr>
          <w:rFonts w:ascii="Arial" w:eastAsia="Times New Roman" w:hAnsi="Arial" w:cs="Arial"/>
          <w:szCs w:val="20"/>
        </w:rPr>
      </w:pPr>
      <w:r w:rsidRPr="00F913E1">
        <w:rPr>
          <w:rFonts w:ascii="Arial" w:eastAsia="Times New Roman" w:hAnsi="Arial" w:cs="Arial"/>
          <w:szCs w:val="20"/>
        </w:rPr>
        <w:t xml:space="preserve">Les vérifications quantitatives et qualitatives simples sont effectuées au moment même de la livraison conformément aux </w:t>
      </w:r>
      <w:r w:rsidR="00FE3FF7" w:rsidRPr="00F913E1">
        <w:rPr>
          <w:rFonts w:ascii="Arial" w:eastAsia="Times New Roman" w:hAnsi="Arial" w:cs="Arial"/>
          <w:szCs w:val="20"/>
        </w:rPr>
        <w:t>articles 27</w:t>
      </w:r>
      <w:r w:rsidRPr="00F913E1">
        <w:rPr>
          <w:rFonts w:ascii="Arial" w:eastAsia="Times New Roman" w:hAnsi="Arial" w:cs="Arial"/>
          <w:szCs w:val="20"/>
        </w:rPr>
        <w:t xml:space="preserve"> et 28 du C.C.A.G.-F.C.S.</w:t>
      </w:r>
    </w:p>
    <w:p w14:paraId="12B551A6" w14:textId="77777777" w:rsidR="008C6249" w:rsidRPr="00F913E1" w:rsidRDefault="008C6249" w:rsidP="008C6249">
      <w:pPr>
        <w:keepLines/>
        <w:tabs>
          <w:tab w:val="left" w:pos="567"/>
          <w:tab w:val="left" w:pos="851"/>
          <w:tab w:val="left" w:pos="1134"/>
        </w:tabs>
        <w:spacing w:after="0"/>
        <w:ind w:left="284"/>
        <w:jc w:val="both"/>
        <w:rPr>
          <w:rFonts w:ascii="Arial" w:eastAsia="Times New Roman" w:hAnsi="Arial" w:cs="Arial"/>
          <w:szCs w:val="20"/>
        </w:rPr>
      </w:pPr>
    </w:p>
    <w:p w14:paraId="510A1370" w14:textId="72D57EB5" w:rsidR="008C6249" w:rsidRDefault="008C6249" w:rsidP="008C6249">
      <w:pPr>
        <w:keepLines/>
        <w:tabs>
          <w:tab w:val="left" w:pos="567"/>
          <w:tab w:val="left" w:pos="851"/>
          <w:tab w:val="left" w:pos="1134"/>
        </w:tabs>
        <w:spacing w:after="0"/>
        <w:ind w:left="284"/>
        <w:jc w:val="both"/>
        <w:rPr>
          <w:rFonts w:ascii="Arial" w:eastAsia="Times New Roman" w:hAnsi="Arial" w:cs="Arial"/>
          <w:szCs w:val="20"/>
        </w:rPr>
      </w:pPr>
      <w:r w:rsidRPr="00F913E1">
        <w:rPr>
          <w:rFonts w:ascii="Arial" w:eastAsia="Times New Roman" w:hAnsi="Arial" w:cs="Arial"/>
          <w:szCs w:val="20"/>
        </w:rPr>
        <w:t xml:space="preserve">A l’issue des opérations de vérification, le pouvoir adjudicateur prendra sa décision dans les conditions prévues aux </w:t>
      </w:r>
      <w:r w:rsidR="00FE3FF7" w:rsidRPr="00F913E1">
        <w:rPr>
          <w:rFonts w:ascii="Arial" w:eastAsia="Times New Roman" w:hAnsi="Arial" w:cs="Arial"/>
          <w:szCs w:val="20"/>
        </w:rPr>
        <w:t>articles 29</w:t>
      </w:r>
      <w:r w:rsidRPr="00F913E1">
        <w:rPr>
          <w:rFonts w:ascii="Arial" w:eastAsia="Times New Roman" w:hAnsi="Arial" w:cs="Arial"/>
          <w:szCs w:val="20"/>
        </w:rPr>
        <w:t xml:space="preserve"> et 30 du C.C.A.G.-F.C.S.</w:t>
      </w:r>
    </w:p>
    <w:p w14:paraId="7495EAC5" w14:textId="77777777" w:rsidR="008C6249" w:rsidRPr="00B066BF" w:rsidRDefault="008C6249" w:rsidP="00B066BF">
      <w:pPr>
        <w:autoSpaceDE w:val="0"/>
        <w:autoSpaceDN w:val="0"/>
        <w:adjustRightInd w:val="0"/>
        <w:spacing w:after="0" w:line="240" w:lineRule="auto"/>
        <w:jc w:val="both"/>
        <w:rPr>
          <w:rFonts w:ascii="Helvetica" w:hAnsi="Helvetica" w:cs="Helvetica"/>
        </w:rPr>
      </w:pPr>
    </w:p>
    <w:p w14:paraId="7C93358D" w14:textId="724CBC04" w:rsidR="004903D8" w:rsidRDefault="004903D8" w:rsidP="00AD5A30">
      <w:pPr>
        <w:pStyle w:val="Titre1"/>
      </w:pPr>
      <w:bookmarkStart w:id="21" w:name="_Toc185398501"/>
      <w:bookmarkStart w:id="22" w:name="_Toc430330064"/>
      <w:r w:rsidRPr="00522244">
        <w:t>Avance</w:t>
      </w:r>
      <w:bookmarkEnd w:id="21"/>
      <w:r w:rsidRPr="00522244">
        <w:t xml:space="preserve"> </w:t>
      </w:r>
      <w:bookmarkEnd w:id="22"/>
    </w:p>
    <w:p w14:paraId="752CE895" w14:textId="77777777" w:rsidR="00637686" w:rsidRPr="00637686" w:rsidRDefault="00637686" w:rsidP="00637686">
      <w:pPr>
        <w:rPr>
          <w:rFonts w:ascii="Helvetica" w:hAnsi="Helvetica" w:cs="Helvetica"/>
        </w:rPr>
      </w:pPr>
      <w:r w:rsidRPr="00637686">
        <w:rPr>
          <w:rFonts w:ascii="Helvetica" w:hAnsi="Helvetica" w:cs="Helvetica"/>
        </w:rPr>
        <w:t>L'option retenue pour le calcul de l'avance est l'option B du CCAG - Fournitures Courantes et Services.</w:t>
      </w:r>
    </w:p>
    <w:p w14:paraId="56E3A506" w14:textId="45C60B44" w:rsidR="00637686" w:rsidRPr="00637686" w:rsidRDefault="00637686" w:rsidP="00AA0525">
      <w:pPr>
        <w:pStyle w:val="Titre2"/>
        <w:numPr>
          <w:ilvl w:val="0"/>
          <w:numId w:val="0"/>
        </w:numPr>
        <w:ind w:left="576"/>
      </w:pPr>
      <w:bookmarkStart w:id="23" w:name="_Toc185398502"/>
      <w:r>
        <w:t>7</w:t>
      </w:r>
      <w:r w:rsidRPr="00637686">
        <w:t>.1 - Conditions de versement et de remboursement</w:t>
      </w:r>
      <w:bookmarkEnd w:id="23"/>
    </w:p>
    <w:p w14:paraId="763EAB9F" w14:textId="77777777" w:rsidR="00637686" w:rsidRPr="00637686" w:rsidRDefault="00637686" w:rsidP="00637686">
      <w:pPr>
        <w:rPr>
          <w:rFonts w:ascii="Helvetica" w:hAnsi="Helvetica" w:cs="Helvetica"/>
        </w:rPr>
      </w:pPr>
      <w:r w:rsidRPr="00637686">
        <w:rPr>
          <w:rFonts w:ascii="Helvetica" w:hAnsi="Helvetica" w:cs="Helvetica"/>
        </w:rPr>
        <w:t>Une avance est accordée pour chaque bon de commande d'un montant supérieur à 50.000 € HT et dans la mesure où le délai d'exécution est supérieur à 2 mois, sauf indication contraire dans l'acte d'engagement.</w:t>
      </w:r>
    </w:p>
    <w:p w14:paraId="5D4AE7CC" w14:textId="77777777" w:rsidR="00637686" w:rsidRPr="00637686" w:rsidRDefault="00637686" w:rsidP="00637686">
      <w:pPr>
        <w:rPr>
          <w:rFonts w:ascii="Helvetica" w:hAnsi="Helvetica" w:cs="Helvetica"/>
        </w:rPr>
      </w:pPr>
      <w:r w:rsidRPr="00637686">
        <w:rPr>
          <w:rFonts w:ascii="Helvetica" w:hAnsi="Helvetica" w:cs="Helvetica"/>
        </w:rPr>
        <w:t>Le montant de l'avance est fixé à 10,0 % du montant du bon de commande si la durée de son exécution est inférieure ou égale à douze mois ; si cette durée est supérieure à douze mois, l'avance est égale à 10,0 % d'une somme égale à douze fois le montant du bon de commande divisé par cette durée exprimée en mois.</w:t>
      </w:r>
    </w:p>
    <w:p w14:paraId="1DAB72D3" w14:textId="77777777" w:rsidR="00637686" w:rsidRPr="00637686" w:rsidRDefault="00637686" w:rsidP="00637686">
      <w:pPr>
        <w:rPr>
          <w:rFonts w:ascii="Helvetica" w:hAnsi="Helvetica" w:cs="Helvetica"/>
        </w:rPr>
      </w:pPr>
      <w:r w:rsidRPr="00637686">
        <w:rPr>
          <w:rFonts w:ascii="Helvetica" w:hAnsi="Helvetica" w:cs="Helvetica"/>
        </w:rPr>
        <w:t>Ce taux est fixé à 10,0 % lorsque le titulaire du marché public est une petite et moyenne entreprise mentionnée à l'article R. 2151-13 du Code de la commande publique.</w:t>
      </w:r>
    </w:p>
    <w:p w14:paraId="5560C9D7" w14:textId="77777777" w:rsidR="00637686" w:rsidRPr="00637686" w:rsidRDefault="00637686" w:rsidP="00637686">
      <w:pPr>
        <w:rPr>
          <w:rFonts w:ascii="Helvetica" w:hAnsi="Helvetica" w:cs="Helvetica"/>
        </w:rPr>
      </w:pPr>
      <w:r w:rsidRPr="00637686">
        <w:rPr>
          <w:rFonts w:ascii="Helvetica" w:hAnsi="Helvetica" w:cs="Helvetica"/>
        </w:rPr>
        <w:t>Le remboursement de l'avance commence lorsque le montant des prestations exécutées par le titulaire atteint ou dépasse 65,0 % du montant du bon de commande. Il doit être terminé lorsque ledit montant atteint 80,0 %.</w:t>
      </w:r>
    </w:p>
    <w:p w14:paraId="7D2C17FD" w14:textId="77777777" w:rsidR="00637686" w:rsidRPr="00637686" w:rsidRDefault="00637686" w:rsidP="00637686">
      <w:pPr>
        <w:rPr>
          <w:rFonts w:ascii="Helvetica" w:hAnsi="Helvetica" w:cs="Helvetica"/>
        </w:rPr>
      </w:pPr>
      <w:r w:rsidRPr="00637686">
        <w:rPr>
          <w:rFonts w:ascii="Helvetica" w:hAnsi="Helvetica" w:cs="Helvetica"/>
        </w:rPr>
        <w:t>Ce remboursement s'effectue par précompte sur les sommes dues ultérieurement au titulaire à titre d'acompte ou de solde.</w:t>
      </w:r>
    </w:p>
    <w:p w14:paraId="1FA151C7" w14:textId="77777777" w:rsidR="00637686" w:rsidRPr="00637686" w:rsidRDefault="00637686" w:rsidP="00637686">
      <w:pPr>
        <w:rPr>
          <w:rFonts w:ascii="Helvetica" w:hAnsi="Helvetica" w:cs="Helvetica"/>
        </w:rPr>
      </w:pPr>
      <w:r w:rsidRPr="00637686">
        <w:rPr>
          <w:rFonts w:ascii="Helvetica" w:hAnsi="Helvetica" w:cs="Helvetica"/>
        </w:rPr>
        <w:lastRenderedPageBreak/>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0ACB055B" w14:textId="77777777" w:rsidR="00637686" w:rsidRPr="00637686" w:rsidRDefault="00637686" w:rsidP="00637686">
      <w:pPr>
        <w:rPr>
          <w:rFonts w:ascii="Helvetica" w:hAnsi="Helvetica" w:cs="Helvetica"/>
        </w:rPr>
      </w:pPr>
      <w:r w:rsidRPr="00637686">
        <w:rPr>
          <w:rFonts w:ascii="Helvetica" w:hAnsi="Helvetica" w:cs="Helvetica"/>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2999212B" w14:textId="4BBE742D" w:rsidR="00637686" w:rsidRPr="00637686" w:rsidRDefault="00637686" w:rsidP="00AA0525">
      <w:pPr>
        <w:pStyle w:val="Titre2"/>
        <w:numPr>
          <w:ilvl w:val="0"/>
          <w:numId w:val="0"/>
        </w:numPr>
        <w:ind w:left="576"/>
      </w:pPr>
      <w:bookmarkStart w:id="24" w:name="_Toc185398503"/>
      <w:r>
        <w:t>7</w:t>
      </w:r>
      <w:r w:rsidRPr="00637686">
        <w:t>.2 - Garanties financières de l'avance</w:t>
      </w:r>
      <w:bookmarkEnd w:id="24"/>
    </w:p>
    <w:p w14:paraId="01E506AF" w14:textId="276314B7" w:rsidR="009C5E73" w:rsidRDefault="00637686" w:rsidP="00637686">
      <w:pPr>
        <w:rPr>
          <w:rFonts w:ascii="Helvetica" w:hAnsi="Helvetica" w:cs="Helvetica"/>
        </w:rPr>
      </w:pPr>
      <w:r w:rsidRPr="00637686">
        <w:rPr>
          <w:rFonts w:ascii="Helvetica" w:hAnsi="Helvetica" w:cs="Helvetica"/>
        </w:rPr>
        <w:t>Aucune garantie financière ne sera demandée au titulaire pour le versement de l'avance.</w:t>
      </w:r>
    </w:p>
    <w:p w14:paraId="1F1E81EE" w14:textId="77777777" w:rsidR="00637686" w:rsidRDefault="00637686" w:rsidP="00637686">
      <w:pPr>
        <w:rPr>
          <w:rFonts w:ascii="Helvetica" w:hAnsi="Helvetica" w:cs="Helvetica"/>
        </w:rPr>
      </w:pPr>
    </w:p>
    <w:p w14:paraId="781A2EBD" w14:textId="7B208900" w:rsidR="004903D8" w:rsidRDefault="009A6BCE" w:rsidP="00AD5A30">
      <w:pPr>
        <w:pStyle w:val="Titre1"/>
      </w:pPr>
      <w:bookmarkStart w:id="25" w:name="_Toc430330065"/>
      <w:r>
        <w:t xml:space="preserve"> </w:t>
      </w:r>
      <w:bookmarkStart w:id="26" w:name="_Toc185398504"/>
      <w:r>
        <w:t>Modalité de commande et p</w:t>
      </w:r>
      <w:r w:rsidR="00440B1D" w:rsidRPr="008C6249">
        <w:t>rix</w:t>
      </w:r>
      <w:r w:rsidR="009C5E73">
        <w:t xml:space="preserve"> de l’accord cadre </w:t>
      </w:r>
      <w:r w:rsidR="003544BF">
        <w:t>par lot</w:t>
      </w:r>
      <w:bookmarkEnd w:id="26"/>
    </w:p>
    <w:p w14:paraId="7149787E" w14:textId="4E797BE7" w:rsidR="00440B1D" w:rsidRDefault="00440B1D" w:rsidP="004903D8">
      <w:pPr>
        <w:keepLines/>
        <w:tabs>
          <w:tab w:val="left" w:pos="284"/>
          <w:tab w:val="left" w:pos="567"/>
          <w:tab w:val="left" w:pos="851"/>
        </w:tabs>
        <w:spacing w:after="0"/>
        <w:ind w:firstLine="284"/>
        <w:jc w:val="both"/>
        <w:rPr>
          <w:rFonts w:ascii="Arial" w:eastAsia="Times New Roman" w:hAnsi="Arial" w:cs="Arial"/>
          <w:szCs w:val="20"/>
          <w:highlight w:val="cyan"/>
        </w:rPr>
      </w:pPr>
    </w:p>
    <w:p w14:paraId="45AE0F09" w14:textId="4B84849F" w:rsidR="003544BF" w:rsidRPr="00FD2E38" w:rsidRDefault="009C5E73" w:rsidP="009C5E73">
      <w:pPr>
        <w:jc w:val="both"/>
        <w:rPr>
          <w:rFonts w:ascii="Arial" w:eastAsia="Times New Roman" w:hAnsi="Arial" w:cs="Arial"/>
          <w:szCs w:val="20"/>
        </w:rPr>
      </w:pPr>
      <w:r w:rsidRPr="00FD2E38">
        <w:rPr>
          <w:rFonts w:ascii="Arial" w:eastAsia="Times New Roman" w:hAnsi="Arial" w:cs="Arial"/>
          <w:szCs w:val="20"/>
          <w:u w:val="single"/>
        </w:rPr>
        <w:t xml:space="preserve">Pour </w:t>
      </w:r>
      <w:r w:rsidR="003544BF" w:rsidRPr="00FD2E38">
        <w:rPr>
          <w:rFonts w:ascii="Arial" w:eastAsia="Times New Roman" w:hAnsi="Arial" w:cs="Arial"/>
          <w:szCs w:val="20"/>
          <w:u w:val="single"/>
        </w:rPr>
        <w:t xml:space="preserve">chacun des lots, </w:t>
      </w:r>
      <w:r w:rsidRPr="00FD2E38">
        <w:rPr>
          <w:rFonts w:ascii="Arial" w:eastAsia="Times New Roman" w:hAnsi="Arial" w:cs="Arial"/>
          <w:szCs w:val="20"/>
          <w:u w:val="single"/>
        </w:rPr>
        <w:t>l’accord-cadre</w:t>
      </w:r>
      <w:r w:rsidR="003544BF" w:rsidRPr="00FD2E38">
        <w:rPr>
          <w:rFonts w:ascii="Arial" w:eastAsia="Times New Roman" w:hAnsi="Arial" w:cs="Arial"/>
          <w:szCs w:val="20"/>
        </w:rPr>
        <w:t xml:space="preserve"> prévo</w:t>
      </w:r>
      <w:r w:rsidR="00623650" w:rsidRPr="00FD2E38">
        <w:rPr>
          <w:rFonts w:ascii="Arial" w:eastAsia="Times New Roman" w:hAnsi="Arial" w:cs="Arial"/>
          <w:szCs w:val="20"/>
        </w:rPr>
        <w:t>it</w:t>
      </w:r>
    </w:p>
    <w:p w14:paraId="61C50057" w14:textId="0606719C" w:rsidR="003544BF" w:rsidRPr="00FD2E38" w:rsidRDefault="003544BF" w:rsidP="008724E5">
      <w:pPr>
        <w:pStyle w:val="Paragraphedeliste"/>
        <w:numPr>
          <w:ilvl w:val="0"/>
          <w:numId w:val="5"/>
        </w:numPr>
        <w:jc w:val="both"/>
        <w:rPr>
          <w:rFonts w:ascii="Arial" w:eastAsia="Times New Roman" w:hAnsi="Arial" w:cs="Arial"/>
          <w:szCs w:val="20"/>
        </w:rPr>
      </w:pPr>
      <w:r w:rsidRPr="00FD2E38">
        <w:rPr>
          <w:rFonts w:ascii="Arial" w:eastAsia="Times New Roman" w:hAnsi="Arial" w:cs="Arial"/>
          <w:szCs w:val="20"/>
        </w:rPr>
        <w:t xml:space="preserve">Des prestations forfaitaires </w:t>
      </w:r>
      <w:r w:rsidR="00694D1A" w:rsidRPr="00FD2E38">
        <w:rPr>
          <w:rFonts w:ascii="Arial" w:eastAsia="Times New Roman" w:hAnsi="Arial" w:cs="Arial"/>
          <w:szCs w:val="20"/>
        </w:rPr>
        <w:t xml:space="preserve">(stipulées au </w:t>
      </w:r>
      <w:r w:rsidR="00637686" w:rsidRPr="00FD2E38">
        <w:rPr>
          <w:rFonts w:ascii="Arial" w:eastAsia="Times New Roman" w:hAnsi="Arial" w:cs="Arial"/>
          <w:szCs w:val="20"/>
        </w:rPr>
        <w:t>DPGF) pour les prestations récurrentes</w:t>
      </w:r>
      <w:r w:rsidR="00694D1A" w:rsidRPr="00FD2E38">
        <w:rPr>
          <w:rFonts w:ascii="Arial" w:eastAsia="Times New Roman" w:hAnsi="Arial" w:cs="Arial"/>
          <w:szCs w:val="20"/>
        </w:rPr>
        <w:t xml:space="preserve"> (avec un bon de commande annuel)</w:t>
      </w:r>
    </w:p>
    <w:p w14:paraId="35EA4EA7" w14:textId="65DCAA84" w:rsidR="00694D1A" w:rsidRPr="00FD2E38" w:rsidRDefault="003544BF" w:rsidP="008724E5">
      <w:pPr>
        <w:pStyle w:val="Paragraphedeliste"/>
        <w:keepLines/>
        <w:numPr>
          <w:ilvl w:val="0"/>
          <w:numId w:val="5"/>
        </w:numPr>
        <w:tabs>
          <w:tab w:val="left" w:pos="567"/>
          <w:tab w:val="left" w:pos="851"/>
          <w:tab w:val="left" w:pos="1134"/>
        </w:tabs>
        <w:spacing w:after="0"/>
        <w:jc w:val="both"/>
        <w:rPr>
          <w:rFonts w:ascii="Arial" w:eastAsia="Times New Roman" w:hAnsi="Arial" w:cs="Arial"/>
          <w:szCs w:val="20"/>
        </w:rPr>
      </w:pPr>
      <w:r w:rsidRPr="00FD2E38">
        <w:rPr>
          <w:rFonts w:ascii="Arial" w:eastAsia="Times New Roman" w:hAnsi="Arial" w:cs="Arial"/>
          <w:szCs w:val="20"/>
        </w:rPr>
        <w:t xml:space="preserve">Des prestations </w:t>
      </w:r>
      <w:r w:rsidR="00694D1A" w:rsidRPr="00FD2E38">
        <w:rPr>
          <w:rFonts w:ascii="Arial" w:eastAsia="Times New Roman" w:hAnsi="Arial" w:cs="Arial"/>
          <w:szCs w:val="20"/>
        </w:rPr>
        <w:t>sur</w:t>
      </w:r>
      <w:r w:rsidR="009C5E73" w:rsidRPr="00FD2E38">
        <w:rPr>
          <w:rFonts w:ascii="Arial" w:eastAsia="Times New Roman" w:hAnsi="Arial" w:cs="Arial"/>
          <w:szCs w:val="20"/>
        </w:rPr>
        <w:t xml:space="preserve"> prix unitaires</w:t>
      </w:r>
      <w:r w:rsidR="00694D1A" w:rsidRPr="00FD2E38">
        <w:rPr>
          <w:rFonts w:ascii="Arial" w:eastAsia="Times New Roman" w:hAnsi="Arial" w:cs="Arial"/>
          <w:szCs w:val="20"/>
        </w:rPr>
        <w:t xml:space="preserve"> (stipulées au BPU</w:t>
      </w:r>
      <w:r w:rsidR="00623650" w:rsidRPr="00FD2E38">
        <w:rPr>
          <w:rFonts w:ascii="Arial" w:eastAsia="Times New Roman" w:hAnsi="Arial" w:cs="Arial"/>
          <w:szCs w:val="20"/>
        </w:rPr>
        <w:t>).</w:t>
      </w:r>
      <w:r w:rsidR="00694D1A" w:rsidRPr="00FD2E38">
        <w:rPr>
          <w:rFonts w:ascii="Arial" w:eastAsia="Times New Roman" w:hAnsi="Arial" w:cs="Arial"/>
          <w:szCs w:val="20"/>
        </w:rPr>
        <w:t xml:space="preserve"> </w:t>
      </w:r>
      <w:r w:rsidR="00623650" w:rsidRPr="00FD2E38">
        <w:rPr>
          <w:rFonts w:ascii="Arial" w:eastAsia="Times New Roman" w:hAnsi="Arial" w:cs="Arial"/>
          <w:szCs w:val="20"/>
        </w:rPr>
        <w:t xml:space="preserve"> Selon le besoin, u</w:t>
      </w:r>
      <w:r w:rsidR="00694D1A" w:rsidRPr="00FD2E38">
        <w:rPr>
          <w:rFonts w:ascii="Arial" w:eastAsia="Times New Roman" w:hAnsi="Arial" w:cs="Arial"/>
          <w:szCs w:val="20"/>
        </w:rPr>
        <w:t xml:space="preserve">n devis détaillé sera demandé au titulaire pour </w:t>
      </w:r>
      <w:r w:rsidR="00623650" w:rsidRPr="00FD2E38">
        <w:rPr>
          <w:rFonts w:ascii="Arial" w:eastAsia="Times New Roman" w:hAnsi="Arial" w:cs="Arial"/>
          <w:szCs w:val="20"/>
        </w:rPr>
        <w:t>toute prestation</w:t>
      </w:r>
      <w:r w:rsidR="00694D1A" w:rsidRPr="00FD2E38">
        <w:rPr>
          <w:rFonts w:ascii="Arial" w:eastAsia="Times New Roman" w:hAnsi="Arial" w:cs="Arial"/>
          <w:szCs w:val="20"/>
        </w:rPr>
        <w:t xml:space="preserve"> complémentaire, </w:t>
      </w:r>
      <w:r w:rsidR="00623650" w:rsidRPr="00FD2E38">
        <w:rPr>
          <w:rFonts w:ascii="Arial" w:eastAsia="Times New Roman" w:hAnsi="Arial" w:cs="Arial"/>
          <w:szCs w:val="20"/>
        </w:rPr>
        <w:t>il devra être</w:t>
      </w:r>
      <w:r w:rsidR="00694D1A" w:rsidRPr="00FD2E38">
        <w:rPr>
          <w:rFonts w:ascii="Arial" w:eastAsia="Times New Roman" w:hAnsi="Arial" w:cs="Arial"/>
          <w:szCs w:val="20"/>
        </w:rPr>
        <w:t xml:space="preserve"> en respect du BPU contractualisé. Une fois approuvé par le pouvoir adjudicateur, il fera l’objet d’un bon de commande</w:t>
      </w:r>
      <w:r w:rsidR="00FD2E38" w:rsidRPr="00FD2E38">
        <w:rPr>
          <w:rFonts w:ascii="Arial" w:eastAsia="Times New Roman" w:hAnsi="Arial" w:cs="Arial"/>
          <w:szCs w:val="20"/>
        </w:rPr>
        <w:t xml:space="preserve"> dédié.</w:t>
      </w:r>
    </w:p>
    <w:p w14:paraId="5EFC6FFB" w14:textId="260200ED" w:rsidR="001F7E05" w:rsidRPr="00FD2E38" w:rsidRDefault="001F7E05" w:rsidP="00623650">
      <w:pPr>
        <w:pStyle w:val="Paragraphedeliste"/>
        <w:jc w:val="both"/>
        <w:rPr>
          <w:rFonts w:ascii="Arial" w:eastAsia="Times New Roman" w:hAnsi="Arial" w:cs="Arial"/>
          <w:szCs w:val="20"/>
        </w:rPr>
      </w:pPr>
    </w:p>
    <w:p w14:paraId="73201315" w14:textId="24775D2D" w:rsidR="009C5E73" w:rsidRPr="009C5E73" w:rsidRDefault="001F7E05" w:rsidP="009C5E73">
      <w:pPr>
        <w:jc w:val="both"/>
        <w:rPr>
          <w:rFonts w:ascii="Arial" w:eastAsia="Times New Roman" w:hAnsi="Arial" w:cs="Arial"/>
          <w:szCs w:val="20"/>
        </w:rPr>
      </w:pPr>
      <w:r w:rsidRPr="00FD2E38">
        <w:rPr>
          <w:rFonts w:ascii="Arial" w:eastAsia="Times New Roman" w:hAnsi="Arial" w:cs="Arial"/>
          <w:szCs w:val="20"/>
        </w:rPr>
        <w:t>L’ensemble de ces prestations ne pourront dépasser par an les montants maximums annuels par lot stipulés au paragraphe 1.3.</w:t>
      </w:r>
    </w:p>
    <w:p w14:paraId="009F5F17" w14:textId="10EB1ECB" w:rsidR="008C6249" w:rsidRDefault="008C6249" w:rsidP="004903D8">
      <w:pPr>
        <w:keepLines/>
        <w:tabs>
          <w:tab w:val="left" w:pos="284"/>
          <w:tab w:val="left" w:pos="567"/>
          <w:tab w:val="left" w:pos="851"/>
        </w:tabs>
        <w:spacing w:after="0"/>
        <w:ind w:firstLine="284"/>
        <w:jc w:val="both"/>
        <w:rPr>
          <w:rFonts w:ascii="Arial" w:eastAsia="Times New Roman" w:hAnsi="Arial" w:cs="Arial"/>
          <w:szCs w:val="20"/>
        </w:rPr>
      </w:pPr>
    </w:p>
    <w:p w14:paraId="2709054C" w14:textId="7DB60E16" w:rsidR="00637686" w:rsidRDefault="00637686">
      <w:pPr>
        <w:rPr>
          <w:rFonts w:ascii="Arial" w:eastAsia="Times New Roman" w:hAnsi="Arial" w:cs="Arial"/>
          <w:szCs w:val="20"/>
        </w:rPr>
      </w:pPr>
      <w:r>
        <w:rPr>
          <w:rFonts w:ascii="Arial" w:eastAsia="Times New Roman" w:hAnsi="Arial" w:cs="Arial"/>
          <w:szCs w:val="20"/>
        </w:rPr>
        <w:br w:type="page"/>
      </w:r>
    </w:p>
    <w:p w14:paraId="4C475AB4" w14:textId="77777777" w:rsidR="009C5E73" w:rsidRDefault="009C5E73" w:rsidP="009C5E73">
      <w:pPr>
        <w:keepLines/>
        <w:tabs>
          <w:tab w:val="left" w:pos="284"/>
          <w:tab w:val="left" w:pos="567"/>
          <w:tab w:val="left" w:pos="851"/>
        </w:tabs>
        <w:spacing w:after="0"/>
        <w:jc w:val="both"/>
        <w:rPr>
          <w:rFonts w:ascii="Arial" w:eastAsia="Times New Roman" w:hAnsi="Arial" w:cs="Arial"/>
          <w:szCs w:val="20"/>
        </w:rPr>
      </w:pPr>
    </w:p>
    <w:p w14:paraId="2DD64A3F" w14:textId="77777777" w:rsidR="009C5E73" w:rsidRPr="002836EA" w:rsidRDefault="009C5E73" w:rsidP="004903D8">
      <w:pPr>
        <w:keepLines/>
        <w:tabs>
          <w:tab w:val="left" w:pos="284"/>
          <w:tab w:val="left" w:pos="567"/>
          <w:tab w:val="left" w:pos="851"/>
        </w:tabs>
        <w:spacing w:after="0"/>
        <w:ind w:firstLine="284"/>
        <w:jc w:val="both"/>
        <w:rPr>
          <w:rFonts w:ascii="Arial" w:eastAsia="Times New Roman" w:hAnsi="Arial" w:cs="Arial"/>
          <w:szCs w:val="20"/>
        </w:rPr>
      </w:pPr>
    </w:p>
    <w:p w14:paraId="4FC42B04" w14:textId="4F578119" w:rsidR="00440B1D" w:rsidRPr="002836EA" w:rsidRDefault="00440B1D" w:rsidP="00AA0525">
      <w:pPr>
        <w:pStyle w:val="Titre2"/>
      </w:pPr>
      <w:r w:rsidRPr="002836EA">
        <w:t xml:space="preserve"> </w:t>
      </w:r>
      <w:bookmarkStart w:id="27" w:name="_Toc185398505"/>
      <w:r w:rsidRPr="002836EA">
        <w:t>Modalités de variations des prix</w:t>
      </w:r>
      <w:r w:rsidR="0091034F">
        <w:t xml:space="preserve"> pour chaque lot</w:t>
      </w:r>
      <w:bookmarkEnd w:id="27"/>
    </w:p>
    <w:p w14:paraId="551EDD52" w14:textId="1BD8A94E" w:rsidR="00745DF8" w:rsidRDefault="00745DF8" w:rsidP="00440B1D">
      <w:pPr>
        <w:keepLines/>
        <w:tabs>
          <w:tab w:val="left" w:pos="284"/>
          <w:tab w:val="left" w:pos="567"/>
          <w:tab w:val="left" w:pos="851"/>
        </w:tabs>
        <w:spacing w:after="0"/>
        <w:jc w:val="both"/>
        <w:rPr>
          <w:rFonts w:ascii="Helvetica" w:hAnsi="Helvetica" w:cs="Helvetica"/>
        </w:rPr>
      </w:pPr>
    </w:p>
    <w:p w14:paraId="38999F42" w14:textId="77777777" w:rsidR="00287E7F" w:rsidRDefault="00623650" w:rsidP="00F913E1">
      <w:pPr>
        <w:jc w:val="both"/>
        <w:rPr>
          <w:rFonts w:ascii="Arial" w:eastAsia="Times New Roman" w:hAnsi="Arial" w:cs="Arial"/>
          <w:szCs w:val="20"/>
        </w:rPr>
      </w:pPr>
      <w:r w:rsidRPr="00623650">
        <w:rPr>
          <w:rFonts w:ascii="Arial" w:eastAsia="Times New Roman" w:hAnsi="Arial" w:cs="Arial"/>
          <w:szCs w:val="20"/>
        </w:rPr>
        <w:t xml:space="preserve">Les prix sont révisés annuellement par application aux prix de l'accord-cadre d'un coefficient </w:t>
      </w:r>
      <w:r w:rsidR="00F913E1">
        <w:rPr>
          <w:rFonts w:ascii="Arial" w:eastAsia="Times New Roman" w:hAnsi="Arial" w:cs="Arial"/>
          <w:szCs w:val="20"/>
        </w:rPr>
        <w:t>faisant référence à</w:t>
      </w:r>
      <w:r w:rsidR="00287E7F">
        <w:rPr>
          <w:rFonts w:ascii="Arial" w:eastAsia="Times New Roman" w:hAnsi="Arial" w:cs="Arial"/>
          <w:szCs w:val="20"/>
        </w:rPr>
        <w:t> :</w:t>
      </w:r>
    </w:p>
    <w:p w14:paraId="248C8190" w14:textId="2F180F37" w:rsidR="00287E7F" w:rsidRDefault="00287E7F" w:rsidP="00F913E1">
      <w:pPr>
        <w:jc w:val="both"/>
        <w:rPr>
          <w:rFonts w:ascii="Arial" w:eastAsia="Times New Roman" w:hAnsi="Arial" w:cs="Arial"/>
          <w:szCs w:val="20"/>
        </w:rPr>
      </w:pPr>
      <w:r w:rsidRPr="00287E7F">
        <w:rPr>
          <w:rFonts w:ascii="Arial" w:eastAsia="Times New Roman" w:hAnsi="Arial" w:cs="Arial"/>
          <w:szCs w:val="20"/>
        </w:rPr>
        <w:t>L’Indice</w:t>
      </w:r>
      <w:r w:rsidR="00F913E1" w:rsidRPr="00287E7F">
        <w:rPr>
          <w:rFonts w:ascii="Arial" w:eastAsia="Times New Roman" w:hAnsi="Arial" w:cs="Arial"/>
          <w:szCs w:val="20"/>
        </w:rPr>
        <w:t xml:space="preserve"> des prix de production des services français aux entreprises françaises (</w:t>
      </w:r>
      <w:proofErr w:type="spellStart"/>
      <w:r w:rsidR="00F913E1" w:rsidRPr="00287E7F">
        <w:rPr>
          <w:rFonts w:ascii="Arial" w:eastAsia="Times New Roman" w:hAnsi="Arial" w:cs="Arial"/>
          <w:szCs w:val="20"/>
        </w:rPr>
        <w:t>BtoB</w:t>
      </w:r>
      <w:proofErr w:type="spellEnd"/>
      <w:r w:rsidR="00F913E1" w:rsidRPr="00287E7F">
        <w:rPr>
          <w:rFonts w:ascii="Arial" w:eastAsia="Times New Roman" w:hAnsi="Arial" w:cs="Arial"/>
          <w:szCs w:val="20"/>
        </w:rPr>
        <w:t>) − CPF 81.21 − Nettoyage courant</w:t>
      </w:r>
      <w:r>
        <w:rPr>
          <w:rFonts w:ascii="Arial" w:eastAsia="Times New Roman" w:hAnsi="Arial" w:cs="Arial"/>
          <w:szCs w:val="20"/>
        </w:rPr>
        <w:t> :</w:t>
      </w:r>
    </w:p>
    <w:p w14:paraId="22FCE027" w14:textId="07A9E18F" w:rsidR="00F913E1" w:rsidRDefault="00F913E1" w:rsidP="00F913E1">
      <w:pPr>
        <w:jc w:val="both"/>
        <w:rPr>
          <w:rFonts w:ascii="Arial" w:eastAsia="Times New Roman" w:hAnsi="Arial" w:cs="Arial"/>
          <w:szCs w:val="20"/>
        </w:rPr>
      </w:pPr>
      <w:r w:rsidRPr="00287E7F">
        <w:rPr>
          <w:rFonts w:ascii="Arial" w:eastAsia="Times New Roman" w:hAnsi="Arial" w:cs="Arial"/>
          <w:szCs w:val="20"/>
        </w:rPr>
        <w:t xml:space="preserve"> </w:t>
      </w:r>
      <w:hyperlink r:id="rId13" w:history="1">
        <w:r w:rsidR="00287E7F" w:rsidRPr="00394F9A">
          <w:rPr>
            <w:rStyle w:val="Lienhypertexte"/>
            <w:rFonts w:ascii="Arial" w:eastAsia="Times New Roman" w:hAnsi="Arial" w:cs="Arial"/>
            <w:szCs w:val="20"/>
          </w:rPr>
          <w:t>https://www.insee.fr/fr/statistiques/serie/010766785</w:t>
        </w:r>
      </w:hyperlink>
    </w:p>
    <w:p w14:paraId="5B559E01" w14:textId="77777777" w:rsidR="00287E7F" w:rsidRPr="00287E7F" w:rsidRDefault="00287E7F" w:rsidP="00F913E1">
      <w:pPr>
        <w:jc w:val="both"/>
        <w:rPr>
          <w:rFonts w:ascii="Arial" w:eastAsia="Times New Roman" w:hAnsi="Arial" w:cs="Arial"/>
          <w:szCs w:val="20"/>
        </w:rPr>
      </w:pPr>
    </w:p>
    <w:p w14:paraId="7234A3D8" w14:textId="6E3EB4DE" w:rsidR="00623650" w:rsidRPr="00623650" w:rsidRDefault="00623650" w:rsidP="00623650">
      <w:pPr>
        <w:jc w:val="both"/>
        <w:rPr>
          <w:rFonts w:ascii="Arial" w:eastAsia="Times New Roman" w:hAnsi="Arial" w:cs="Arial"/>
          <w:szCs w:val="20"/>
        </w:rPr>
      </w:pPr>
      <w:r w:rsidRPr="00623650">
        <w:rPr>
          <w:rFonts w:ascii="Arial" w:eastAsia="Times New Roman" w:hAnsi="Arial" w:cs="Arial"/>
          <w:szCs w:val="20"/>
        </w:rPr>
        <w:t>Selon les dispositions suivantes :</w:t>
      </w:r>
    </w:p>
    <w:p w14:paraId="687E78D2" w14:textId="77777777" w:rsidR="00623650" w:rsidRPr="00623650" w:rsidRDefault="00623650" w:rsidP="00623650">
      <w:pPr>
        <w:jc w:val="both"/>
        <w:rPr>
          <w:rFonts w:ascii="Arial" w:eastAsia="Times New Roman" w:hAnsi="Arial" w:cs="Arial"/>
          <w:szCs w:val="20"/>
        </w:rPr>
      </w:pPr>
      <w:r w:rsidRPr="00623650">
        <w:rPr>
          <w:rFonts w:ascii="Arial" w:eastAsia="Times New Roman" w:hAnsi="Arial" w:cs="Arial"/>
          <w:szCs w:val="20"/>
        </w:rPr>
        <w:t xml:space="preserve">- </w:t>
      </w:r>
      <w:proofErr w:type="spellStart"/>
      <w:r w:rsidRPr="00623650">
        <w:rPr>
          <w:rFonts w:ascii="Arial" w:eastAsia="Times New Roman" w:hAnsi="Arial" w:cs="Arial"/>
          <w:szCs w:val="20"/>
        </w:rPr>
        <w:t>Cn</w:t>
      </w:r>
      <w:proofErr w:type="spellEnd"/>
      <w:r w:rsidRPr="00623650">
        <w:rPr>
          <w:rFonts w:ascii="Arial" w:eastAsia="Times New Roman" w:hAnsi="Arial" w:cs="Arial"/>
          <w:szCs w:val="20"/>
        </w:rPr>
        <w:t xml:space="preserve"> : coefficient de révision.</w:t>
      </w:r>
    </w:p>
    <w:p w14:paraId="56EE0B18" w14:textId="77777777" w:rsidR="00623650" w:rsidRPr="00623650" w:rsidRDefault="00623650" w:rsidP="00623650">
      <w:pPr>
        <w:jc w:val="both"/>
        <w:rPr>
          <w:rFonts w:ascii="Arial" w:eastAsia="Times New Roman" w:hAnsi="Arial" w:cs="Arial"/>
          <w:szCs w:val="20"/>
        </w:rPr>
      </w:pPr>
      <w:r w:rsidRPr="00623650">
        <w:rPr>
          <w:rFonts w:ascii="Arial" w:eastAsia="Times New Roman" w:hAnsi="Arial" w:cs="Arial"/>
          <w:szCs w:val="20"/>
        </w:rPr>
        <w:t>- Index (n) : valeur de l'index de référence au mois n.</w:t>
      </w:r>
    </w:p>
    <w:p w14:paraId="052C8CC3" w14:textId="77777777" w:rsidR="00623650" w:rsidRPr="00623650" w:rsidRDefault="00623650" w:rsidP="00623650">
      <w:pPr>
        <w:jc w:val="both"/>
        <w:rPr>
          <w:rFonts w:ascii="Arial" w:eastAsia="Times New Roman" w:hAnsi="Arial" w:cs="Arial"/>
          <w:szCs w:val="20"/>
        </w:rPr>
      </w:pPr>
      <w:r w:rsidRPr="00623650">
        <w:rPr>
          <w:rFonts w:ascii="Arial" w:eastAsia="Times New Roman" w:hAnsi="Arial" w:cs="Arial"/>
          <w:szCs w:val="20"/>
        </w:rPr>
        <w:t>- Index (o) : valeur de l'index de référence au mois zéro.</w:t>
      </w:r>
    </w:p>
    <w:p w14:paraId="1920BDAE" w14:textId="77777777" w:rsidR="00623650" w:rsidRPr="00623650" w:rsidRDefault="00623650" w:rsidP="00623650">
      <w:pPr>
        <w:jc w:val="both"/>
        <w:rPr>
          <w:rFonts w:ascii="Arial" w:eastAsia="Times New Roman" w:hAnsi="Arial" w:cs="Arial"/>
          <w:szCs w:val="20"/>
        </w:rPr>
      </w:pPr>
      <w:r w:rsidRPr="00623650">
        <w:rPr>
          <w:rFonts w:ascii="Arial" w:eastAsia="Times New Roman" w:hAnsi="Arial" w:cs="Arial"/>
          <w:szCs w:val="20"/>
        </w:rPr>
        <w:t>Le mois " n " retenu pour le calcul de chaque révision périodique est celui qui précède le mois au cours duquel commence la nouvelle période d'application de la formule. Les prix ainsi révisés sont invariables durant cette période.</w:t>
      </w:r>
    </w:p>
    <w:p w14:paraId="622FE7A1" w14:textId="77777777" w:rsidR="00623650" w:rsidRDefault="00623650" w:rsidP="00623650">
      <w:pPr>
        <w:jc w:val="both"/>
        <w:rPr>
          <w:rFonts w:ascii="Arial" w:eastAsia="Times New Roman" w:hAnsi="Arial" w:cs="Arial"/>
          <w:szCs w:val="20"/>
        </w:rPr>
      </w:pPr>
      <w:r w:rsidRPr="00623650">
        <w:rPr>
          <w:rFonts w:ascii="Arial" w:eastAsia="Times New Roman" w:hAnsi="Arial" w:cs="Arial"/>
          <w:szCs w:val="20"/>
        </w:rPr>
        <w:t xml:space="preserve">La révision définitive des prix s'opère sur la base de la dernière valeur d'index publiée au moment de l'application de la formule. Aucune variation provisoire ne sera effectuée. </w:t>
      </w:r>
    </w:p>
    <w:tbl>
      <w:tblPr>
        <w:tblStyle w:val="Grilledutableau"/>
        <w:tblW w:w="0" w:type="auto"/>
        <w:tblLook w:val="04A0" w:firstRow="1" w:lastRow="0" w:firstColumn="1" w:lastColumn="0" w:noHBand="0" w:noVBand="1"/>
      </w:tblPr>
      <w:tblGrid>
        <w:gridCol w:w="3020"/>
        <w:gridCol w:w="3021"/>
        <w:gridCol w:w="3021"/>
      </w:tblGrid>
      <w:tr w:rsidR="00623650" w14:paraId="5EF5EAFB" w14:textId="77777777" w:rsidTr="00623650">
        <w:tc>
          <w:tcPr>
            <w:tcW w:w="3020" w:type="dxa"/>
          </w:tcPr>
          <w:p w14:paraId="7BF0C681" w14:textId="144790E8" w:rsidR="00623650" w:rsidRDefault="00623650" w:rsidP="00623650">
            <w:pPr>
              <w:jc w:val="center"/>
              <w:rPr>
                <w:rFonts w:ascii="Arial" w:eastAsia="Times New Roman" w:hAnsi="Arial" w:cs="Arial"/>
                <w:szCs w:val="20"/>
              </w:rPr>
            </w:pPr>
            <w:r>
              <w:rPr>
                <w:rFonts w:ascii="Arial" w:eastAsia="Times New Roman" w:hAnsi="Arial" w:cs="Arial"/>
                <w:szCs w:val="20"/>
              </w:rPr>
              <w:t>Lot</w:t>
            </w:r>
          </w:p>
        </w:tc>
        <w:tc>
          <w:tcPr>
            <w:tcW w:w="3021" w:type="dxa"/>
          </w:tcPr>
          <w:p w14:paraId="5EFC38F3" w14:textId="24FDA8DA" w:rsidR="00623650" w:rsidRDefault="00623650" w:rsidP="00623650">
            <w:pPr>
              <w:jc w:val="both"/>
              <w:rPr>
                <w:rFonts w:ascii="Arial" w:eastAsia="Times New Roman" w:hAnsi="Arial" w:cs="Arial"/>
                <w:szCs w:val="20"/>
              </w:rPr>
            </w:pPr>
            <w:r>
              <w:rPr>
                <w:rFonts w:ascii="Arial" w:eastAsia="Times New Roman" w:hAnsi="Arial" w:cs="Arial"/>
                <w:szCs w:val="20"/>
              </w:rPr>
              <w:t>Formules</w:t>
            </w:r>
          </w:p>
        </w:tc>
        <w:tc>
          <w:tcPr>
            <w:tcW w:w="3021" w:type="dxa"/>
          </w:tcPr>
          <w:p w14:paraId="0D21A64F" w14:textId="16676E9C" w:rsidR="00623650" w:rsidRDefault="004A2379" w:rsidP="00623650">
            <w:pPr>
              <w:jc w:val="both"/>
              <w:rPr>
                <w:rFonts w:ascii="Arial" w:eastAsia="Times New Roman" w:hAnsi="Arial" w:cs="Arial"/>
                <w:szCs w:val="20"/>
              </w:rPr>
            </w:pPr>
            <w:r>
              <w:rPr>
                <w:rFonts w:ascii="Arial" w:eastAsia="Times New Roman" w:hAnsi="Arial" w:cs="Arial"/>
                <w:szCs w:val="20"/>
              </w:rPr>
              <w:t>Prix concernés</w:t>
            </w:r>
          </w:p>
        </w:tc>
      </w:tr>
      <w:tr w:rsidR="004A2379" w14:paraId="64D7100D" w14:textId="77777777" w:rsidTr="00623650">
        <w:tc>
          <w:tcPr>
            <w:tcW w:w="3020" w:type="dxa"/>
          </w:tcPr>
          <w:p w14:paraId="1B448790" w14:textId="188EE1AF" w:rsidR="004A2379" w:rsidRDefault="004A2379" w:rsidP="004A2379">
            <w:pPr>
              <w:jc w:val="center"/>
              <w:rPr>
                <w:rFonts w:ascii="Arial" w:eastAsia="Times New Roman" w:hAnsi="Arial" w:cs="Arial"/>
                <w:szCs w:val="20"/>
              </w:rPr>
            </w:pPr>
            <w:r>
              <w:rPr>
                <w:rFonts w:ascii="Arial" w:eastAsia="Times New Roman" w:hAnsi="Arial" w:cs="Arial"/>
                <w:szCs w:val="20"/>
              </w:rPr>
              <w:t>1</w:t>
            </w:r>
          </w:p>
        </w:tc>
        <w:tc>
          <w:tcPr>
            <w:tcW w:w="3021" w:type="dxa"/>
          </w:tcPr>
          <w:p w14:paraId="2F1153C3" w14:textId="2C916B3B" w:rsidR="004A2379" w:rsidRDefault="004A2379" w:rsidP="004A2379">
            <w:pPr>
              <w:jc w:val="both"/>
              <w:rPr>
                <w:rFonts w:ascii="Arial" w:eastAsia="Times New Roman" w:hAnsi="Arial" w:cs="Arial"/>
                <w:szCs w:val="20"/>
              </w:rPr>
            </w:pPr>
            <w:r w:rsidRPr="004A2379">
              <w:rPr>
                <w:rFonts w:ascii="Arial" w:eastAsia="Times New Roman" w:hAnsi="Arial" w:cs="Arial"/>
                <w:szCs w:val="20"/>
              </w:rPr>
              <w:t>Pr= P0 * ( It / I0 )</w:t>
            </w:r>
          </w:p>
        </w:tc>
        <w:tc>
          <w:tcPr>
            <w:tcW w:w="3021" w:type="dxa"/>
          </w:tcPr>
          <w:p w14:paraId="46C73F60" w14:textId="7441C81F" w:rsidR="004A2379" w:rsidRDefault="004A2379" w:rsidP="004A2379">
            <w:pPr>
              <w:jc w:val="both"/>
              <w:rPr>
                <w:rFonts w:ascii="Arial" w:eastAsia="Times New Roman" w:hAnsi="Arial" w:cs="Arial"/>
                <w:szCs w:val="20"/>
              </w:rPr>
            </w:pPr>
            <w:r>
              <w:rPr>
                <w:rFonts w:ascii="Arial" w:eastAsia="Times New Roman" w:hAnsi="Arial" w:cs="Arial"/>
                <w:szCs w:val="20"/>
              </w:rPr>
              <w:t>Prix du BPU et du DPGF</w:t>
            </w:r>
          </w:p>
        </w:tc>
      </w:tr>
      <w:tr w:rsidR="004A2379" w14:paraId="12C7FFFC" w14:textId="77777777" w:rsidTr="00623650">
        <w:tc>
          <w:tcPr>
            <w:tcW w:w="3020" w:type="dxa"/>
          </w:tcPr>
          <w:p w14:paraId="298FBC2F" w14:textId="3C74C267" w:rsidR="004A2379" w:rsidRDefault="004A2379" w:rsidP="004A2379">
            <w:pPr>
              <w:jc w:val="center"/>
              <w:rPr>
                <w:rFonts w:ascii="Arial" w:eastAsia="Times New Roman" w:hAnsi="Arial" w:cs="Arial"/>
                <w:szCs w:val="20"/>
              </w:rPr>
            </w:pPr>
            <w:r>
              <w:rPr>
                <w:rFonts w:ascii="Arial" w:eastAsia="Times New Roman" w:hAnsi="Arial" w:cs="Arial"/>
                <w:szCs w:val="20"/>
              </w:rPr>
              <w:t>2</w:t>
            </w:r>
          </w:p>
        </w:tc>
        <w:tc>
          <w:tcPr>
            <w:tcW w:w="3021" w:type="dxa"/>
          </w:tcPr>
          <w:p w14:paraId="0A331B6A" w14:textId="61CB8C60" w:rsidR="004A2379" w:rsidRDefault="004A2379" w:rsidP="004A2379">
            <w:pPr>
              <w:jc w:val="both"/>
              <w:rPr>
                <w:rFonts w:ascii="Arial" w:eastAsia="Times New Roman" w:hAnsi="Arial" w:cs="Arial"/>
                <w:szCs w:val="20"/>
              </w:rPr>
            </w:pPr>
            <w:r w:rsidRPr="004A2379">
              <w:rPr>
                <w:rFonts w:ascii="Arial" w:eastAsia="Times New Roman" w:hAnsi="Arial" w:cs="Arial"/>
                <w:szCs w:val="20"/>
              </w:rPr>
              <w:t>Pr= P0 * ( It / I0 )</w:t>
            </w:r>
          </w:p>
        </w:tc>
        <w:tc>
          <w:tcPr>
            <w:tcW w:w="3021" w:type="dxa"/>
          </w:tcPr>
          <w:p w14:paraId="65AF57CB" w14:textId="7FCFBDF9" w:rsidR="004A2379" w:rsidRDefault="004A2379" w:rsidP="004A2379">
            <w:pPr>
              <w:jc w:val="both"/>
              <w:rPr>
                <w:rFonts w:ascii="Arial" w:eastAsia="Times New Roman" w:hAnsi="Arial" w:cs="Arial"/>
                <w:szCs w:val="20"/>
              </w:rPr>
            </w:pPr>
          </w:p>
        </w:tc>
      </w:tr>
    </w:tbl>
    <w:p w14:paraId="434453C2" w14:textId="179C9BED" w:rsidR="00623650" w:rsidRDefault="00623650" w:rsidP="00623650">
      <w:pPr>
        <w:jc w:val="both"/>
        <w:rPr>
          <w:rFonts w:ascii="Arial" w:eastAsia="Times New Roman" w:hAnsi="Arial" w:cs="Arial"/>
          <w:szCs w:val="20"/>
        </w:rPr>
      </w:pPr>
    </w:p>
    <w:p w14:paraId="0ADE70BB" w14:textId="77777777" w:rsidR="00925A13" w:rsidRPr="00925A13" w:rsidRDefault="00925A13" w:rsidP="00925A13">
      <w:pPr>
        <w:jc w:val="both"/>
        <w:rPr>
          <w:rFonts w:ascii="Arial" w:eastAsia="Times New Roman" w:hAnsi="Arial" w:cs="Arial"/>
          <w:szCs w:val="20"/>
        </w:rPr>
      </w:pPr>
      <w:r w:rsidRPr="00925A13">
        <w:rPr>
          <w:rFonts w:ascii="Arial" w:eastAsia="Times New Roman" w:hAnsi="Arial" w:cs="Arial"/>
          <w:szCs w:val="20"/>
        </w:rPr>
        <w:t xml:space="preserve">Dans cette formule : </w:t>
      </w:r>
    </w:p>
    <w:p w14:paraId="12977CD2" w14:textId="77777777" w:rsidR="00925A13" w:rsidRPr="00925A13" w:rsidRDefault="00925A13" w:rsidP="00925A13">
      <w:pPr>
        <w:jc w:val="both"/>
        <w:rPr>
          <w:rFonts w:ascii="Arial" w:eastAsia="Times New Roman" w:hAnsi="Arial" w:cs="Arial"/>
          <w:szCs w:val="20"/>
        </w:rPr>
      </w:pPr>
      <w:r w:rsidRPr="00925A13">
        <w:rPr>
          <w:rFonts w:ascii="Arial" w:eastAsia="Times New Roman" w:hAnsi="Arial" w:cs="Arial"/>
          <w:szCs w:val="20"/>
        </w:rPr>
        <w:t></w:t>
      </w:r>
      <w:r w:rsidRPr="00925A13">
        <w:rPr>
          <w:rFonts w:ascii="Arial" w:eastAsia="Times New Roman" w:hAnsi="Arial" w:cs="Arial"/>
          <w:szCs w:val="20"/>
        </w:rPr>
        <w:tab/>
        <w:t>Pr = Prix révisé</w:t>
      </w:r>
    </w:p>
    <w:p w14:paraId="589C3152" w14:textId="77777777" w:rsidR="00925A13" w:rsidRPr="00925A13" w:rsidRDefault="00925A13" w:rsidP="00925A13">
      <w:pPr>
        <w:jc w:val="both"/>
        <w:rPr>
          <w:rFonts w:ascii="Arial" w:eastAsia="Times New Roman" w:hAnsi="Arial" w:cs="Arial"/>
          <w:szCs w:val="20"/>
        </w:rPr>
      </w:pPr>
      <w:r w:rsidRPr="00925A13">
        <w:rPr>
          <w:rFonts w:ascii="Arial" w:eastAsia="Times New Roman" w:hAnsi="Arial" w:cs="Arial"/>
          <w:szCs w:val="20"/>
        </w:rPr>
        <w:t></w:t>
      </w:r>
      <w:r w:rsidRPr="00925A13">
        <w:rPr>
          <w:rFonts w:ascii="Arial" w:eastAsia="Times New Roman" w:hAnsi="Arial" w:cs="Arial"/>
          <w:szCs w:val="20"/>
        </w:rPr>
        <w:tab/>
        <w:t>P0 = Prix initial du marché</w:t>
      </w:r>
    </w:p>
    <w:p w14:paraId="7B1CF6FE" w14:textId="484442AE" w:rsidR="00925A13" w:rsidRPr="00925A13" w:rsidRDefault="00925A13" w:rsidP="00925A13">
      <w:pPr>
        <w:jc w:val="both"/>
        <w:rPr>
          <w:rFonts w:ascii="Arial" w:eastAsia="Times New Roman" w:hAnsi="Arial" w:cs="Arial"/>
          <w:szCs w:val="20"/>
        </w:rPr>
      </w:pPr>
      <w:r w:rsidRPr="00925A13">
        <w:rPr>
          <w:rFonts w:ascii="Arial" w:eastAsia="Times New Roman" w:hAnsi="Arial" w:cs="Arial"/>
          <w:szCs w:val="20"/>
        </w:rPr>
        <w:t></w:t>
      </w:r>
      <w:r w:rsidRPr="00925A13">
        <w:rPr>
          <w:rFonts w:ascii="Arial" w:eastAsia="Times New Roman" w:hAnsi="Arial" w:cs="Arial"/>
          <w:szCs w:val="20"/>
        </w:rPr>
        <w:tab/>
        <w:t xml:space="preserve">It = Valeur de référence de </w:t>
      </w:r>
      <w:r w:rsidR="00287E7F">
        <w:rPr>
          <w:rFonts w:ascii="Arial" w:eastAsia="Times New Roman" w:hAnsi="Arial" w:cs="Arial"/>
          <w:szCs w:val="20"/>
        </w:rPr>
        <w:t>l’indice de référence</w:t>
      </w:r>
      <w:r w:rsidRPr="00925A13">
        <w:rPr>
          <w:rFonts w:ascii="Arial" w:eastAsia="Times New Roman" w:hAnsi="Arial" w:cs="Arial"/>
          <w:szCs w:val="20"/>
        </w:rPr>
        <w:t xml:space="preserve"> du trimestre de révision de prix </w:t>
      </w:r>
    </w:p>
    <w:p w14:paraId="6E168B11" w14:textId="02D22F90" w:rsidR="00925A13" w:rsidRDefault="00925A13" w:rsidP="00925A13">
      <w:pPr>
        <w:jc w:val="both"/>
        <w:rPr>
          <w:rFonts w:ascii="Arial" w:eastAsia="Times New Roman" w:hAnsi="Arial" w:cs="Arial"/>
          <w:szCs w:val="20"/>
        </w:rPr>
      </w:pPr>
      <w:r w:rsidRPr="00925A13">
        <w:rPr>
          <w:rFonts w:ascii="Arial" w:eastAsia="Times New Roman" w:hAnsi="Arial" w:cs="Arial"/>
          <w:szCs w:val="20"/>
        </w:rPr>
        <w:t></w:t>
      </w:r>
      <w:r w:rsidRPr="00925A13">
        <w:rPr>
          <w:rFonts w:ascii="Arial" w:eastAsia="Times New Roman" w:hAnsi="Arial" w:cs="Arial"/>
          <w:szCs w:val="20"/>
        </w:rPr>
        <w:tab/>
        <w:t xml:space="preserve">I0 = Valeur de référence de </w:t>
      </w:r>
      <w:r w:rsidR="00287E7F">
        <w:rPr>
          <w:rFonts w:ascii="Arial" w:eastAsia="Times New Roman" w:hAnsi="Arial" w:cs="Arial"/>
          <w:szCs w:val="20"/>
        </w:rPr>
        <w:t>l’indice de référence</w:t>
      </w:r>
      <w:r w:rsidR="00287E7F" w:rsidRPr="00925A13">
        <w:rPr>
          <w:rFonts w:ascii="Arial" w:eastAsia="Times New Roman" w:hAnsi="Arial" w:cs="Arial"/>
          <w:szCs w:val="20"/>
        </w:rPr>
        <w:t xml:space="preserve"> </w:t>
      </w:r>
      <w:r w:rsidRPr="00925A13">
        <w:rPr>
          <w:rFonts w:ascii="Arial" w:eastAsia="Times New Roman" w:hAnsi="Arial" w:cs="Arial"/>
          <w:szCs w:val="20"/>
        </w:rPr>
        <w:t>du trimestre de remise de l’offre</w:t>
      </w:r>
    </w:p>
    <w:p w14:paraId="5D74F612" w14:textId="77777777" w:rsidR="0077112D" w:rsidRDefault="0077112D" w:rsidP="002836EA">
      <w:pPr>
        <w:pStyle w:val="Normal2"/>
        <w:ind w:left="0" w:firstLine="0"/>
        <w:rPr>
          <w:rFonts w:ascii="Arial" w:hAnsi="Arial" w:cs="Arial"/>
          <w:szCs w:val="20"/>
          <w:lang w:eastAsia="en-US"/>
        </w:rPr>
      </w:pPr>
    </w:p>
    <w:p w14:paraId="53ED84D1" w14:textId="230723D4" w:rsidR="0077112D" w:rsidRPr="009D3BD4" w:rsidRDefault="0077112D" w:rsidP="002836EA">
      <w:pPr>
        <w:pStyle w:val="Normal2"/>
        <w:ind w:left="0" w:firstLine="0"/>
        <w:rPr>
          <w:rFonts w:ascii="Arial" w:hAnsi="Arial" w:cs="Arial"/>
          <w:szCs w:val="20"/>
          <w:lang w:eastAsia="en-US"/>
        </w:rPr>
      </w:pPr>
      <w:r w:rsidRPr="009D3BD4">
        <w:rPr>
          <w:rFonts w:ascii="Arial" w:hAnsi="Arial" w:cs="Arial"/>
          <w:iCs/>
          <w:szCs w:val="20"/>
          <w:lang w:eastAsia="en-US"/>
        </w:rPr>
        <w:t>Les prix des offres pour 2025 devront se</w:t>
      </w:r>
      <w:r w:rsidR="00287E7F" w:rsidRPr="009D3BD4">
        <w:rPr>
          <w:rFonts w:ascii="Arial" w:hAnsi="Arial" w:cs="Arial"/>
          <w:iCs/>
          <w:szCs w:val="20"/>
          <w:lang w:eastAsia="en-US"/>
        </w:rPr>
        <w:t xml:space="preserve"> baser sur la valeur de l’indice </w:t>
      </w:r>
      <w:r w:rsidRPr="009D3BD4">
        <w:rPr>
          <w:rFonts w:ascii="Arial" w:hAnsi="Arial" w:cs="Arial"/>
          <w:iCs/>
          <w:szCs w:val="20"/>
          <w:lang w:eastAsia="en-US"/>
        </w:rPr>
        <w:t>pour le 3</w:t>
      </w:r>
      <w:r w:rsidRPr="009D3BD4">
        <w:rPr>
          <w:rFonts w:ascii="Arial" w:hAnsi="Arial" w:cs="Arial"/>
          <w:iCs/>
          <w:lang w:eastAsia="en-US"/>
        </w:rPr>
        <w:t>ème</w:t>
      </w:r>
      <w:r w:rsidRPr="009D3BD4">
        <w:rPr>
          <w:rFonts w:ascii="Arial" w:hAnsi="Arial" w:cs="Arial"/>
          <w:iCs/>
          <w:szCs w:val="20"/>
          <w:lang w:eastAsia="en-US"/>
        </w:rPr>
        <w:t> trimestre 2024 qui devrait être</w:t>
      </w:r>
      <w:r w:rsidR="0091034F" w:rsidRPr="009D3BD4">
        <w:rPr>
          <w:rFonts w:ascii="Arial" w:hAnsi="Arial" w:cs="Arial"/>
          <w:iCs/>
          <w:szCs w:val="20"/>
          <w:lang w:eastAsia="en-US"/>
        </w:rPr>
        <w:t xml:space="preserve"> </w:t>
      </w:r>
      <w:r w:rsidR="00287E7F" w:rsidRPr="009D3BD4">
        <w:rPr>
          <w:rFonts w:ascii="Arial" w:hAnsi="Arial" w:cs="Arial"/>
          <w:iCs/>
          <w:szCs w:val="20"/>
          <w:lang w:eastAsia="en-US"/>
        </w:rPr>
        <w:t>connu définitivement</w:t>
      </w:r>
      <w:r w:rsidR="0091034F" w:rsidRPr="009D3BD4">
        <w:rPr>
          <w:rFonts w:ascii="Arial" w:hAnsi="Arial" w:cs="Arial"/>
          <w:iCs/>
          <w:szCs w:val="20"/>
          <w:lang w:eastAsia="en-US"/>
        </w:rPr>
        <w:t xml:space="preserve"> </w:t>
      </w:r>
      <w:r w:rsidRPr="009D3BD4">
        <w:rPr>
          <w:rFonts w:ascii="Arial" w:hAnsi="Arial" w:cs="Arial"/>
          <w:iCs/>
          <w:szCs w:val="20"/>
          <w:lang w:eastAsia="en-US"/>
        </w:rPr>
        <w:t>en fin du 4</w:t>
      </w:r>
      <w:r w:rsidRPr="009D3BD4">
        <w:rPr>
          <w:rFonts w:ascii="Arial" w:hAnsi="Arial" w:cs="Arial"/>
          <w:iCs/>
          <w:lang w:eastAsia="en-US"/>
        </w:rPr>
        <w:t>ème</w:t>
      </w:r>
      <w:r w:rsidRPr="009D3BD4">
        <w:rPr>
          <w:rFonts w:ascii="Arial" w:hAnsi="Arial" w:cs="Arial"/>
          <w:iCs/>
          <w:szCs w:val="20"/>
          <w:lang w:eastAsia="en-US"/>
        </w:rPr>
        <w:t> trimestre 2024</w:t>
      </w:r>
      <w:r w:rsidR="0091034F" w:rsidRPr="009D3BD4">
        <w:rPr>
          <w:rFonts w:ascii="Arial" w:hAnsi="Arial" w:cs="Arial"/>
          <w:iCs/>
          <w:szCs w:val="20"/>
          <w:lang w:eastAsia="en-US"/>
        </w:rPr>
        <w:t>, soit avant la restitution des offres. Ces prix seront considérés comme prix « 0 ».</w:t>
      </w:r>
    </w:p>
    <w:p w14:paraId="7943F424" w14:textId="09EA065F" w:rsidR="002836EA" w:rsidRPr="00D04130" w:rsidRDefault="002836EA" w:rsidP="002836EA">
      <w:pPr>
        <w:jc w:val="both"/>
        <w:rPr>
          <w:rFonts w:ascii="Arial" w:eastAsia="Times New Roman" w:hAnsi="Arial" w:cs="Arial"/>
          <w:szCs w:val="20"/>
          <w:highlight w:val="yellow"/>
        </w:rPr>
      </w:pPr>
    </w:p>
    <w:p w14:paraId="72032481" w14:textId="0798DC97" w:rsidR="0091034F" w:rsidRDefault="0091034F" w:rsidP="002836EA">
      <w:pPr>
        <w:jc w:val="both"/>
        <w:rPr>
          <w:rFonts w:ascii="Arial" w:eastAsia="Times New Roman" w:hAnsi="Arial" w:cs="Arial"/>
          <w:szCs w:val="20"/>
        </w:rPr>
      </w:pPr>
      <w:r w:rsidRPr="005D03B6">
        <w:rPr>
          <w:rFonts w:ascii="Arial" w:eastAsia="Times New Roman" w:hAnsi="Arial" w:cs="Arial"/>
          <w:szCs w:val="20"/>
        </w:rPr>
        <w:t>L’index à prendre en considération pour les années suivantes sera celui du 3</w:t>
      </w:r>
      <w:r w:rsidRPr="005D03B6">
        <w:rPr>
          <w:rFonts w:ascii="Arial" w:eastAsia="Times New Roman" w:hAnsi="Arial" w:cs="Arial"/>
          <w:szCs w:val="20"/>
          <w:vertAlign w:val="superscript"/>
        </w:rPr>
        <w:t>e</w:t>
      </w:r>
      <w:r w:rsidRPr="005D03B6">
        <w:rPr>
          <w:rFonts w:ascii="Arial" w:eastAsia="Times New Roman" w:hAnsi="Arial" w:cs="Arial"/>
          <w:szCs w:val="20"/>
        </w:rPr>
        <w:t xml:space="preserve"> trimestre de l’année en cours</w:t>
      </w:r>
      <w:r w:rsidR="00D04130" w:rsidRPr="005D03B6">
        <w:rPr>
          <w:rFonts w:ascii="Arial" w:eastAsia="Times New Roman" w:hAnsi="Arial" w:cs="Arial"/>
          <w:szCs w:val="20"/>
        </w:rPr>
        <w:t xml:space="preserve">. Il sera appliqué sur les prestations de la nouvelle année à compter </w:t>
      </w:r>
      <w:r w:rsidR="009D3BD4" w:rsidRPr="005D03B6">
        <w:rPr>
          <w:rFonts w:ascii="Arial" w:eastAsia="Times New Roman" w:hAnsi="Arial" w:cs="Arial"/>
          <w:szCs w:val="20"/>
        </w:rPr>
        <w:t>d’avril</w:t>
      </w:r>
      <w:r w:rsidR="00D04130" w:rsidRPr="005D03B6">
        <w:rPr>
          <w:rFonts w:ascii="Arial" w:eastAsia="Times New Roman" w:hAnsi="Arial" w:cs="Arial"/>
          <w:szCs w:val="20"/>
        </w:rPr>
        <w:t>.</w:t>
      </w:r>
    </w:p>
    <w:p w14:paraId="49E4F63C" w14:textId="66FDFACD" w:rsidR="009D3BD4" w:rsidRDefault="009D3BD4" w:rsidP="002836EA">
      <w:pPr>
        <w:jc w:val="both"/>
        <w:rPr>
          <w:rFonts w:ascii="Arial" w:eastAsia="Times New Roman" w:hAnsi="Arial" w:cs="Arial"/>
          <w:szCs w:val="20"/>
        </w:rPr>
      </w:pPr>
      <w:r>
        <w:rPr>
          <w:rFonts w:ascii="Arial" w:eastAsia="Times New Roman" w:hAnsi="Arial" w:cs="Arial"/>
          <w:szCs w:val="20"/>
        </w:rPr>
        <w:t xml:space="preserve">Ainsi en avril 2026, </w:t>
      </w:r>
      <w:r w:rsidRPr="00925A13">
        <w:rPr>
          <w:rFonts w:ascii="Arial" w:eastAsia="Times New Roman" w:hAnsi="Arial" w:cs="Arial"/>
          <w:szCs w:val="20"/>
        </w:rPr>
        <w:t>It</w:t>
      </w:r>
      <w:r>
        <w:rPr>
          <w:rFonts w:ascii="Arial" w:eastAsia="Times New Roman" w:hAnsi="Arial" w:cs="Arial"/>
          <w:szCs w:val="20"/>
        </w:rPr>
        <w:t xml:space="preserve"> sera 3</w:t>
      </w:r>
      <w:r w:rsidRPr="009D3BD4">
        <w:rPr>
          <w:rFonts w:ascii="Arial" w:eastAsia="Times New Roman" w:hAnsi="Arial" w:cs="Arial"/>
          <w:szCs w:val="20"/>
          <w:vertAlign w:val="superscript"/>
        </w:rPr>
        <w:t>e</w:t>
      </w:r>
      <w:r>
        <w:rPr>
          <w:rFonts w:ascii="Arial" w:eastAsia="Times New Roman" w:hAnsi="Arial" w:cs="Arial"/>
          <w:szCs w:val="20"/>
        </w:rPr>
        <w:t xml:space="preserve"> trimestre 2025 et </w:t>
      </w:r>
      <w:r w:rsidRPr="00925A13">
        <w:rPr>
          <w:rFonts w:ascii="Arial" w:eastAsia="Times New Roman" w:hAnsi="Arial" w:cs="Arial"/>
          <w:szCs w:val="20"/>
        </w:rPr>
        <w:t>I0</w:t>
      </w:r>
      <w:r>
        <w:rPr>
          <w:rFonts w:ascii="Arial" w:eastAsia="Times New Roman" w:hAnsi="Arial" w:cs="Arial"/>
          <w:szCs w:val="20"/>
        </w:rPr>
        <w:t xml:space="preserve"> sera 3</w:t>
      </w:r>
      <w:r w:rsidRPr="009D3BD4">
        <w:rPr>
          <w:rFonts w:ascii="Arial" w:eastAsia="Times New Roman" w:hAnsi="Arial" w:cs="Arial"/>
          <w:szCs w:val="20"/>
          <w:vertAlign w:val="superscript"/>
        </w:rPr>
        <w:t>e</w:t>
      </w:r>
      <w:r>
        <w:rPr>
          <w:rFonts w:ascii="Arial" w:eastAsia="Times New Roman" w:hAnsi="Arial" w:cs="Arial"/>
          <w:szCs w:val="20"/>
        </w:rPr>
        <w:t xml:space="preserve"> trimestre 2024.</w:t>
      </w:r>
    </w:p>
    <w:p w14:paraId="7F2BFEA5" w14:textId="7797DFC1" w:rsidR="00925A13" w:rsidRDefault="00925A13" w:rsidP="002836EA">
      <w:pPr>
        <w:jc w:val="both"/>
        <w:rPr>
          <w:rFonts w:ascii="Arial" w:eastAsia="Times New Roman" w:hAnsi="Arial" w:cs="Arial"/>
          <w:szCs w:val="20"/>
        </w:rPr>
      </w:pPr>
    </w:p>
    <w:p w14:paraId="186FEB0C" w14:textId="77777777" w:rsidR="00287E7F" w:rsidRPr="002836EA" w:rsidRDefault="00287E7F" w:rsidP="002836EA">
      <w:pPr>
        <w:jc w:val="both"/>
        <w:rPr>
          <w:rFonts w:ascii="Arial" w:eastAsia="Times New Roman" w:hAnsi="Arial" w:cs="Arial"/>
          <w:szCs w:val="20"/>
        </w:rPr>
      </w:pPr>
    </w:p>
    <w:p w14:paraId="31B15F97" w14:textId="59205F83" w:rsidR="004903D8" w:rsidRPr="00440B1D" w:rsidRDefault="00440B1D" w:rsidP="00AD5A30">
      <w:pPr>
        <w:pStyle w:val="Titre1"/>
      </w:pPr>
      <w:bookmarkStart w:id="28" w:name="_Toc185398506"/>
      <w:bookmarkEnd w:id="25"/>
      <w:r>
        <w:lastRenderedPageBreak/>
        <w:t>Modalités de règlement</w:t>
      </w:r>
      <w:bookmarkEnd w:id="28"/>
      <w:r w:rsidR="004903D8" w:rsidRPr="00440B1D">
        <w:t xml:space="preserve"> </w:t>
      </w:r>
    </w:p>
    <w:p w14:paraId="7CACE0B2" w14:textId="77777777" w:rsidR="004903D8" w:rsidRPr="00522244" w:rsidRDefault="004903D8" w:rsidP="004903D8">
      <w:pPr>
        <w:keepLines/>
        <w:tabs>
          <w:tab w:val="left" w:pos="567"/>
          <w:tab w:val="left" w:pos="851"/>
          <w:tab w:val="left" w:pos="1134"/>
        </w:tabs>
        <w:spacing w:after="0"/>
        <w:ind w:left="284"/>
        <w:jc w:val="both"/>
        <w:rPr>
          <w:rFonts w:ascii="Arial" w:eastAsia="Times New Roman" w:hAnsi="Arial" w:cs="Arial"/>
          <w:szCs w:val="20"/>
        </w:rPr>
      </w:pPr>
    </w:p>
    <w:p w14:paraId="191F7A5E" w14:textId="6890C8C5" w:rsidR="00440B1D" w:rsidRPr="00D373D4" w:rsidRDefault="00440B1D" w:rsidP="00D35646">
      <w:pPr>
        <w:pStyle w:val="Titre2"/>
      </w:pPr>
      <w:bookmarkStart w:id="29" w:name="_Toc185398507"/>
      <w:r w:rsidRPr="00D373D4">
        <w:t>Acomptes</w:t>
      </w:r>
      <w:bookmarkEnd w:id="29"/>
    </w:p>
    <w:p w14:paraId="3DA3C2CC" w14:textId="153479E7" w:rsidR="0009609A" w:rsidRDefault="00637686" w:rsidP="00440B1D">
      <w:pPr>
        <w:keepLines/>
        <w:tabs>
          <w:tab w:val="left" w:pos="567"/>
          <w:tab w:val="left" w:pos="851"/>
          <w:tab w:val="left" w:pos="1134"/>
        </w:tabs>
        <w:spacing w:after="0"/>
        <w:ind w:left="284"/>
        <w:jc w:val="both"/>
        <w:rPr>
          <w:rFonts w:ascii="Helvetica" w:hAnsi="Helvetica" w:cs="Helvetica"/>
        </w:rPr>
      </w:pPr>
      <w:r w:rsidRPr="00637686">
        <w:rPr>
          <w:rFonts w:ascii="Helvetica" w:hAnsi="Helvetica" w:cs="Helvetica"/>
        </w:rPr>
        <w:t xml:space="preserve">Les modalités de règlement des </w:t>
      </w:r>
      <w:r w:rsidR="003B2B40">
        <w:rPr>
          <w:rFonts w:ascii="Helvetica" w:hAnsi="Helvetica" w:cs="Helvetica"/>
        </w:rPr>
        <w:t>a</w:t>
      </w:r>
      <w:r w:rsidRPr="00637686">
        <w:rPr>
          <w:rFonts w:ascii="Helvetica" w:hAnsi="Helvetica" w:cs="Helvetica"/>
        </w:rPr>
        <w:t>comptes sont définies dans les conditions de l'article 11 du CCAG-FCS.</w:t>
      </w:r>
    </w:p>
    <w:p w14:paraId="19356079" w14:textId="38342DC6" w:rsidR="00D35646" w:rsidRDefault="00D35646" w:rsidP="00440B1D">
      <w:pPr>
        <w:keepLines/>
        <w:tabs>
          <w:tab w:val="left" w:pos="567"/>
          <w:tab w:val="left" w:pos="851"/>
          <w:tab w:val="left" w:pos="1134"/>
        </w:tabs>
        <w:spacing w:after="0"/>
        <w:ind w:left="284"/>
        <w:jc w:val="both"/>
        <w:rPr>
          <w:rFonts w:ascii="Helvetica" w:hAnsi="Helvetica" w:cs="Helvetica"/>
        </w:rPr>
      </w:pPr>
    </w:p>
    <w:p w14:paraId="44CCD8A0" w14:textId="77777777" w:rsidR="00D35646" w:rsidRDefault="00D35646" w:rsidP="00440B1D">
      <w:pPr>
        <w:keepLines/>
        <w:tabs>
          <w:tab w:val="left" w:pos="567"/>
          <w:tab w:val="left" w:pos="851"/>
          <w:tab w:val="left" w:pos="1134"/>
        </w:tabs>
        <w:spacing w:after="0"/>
        <w:ind w:left="284"/>
        <w:jc w:val="both"/>
        <w:rPr>
          <w:rFonts w:ascii="Helvetica" w:hAnsi="Helvetica" w:cs="Helvetica"/>
        </w:rPr>
      </w:pPr>
    </w:p>
    <w:p w14:paraId="460A13E4" w14:textId="0CE25966" w:rsidR="00D373D4" w:rsidRDefault="00D373D4" w:rsidP="00D35646">
      <w:pPr>
        <w:pStyle w:val="Titre2"/>
      </w:pPr>
      <w:bookmarkStart w:id="30" w:name="_Toc185398508"/>
      <w:r w:rsidRPr="00D373D4">
        <w:t>Présentation des demandes de paiements</w:t>
      </w:r>
      <w:bookmarkEnd w:id="30"/>
    </w:p>
    <w:p w14:paraId="25199E55" w14:textId="77777777" w:rsidR="00D373D4" w:rsidRPr="00D373D4" w:rsidRDefault="00D373D4" w:rsidP="00D373D4">
      <w:pPr>
        <w:autoSpaceDE w:val="0"/>
        <w:autoSpaceDN w:val="0"/>
        <w:adjustRightInd w:val="0"/>
        <w:spacing w:after="0" w:line="240" w:lineRule="auto"/>
        <w:rPr>
          <w:rFonts w:ascii="Helvetica-Oblique" w:hAnsi="Helvetica-Oblique" w:cs="Helvetica-Oblique"/>
          <w:i/>
          <w:iCs/>
          <w:sz w:val="24"/>
          <w:szCs w:val="24"/>
          <w:u w:val="single"/>
        </w:rPr>
      </w:pPr>
    </w:p>
    <w:p w14:paraId="0E05705A" w14:textId="1041ABC2" w:rsidR="00D373D4" w:rsidRDefault="00D373D4" w:rsidP="00D373D4">
      <w:pPr>
        <w:autoSpaceDE w:val="0"/>
        <w:autoSpaceDN w:val="0"/>
        <w:adjustRightInd w:val="0"/>
        <w:spacing w:after="0" w:line="240" w:lineRule="auto"/>
        <w:jc w:val="both"/>
        <w:rPr>
          <w:rFonts w:ascii="Helvetica" w:hAnsi="Helvetica" w:cs="Helvetica"/>
        </w:rPr>
      </w:pPr>
      <w:r>
        <w:rPr>
          <w:rFonts w:ascii="Helvetica" w:hAnsi="Helvetica" w:cs="Helvetica"/>
        </w:rPr>
        <w:t xml:space="preserve">Les modalités de présentation de la demande de paiement sont établies selon les conditions prévues à </w:t>
      </w:r>
      <w:r w:rsidRPr="00FD35F6">
        <w:rPr>
          <w:rFonts w:ascii="Helvetica" w:hAnsi="Helvetica" w:cs="Helvetica"/>
        </w:rPr>
        <w:t>l’article 11.4 du C.C.A.G.-F.C.S.</w:t>
      </w:r>
    </w:p>
    <w:p w14:paraId="4266E926" w14:textId="62DA97AF" w:rsidR="00D373D4" w:rsidRDefault="00D373D4" w:rsidP="00D373D4">
      <w:pPr>
        <w:autoSpaceDE w:val="0"/>
        <w:autoSpaceDN w:val="0"/>
        <w:adjustRightInd w:val="0"/>
        <w:spacing w:after="0" w:line="240" w:lineRule="auto"/>
        <w:rPr>
          <w:rFonts w:ascii="Helvetica" w:hAnsi="Helvetica" w:cs="Helvetica"/>
        </w:rPr>
      </w:pPr>
    </w:p>
    <w:p w14:paraId="71C2960F" w14:textId="77777777" w:rsidR="00D373D4" w:rsidRPr="008E7D2B" w:rsidRDefault="00D373D4" w:rsidP="00D373D4">
      <w:pPr>
        <w:autoSpaceDE w:val="0"/>
        <w:autoSpaceDN w:val="0"/>
        <w:adjustRightInd w:val="0"/>
        <w:spacing w:after="0" w:line="240" w:lineRule="auto"/>
        <w:jc w:val="both"/>
        <w:rPr>
          <w:rFonts w:ascii="CIDFont+F1" w:hAnsi="CIDFont+F1" w:cs="CIDFont+F1"/>
        </w:rPr>
      </w:pPr>
      <w:r>
        <w:rPr>
          <w:rFonts w:ascii="CIDFont+F1" w:hAnsi="CIDFont+F1" w:cs="CIDFont+F1"/>
        </w:rPr>
        <w:t>Les demandes de paiement seront établies en un original portant, outre les mentions légales, les indications suivantes :</w:t>
      </w:r>
    </w:p>
    <w:p w14:paraId="5103B21D" w14:textId="77777777" w:rsidR="00D373D4" w:rsidRPr="00522244" w:rsidRDefault="00D373D4" w:rsidP="00D373D4">
      <w:pPr>
        <w:keepLines/>
        <w:tabs>
          <w:tab w:val="left" w:pos="567"/>
          <w:tab w:val="left" w:pos="851"/>
          <w:tab w:val="left" w:pos="1134"/>
        </w:tabs>
        <w:spacing w:after="0"/>
        <w:ind w:left="284" w:firstLine="284"/>
        <w:jc w:val="both"/>
        <w:rPr>
          <w:rFonts w:ascii="Arial" w:eastAsia="Times New Roman" w:hAnsi="Arial" w:cs="Arial"/>
          <w:szCs w:val="20"/>
        </w:rPr>
      </w:pPr>
    </w:p>
    <w:p w14:paraId="089343B9"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cas échéant, le numéro de SIREN ou de SIRET ;</w:t>
      </w:r>
    </w:p>
    <w:p w14:paraId="1499D179"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numéro du compte bancaire ou postal ;</w:t>
      </w:r>
    </w:p>
    <w:p w14:paraId="6C05CA73"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numéro du marché ;</w:t>
      </w:r>
    </w:p>
    <w:p w14:paraId="35348029"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sidRPr="00287E7F">
        <w:rPr>
          <w:rFonts w:ascii="Helvetica" w:hAnsi="Helvetica" w:cs="Helvetica"/>
          <w:b/>
        </w:rPr>
        <w:t>le numéro du bon de commande ;</w:t>
      </w:r>
    </w:p>
    <w:p w14:paraId="3A256B67"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la date d’exécution des prestations ;</w:t>
      </w:r>
    </w:p>
    <w:p w14:paraId="48962556"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la nature des prestations exécutées ;</w:t>
      </w:r>
    </w:p>
    <w:p w14:paraId="432322B1"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la désignation de l’organisme débiteur</w:t>
      </w:r>
    </w:p>
    <w:p w14:paraId="23DCEB31" w14:textId="2393F30C"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détail des prix unitaires, lorsque l’indication de ces précisions est prévue par les documents particuliers du marché ou que, eu égard aux prescriptions du marché, les prestations ont été effectuées de manière incomplète ou non conforme;</w:t>
      </w:r>
    </w:p>
    <w:p w14:paraId="6D3780C1"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montant des prestations admises, établi conformément aux stipulations du marché, hors TVA</w:t>
      </w:r>
    </w:p>
    <w:p w14:paraId="055350AC"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les montants et taux de TVA légalement applicables ou le cas échéant le bénéfice d’une exonération ;</w:t>
      </w:r>
    </w:p>
    <w:p w14:paraId="684A80F7"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cas échéant, applications des réfactions fixées conformément aux dispositions du CCAG-FCS ;</w:t>
      </w:r>
    </w:p>
    <w:p w14:paraId="4BBDDA24" w14:textId="6410C3BC"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Tout rabais, remises, ristournes ou escomptes acquis et chiffrables lors du marché et directement liés au marché;</w:t>
      </w:r>
    </w:p>
    <w:p w14:paraId="4D668513"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montant total TTC des prestations livrées ou exécutées ;</w:t>
      </w:r>
    </w:p>
    <w:p w14:paraId="710BF640" w14:textId="77777777"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la date de facturation.</w:t>
      </w:r>
    </w:p>
    <w:p w14:paraId="6E464EE2" w14:textId="493AA114"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en cas de groupement conjoint, pour chaque opérateur économique, le montant des prestations effectuées par l’opérateur économique ;</w:t>
      </w:r>
    </w:p>
    <w:p w14:paraId="1ADD1420" w14:textId="5CB6EBF8" w:rsid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en cas de sous-traitance, la nature des prestations exécutées par le sous-traitant, leur montant total hors taxes, leur montant TTC ainsi que, le cas échéant, les variations de prix établies HT et TTC ;</w:t>
      </w:r>
    </w:p>
    <w:p w14:paraId="6DEC4D6D" w14:textId="7D73F0F1" w:rsidR="00D373D4" w:rsidRPr="00D373D4" w:rsidRDefault="00D373D4" w:rsidP="00D373D4">
      <w:pPr>
        <w:autoSpaceDE w:val="0"/>
        <w:autoSpaceDN w:val="0"/>
        <w:adjustRightInd w:val="0"/>
        <w:spacing w:after="0" w:line="240" w:lineRule="auto"/>
        <w:jc w:val="both"/>
        <w:rPr>
          <w:rFonts w:ascii="Helvetica" w:hAnsi="Helvetica" w:cs="Helvetica"/>
        </w:rPr>
      </w:pPr>
      <w:r>
        <w:rPr>
          <w:rFonts w:ascii="Symbol" w:hAnsi="Symbol" w:cs="Symbol"/>
        </w:rPr>
        <w:t></w:t>
      </w:r>
      <w:r>
        <w:rPr>
          <w:rFonts w:ascii="Symbol" w:hAnsi="Symbol" w:cs="Symbol"/>
        </w:rPr>
        <w:t></w:t>
      </w:r>
      <w:r>
        <w:rPr>
          <w:rFonts w:ascii="Helvetica" w:hAnsi="Helvetica" w:cs="Helvetica"/>
        </w:rPr>
        <w:t>le cas échéant, les indemnités, primes et retenues autres que la retenue de garantie, établies conformément aux stipulations du marché.</w:t>
      </w:r>
    </w:p>
    <w:p w14:paraId="6A0C36CD" w14:textId="77777777" w:rsidR="00D373D4" w:rsidRDefault="00D373D4" w:rsidP="00D373D4">
      <w:pPr>
        <w:keepLines/>
        <w:tabs>
          <w:tab w:val="left" w:pos="567"/>
          <w:tab w:val="left" w:pos="851"/>
          <w:tab w:val="left" w:pos="1134"/>
        </w:tabs>
        <w:spacing w:after="0"/>
        <w:ind w:left="284"/>
        <w:jc w:val="both"/>
        <w:rPr>
          <w:rFonts w:ascii="Arial" w:eastAsia="Times New Roman" w:hAnsi="Arial" w:cs="Arial"/>
          <w:szCs w:val="20"/>
        </w:rPr>
      </w:pPr>
    </w:p>
    <w:p w14:paraId="719F363A" w14:textId="7C251843" w:rsidR="00D373D4" w:rsidRPr="00D373D4" w:rsidRDefault="00D373D4" w:rsidP="00D373D4">
      <w:pPr>
        <w:autoSpaceDE w:val="0"/>
        <w:autoSpaceDN w:val="0"/>
        <w:adjustRightInd w:val="0"/>
        <w:spacing w:after="0" w:line="240" w:lineRule="auto"/>
        <w:jc w:val="both"/>
        <w:rPr>
          <w:rFonts w:ascii="CIDFont+F1" w:hAnsi="CIDFont+F1" w:cs="CIDFont+F1"/>
          <w:color w:val="000000"/>
        </w:rPr>
      </w:pPr>
      <w:r>
        <w:rPr>
          <w:rFonts w:ascii="Helvetica" w:hAnsi="Helvetica" w:cs="Helvetica"/>
        </w:rPr>
        <w:t>Les demandes de paiement devront parvenir à l’adresse de facturation indiquée sur le bon de commande ou</w:t>
      </w:r>
      <w:r>
        <w:rPr>
          <w:rFonts w:ascii="CIDFont+F1" w:hAnsi="CIDFont+F1" w:cs="CIDFont+F1"/>
          <w:color w:val="000000"/>
        </w:rPr>
        <w:t xml:space="preserve"> devront parvenir en priorité par voie électronique à l’adresse suivante : </w:t>
      </w:r>
      <w:hyperlink r:id="rId14" w:history="1">
        <w:r w:rsidRPr="00C00CE7">
          <w:rPr>
            <w:rStyle w:val="Lienhypertexte"/>
            <w:rFonts w:ascii="CIDFont+F1" w:hAnsi="CIDFont+F1" w:cs="CIDFont+F1"/>
          </w:rPr>
          <w:t>comptabilitefournisseurs@grenoble-em.com</w:t>
        </w:r>
      </w:hyperlink>
      <w:r>
        <w:rPr>
          <w:rStyle w:val="Lienhypertexte"/>
          <w:rFonts w:ascii="CIDFont+F1" w:hAnsi="CIDFont+F1" w:cs="CIDFont+F1"/>
        </w:rPr>
        <w:t xml:space="preserve"> </w:t>
      </w:r>
    </w:p>
    <w:p w14:paraId="35E73920" w14:textId="77777777" w:rsidR="00D373D4" w:rsidRDefault="00D373D4" w:rsidP="00D373D4">
      <w:pPr>
        <w:autoSpaceDE w:val="0"/>
        <w:autoSpaceDN w:val="0"/>
        <w:adjustRightInd w:val="0"/>
        <w:spacing w:after="0" w:line="240" w:lineRule="auto"/>
        <w:jc w:val="both"/>
        <w:rPr>
          <w:rFonts w:ascii="CIDFont+F1" w:hAnsi="CIDFont+F1" w:cs="CIDFont+F1"/>
          <w:color w:val="000000"/>
        </w:rPr>
      </w:pPr>
      <w:r>
        <w:rPr>
          <w:rFonts w:ascii="CIDFont+F1" w:hAnsi="CIDFont+F1" w:cs="CIDFont+F1"/>
          <w:color w:val="000000"/>
        </w:rPr>
        <w:t>A défaut, elles seront adressées en un seul exemplaire à l’adresse suivante :</w:t>
      </w:r>
    </w:p>
    <w:p w14:paraId="02874D0E" w14:textId="77777777" w:rsidR="00D373D4" w:rsidRDefault="00D373D4" w:rsidP="00D373D4">
      <w:pPr>
        <w:autoSpaceDE w:val="0"/>
        <w:autoSpaceDN w:val="0"/>
        <w:adjustRightInd w:val="0"/>
        <w:spacing w:after="0" w:line="240" w:lineRule="auto"/>
        <w:ind w:firstLine="708"/>
        <w:jc w:val="both"/>
        <w:rPr>
          <w:rFonts w:ascii="CIDFont+F1" w:hAnsi="CIDFont+F1" w:cs="CIDFont+F1"/>
          <w:color w:val="000000"/>
        </w:rPr>
      </w:pPr>
      <w:r>
        <w:rPr>
          <w:rFonts w:ascii="CIDFont+F1" w:hAnsi="CIDFont+F1" w:cs="CIDFont+F1"/>
          <w:color w:val="000000"/>
        </w:rPr>
        <w:t>EESC Grenoble Ecole de Management</w:t>
      </w:r>
    </w:p>
    <w:p w14:paraId="1BA3D00E" w14:textId="77777777" w:rsidR="00D373D4" w:rsidRDefault="00D373D4" w:rsidP="00D373D4">
      <w:pPr>
        <w:autoSpaceDE w:val="0"/>
        <w:autoSpaceDN w:val="0"/>
        <w:adjustRightInd w:val="0"/>
        <w:spacing w:after="0" w:line="240" w:lineRule="auto"/>
        <w:ind w:firstLine="708"/>
        <w:jc w:val="both"/>
        <w:rPr>
          <w:rFonts w:ascii="CIDFont+F1" w:hAnsi="CIDFont+F1" w:cs="CIDFont+F1"/>
          <w:color w:val="000000"/>
        </w:rPr>
      </w:pPr>
      <w:r>
        <w:rPr>
          <w:rFonts w:ascii="CIDFont+F1" w:hAnsi="CIDFont+F1" w:cs="CIDFont+F1"/>
          <w:color w:val="000000"/>
        </w:rPr>
        <w:t>Direction Financière</w:t>
      </w:r>
    </w:p>
    <w:p w14:paraId="767164E1" w14:textId="77777777" w:rsidR="00D373D4" w:rsidRDefault="00D373D4" w:rsidP="00D373D4">
      <w:pPr>
        <w:autoSpaceDE w:val="0"/>
        <w:autoSpaceDN w:val="0"/>
        <w:adjustRightInd w:val="0"/>
        <w:spacing w:after="0" w:line="240" w:lineRule="auto"/>
        <w:ind w:firstLine="708"/>
        <w:jc w:val="both"/>
        <w:rPr>
          <w:rFonts w:ascii="CIDFont+F1" w:hAnsi="CIDFont+F1" w:cs="CIDFont+F1"/>
          <w:color w:val="000000"/>
        </w:rPr>
      </w:pPr>
      <w:r>
        <w:rPr>
          <w:rFonts w:ascii="CIDFont+F1" w:hAnsi="CIDFont+F1" w:cs="CIDFont+F1"/>
          <w:color w:val="000000"/>
        </w:rPr>
        <w:t>12, rue Pierre Sémard</w:t>
      </w:r>
    </w:p>
    <w:p w14:paraId="76FA0C9B" w14:textId="48B5CF9E" w:rsidR="00D373D4" w:rsidRDefault="00D373D4" w:rsidP="00D373D4">
      <w:pPr>
        <w:keepLines/>
        <w:tabs>
          <w:tab w:val="left" w:pos="567"/>
          <w:tab w:val="left" w:pos="851"/>
          <w:tab w:val="left" w:pos="1134"/>
        </w:tabs>
        <w:spacing w:after="0"/>
        <w:ind w:left="284"/>
        <w:jc w:val="both"/>
        <w:rPr>
          <w:rFonts w:ascii="CIDFont+F1" w:hAnsi="CIDFont+F1" w:cs="CIDFont+F1"/>
          <w:color w:val="000000"/>
        </w:rPr>
      </w:pPr>
      <w:r>
        <w:rPr>
          <w:rFonts w:ascii="CIDFont+F1" w:hAnsi="CIDFont+F1" w:cs="CIDFont+F1"/>
          <w:color w:val="000000"/>
        </w:rPr>
        <w:tab/>
        <w:t xml:space="preserve">   38000 Grenoble</w:t>
      </w:r>
    </w:p>
    <w:p w14:paraId="30EE93B8" w14:textId="77777777" w:rsidR="00D373D4" w:rsidRDefault="00D373D4" w:rsidP="00D373D4">
      <w:pPr>
        <w:keepLines/>
        <w:tabs>
          <w:tab w:val="left" w:pos="567"/>
          <w:tab w:val="left" w:pos="851"/>
          <w:tab w:val="left" w:pos="1134"/>
        </w:tabs>
        <w:spacing w:after="0"/>
        <w:ind w:left="284"/>
        <w:jc w:val="both"/>
        <w:rPr>
          <w:rFonts w:ascii="CIDFont+F1" w:hAnsi="CIDFont+F1" w:cs="CIDFont+F1"/>
          <w:color w:val="000000"/>
        </w:rPr>
      </w:pPr>
    </w:p>
    <w:p w14:paraId="61207D03" w14:textId="30D439B5" w:rsidR="00D373D4" w:rsidRDefault="00D373D4" w:rsidP="00D35646">
      <w:pPr>
        <w:pStyle w:val="Titre2"/>
      </w:pPr>
      <w:bookmarkStart w:id="31" w:name="_Toc185398509"/>
      <w:r w:rsidRPr="00D373D4">
        <w:t>Délai global de paiement</w:t>
      </w:r>
      <w:bookmarkEnd w:id="31"/>
    </w:p>
    <w:p w14:paraId="52CDCA24" w14:textId="77777777" w:rsidR="00D373D4" w:rsidRPr="00D373D4" w:rsidRDefault="00D373D4" w:rsidP="00D373D4">
      <w:pPr>
        <w:autoSpaceDE w:val="0"/>
        <w:autoSpaceDN w:val="0"/>
        <w:adjustRightInd w:val="0"/>
        <w:spacing w:after="0" w:line="240" w:lineRule="auto"/>
        <w:rPr>
          <w:rFonts w:ascii="Helvetica-Oblique" w:hAnsi="Helvetica-Oblique" w:cs="Helvetica-Oblique"/>
          <w:i/>
          <w:iCs/>
          <w:sz w:val="24"/>
          <w:szCs w:val="24"/>
          <w:u w:val="single"/>
        </w:rPr>
      </w:pPr>
    </w:p>
    <w:p w14:paraId="6F4E011F" w14:textId="0EE9BFA2" w:rsidR="00D373D4" w:rsidRPr="00FD35F6" w:rsidRDefault="00D373D4" w:rsidP="00D373D4">
      <w:pPr>
        <w:autoSpaceDE w:val="0"/>
        <w:autoSpaceDN w:val="0"/>
        <w:adjustRightInd w:val="0"/>
        <w:spacing w:after="0" w:line="240" w:lineRule="auto"/>
        <w:jc w:val="both"/>
        <w:rPr>
          <w:rFonts w:ascii="Helvetica" w:hAnsi="Helvetica" w:cs="Helvetica"/>
        </w:rPr>
      </w:pPr>
      <w:r w:rsidRPr="00FD35F6">
        <w:rPr>
          <w:rFonts w:ascii="Helvetica" w:hAnsi="Helvetica" w:cs="Helvetica"/>
        </w:rPr>
        <w:t xml:space="preserve">Les sommes dues au(x) Titulaire(s), sont payées dans un délai global de 30 jours à compter de la date de réception des </w:t>
      </w:r>
      <w:r w:rsidR="00FD35F6" w:rsidRPr="00FD35F6">
        <w:rPr>
          <w:rFonts w:ascii="Helvetica" w:hAnsi="Helvetica" w:cs="Helvetica"/>
        </w:rPr>
        <w:t xml:space="preserve">factures ou des </w:t>
      </w:r>
      <w:r w:rsidRPr="00FD35F6">
        <w:rPr>
          <w:rFonts w:ascii="Helvetica" w:hAnsi="Helvetica" w:cs="Helvetica"/>
        </w:rPr>
        <w:t xml:space="preserve">demandes de </w:t>
      </w:r>
      <w:r w:rsidR="00FD35F6" w:rsidRPr="00FD35F6">
        <w:rPr>
          <w:rFonts w:ascii="Helvetica" w:hAnsi="Helvetica" w:cs="Helvetica"/>
        </w:rPr>
        <w:t>paiement équivalentes.</w:t>
      </w:r>
    </w:p>
    <w:p w14:paraId="386973CE" w14:textId="77777777" w:rsidR="00FD35F6" w:rsidRPr="00B25DE0" w:rsidRDefault="00FD35F6" w:rsidP="00D373D4">
      <w:pPr>
        <w:autoSpaceDE w:val="0"/>
        <w:autoSpaceDN w:val="0"/>
        <w:adjustRightInd w:val="0"/>
        <w:spacing w:after="0" w:line="240" w:lineRule="auto"/>
        <w:jc w:val="both"/>
        <w:rPr>
          <w:rFonts w:ascii="Helvetica" w:hAnsi="Helvetica" w:cs="Helvetica"/>
          <w:highlight w:val="yellow"/>
        </w:rPr>
      </w:pPr>
    </w:p>
    <w:p w14:paraId="6AA5EF06" w14:textId="77777777" w:rsidR="00FD35F6" w:rsidRPr="00805B2B" w:rsidRDefault="00D373D4" w:rsidP="00D373D4">
      <w:pPr>
        <w:autoSpaceDE w:val="0"/>
        <w:autoSpaceDN w:val="0"/>
        <w:adjustRightInd w:val="0"/>
        <w:spacing w:after="0" w:line="240" w:lineRule="auto"/>
        <w:jc w:val="both"/>
        <w:rPr>
          <w:rFonts w:ascii="Arial" w:hAnsi="Arial" w:cs="Arial"/>
        </w:rPr>
      </w:pPr>
      <w:r w:rsidRPr="00805B2B">
        <w:rPr>
          <w:rFonts w:ascii="Arial" w:hAnsi="Arial" w:cs="Arial"/>
        </w:rPr>
        <w:t xml:space="preserve">En cas de retard de paiement, le Titulaire a droit au versement d’intérêts moratoires, ainsi qu’à une indemnité forfaitaire pour frais de recouvrement d’un montant de 40 €. </w:t>
      </w:r>
    </w:p>
    <w:p w14:paraId="33094648" w14:textId="408C8A64" w:rsidR="00D373D4" w:rsidRPr="00805B2B" w:rsidRDefault="00D373D4" w:rsidP="00D373D4">
      <w:pPr>
        <w:autoSpaceDE w:val="0"/>
        <w:autoSpaceDN w:val="0"/>
        <w:adjustRightInd w:val="0"/>
        <w:spacing w:after="0" w:line="240" w:lineRule="auto"/>
        <w:jc w:val="both"/>
        <w:rPr>
          <w:rFonts w:ascii="Arial" w:hAnsi="Arial" w:cs="Arial"/>
        </w:rPr>
      </w:pPr>
      <w:r w:rsidRPr="00805B2B">
        <w:rPr>
          <w:rFonts w:ascii="Arial" w:hAnsi="Arial" w:cs="Arial"/>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C2BC55E" w14:textId="163F8ACE" w:rsidR="008C6249" w:rsidRDefault="008C6249" w:rsidP="00D373D4">
      <w:pPr>
        <w:autoSpaceDE w:val="0"/>
        <w:autoSpaceDN w:val="0"/>
        <w:adjustRightInd w:val="0"/>
        <w:spacing w:after="0" w:line="240" w:lineRule="auto"/>
        <w:jc w:val="both"/>
        <w:rPr>
          <w:rFonts w:ascii="Helvetica" w:hAnsi="Helvetica" w:cs="Helvetica"/>
        </w:rPr>
      </w:pPr>
    </w:p>
    <w:p w14:paraId="1EBCCAA5" w14:textId="77777777" w:rsidR="008C6249" w:rsidRPr="00D373D4" w:rsidRDefault="008C6249" w:rsidP="00D373D4">
      <w:pPr>
        <w:autoSpaceDE w:val="0"/>
        <w:autoSpaceDN w:val="0"/>
        <w:adjustRightInd w:val="0"/>
        <w:spacing w:after="0" w:line="240" w:lineRule="auto"/>
        <w:jc w:val="both"/>
        <w:rPr>
          <w:rFonts w:ascii="Helvetica" w:hAnsi="Helvetica" w:cs="Helvetica"/>
        </w:rPr>
      </w:pPr>
    </w:p>
    <w:p w14:paraId="2E0E82F3" w14:textId="360D94F0" w:rsidR="004903D8" w:rsidRDefault="00D373D4" w:rsidP="00AD5A30">
      <w:pPr>
        <w:pStyle w:val="Titre1"/>
      </w:pPr>
      <w:bookmarkStart w:id="32" w:name="_Toc185398510"/>
      <w:r>
        <w:t>Pénalités</w:t>
      </w:r>
      <w:bookmarkEnd w:id="32"/>
    </w:p>
    <w:p w14:paraId="11052143" w14:textId="77777777" w:rsidR="006C0EE4" w:rsidRDefault="006C0EE4" w:rsidP="00FD35F6">
      <w:pPr>
        <w:pStyle w:val="Corpsdetexte"/>
        <w:spacing w:line="280" w:lineRule="exact"/>
        <w:ind w:right="-569"/>
        <w:rPr>
          <w:sz w:val="22"/>
          <w:szCs w:val="22"/>
        </w:rPr>
      </w:pPr>
    </w:p>
    <w:p w14:paraId="1FBEFC20" w14:textId="54AF1DE9" w:rsidR="006C0EE4" w:rsidRPr="005D03B6" w:rsidRDefault="006C0EE4" w:rsidP="00D35646">
      <w:pPr>
        <w:pStyle w:val="Titre2"/>
        <w:rPr>
          <w:lang w:eastAsia="fr-FR"/>
        </w:rPr>
      </w:pPr>
      <w:bookmarkStart w:id="33" w:name="_Toc185398511"/>
      <w:r w:rsidRPr="005D03B6">
        <w:rPr>
          <w:lang w:eastAsia="fr-FR"/>
        </w:rPr>
        <w:t>Pénalités de retard</w:t>
      </w:r>
      <w:bookmarkEnd w:id="33"/>
    </w:p>
    <w:p w14:paraId="7CDB0DA5" w14:textId="1081521A" w:rsidR="006C0EE4" w:rsidRPr="005D03B6" w:rsidRDefault="006C0EE4" w:rsidP="006C0EE4">
      <w:pPr>
        <w:rPr>
          <w:rFonts w:ascii="Arial" w:hAnsi="Arial" w:cs="Arial"/>
          <w:lang w:eastAsia="fr-FR"/>
        </w:rPr>
      </w:pPr>
      <w:r w:rsidRPr="005D03B6">
        <w:rPr>
          <w:rFonts w:ascii="Arial" w:hAnsi="Arial" w:cs="Arial"/>
          <w:lang w:eastAsia="fr-FR"/>
        </w:rPr>
        <w:t xml:space="preserve">Lorsque le délai contractuel d'exécution ou de livraison est dépassé, par le fait du titulaire, celui-ci encourt, par jour de retard, une pénalité fixée à </w:t>
      </w:r>
      <w:r w:rsidR="00BB076D" w:rsidRPr="005D03B6">
        <w:rPr>
          <w:rFonts w:ascii="Arial" w:hAnsi="Arial" w:cs="Arial"/>
          <w:lang w:eastAsia="fr-FR"/>
        </w:rPr>
        <w:t>1</w:t>
      </w:r>
      <w:r w:rsidRPr="005D03B6">
        <w:rPr>
          <w:rFonts w:ascii="Arial" w:hAnsi="Arial" w:cs="Arial"/>
          <w:lang w:eastAsia="fr-FR"/>
        </w:rPr>
        <w:t>50,00 euros.</w:t>
      </w:r>
    </w:p>
    <w:p w14:paraId="7AA771B8" w14:textId="77777777" w:rsidR="006C0EE4" w:rsidRPr="005D03B6" w:rsidRDefault="006C0EE4" w:rsidP="006C0EE4">
      <w:pPr>
        <w:rPr>
          <w:rFonts w:ascii="Arial" w:hAnsi="Arial" w:cs="Arial"/>
          <w:lang w:eastAsia="fr-FR"/>
        </w:rPr>
      </w:pPr>
      <w:r w:rsidRPr="005D03B6">
        <w:rPr>
          <w:rFonts w:ascii="Arial" w:hAnsi="Arial" w:cs="Arial"/>
          <w:lang w:eastAsia="fr-FR"/>
        </w:rPr>
        <w:t>Par dérogation à l'article 14.1.3 du CCAG-FCS, il n'est prévu aucune exonération à l'application des pénalités de retard.</w:t>
      </w:r>
    </w:p>
    <w:p w14:paraId="04C28693" w14:textId="77777777" w:rsidR="006C0EE4" w:rsidRPr="005D03B6" w:rsidRDefault="006C0EE4" w:rsidP="006C0EE4">
      <w:pPr>
        <w:rPr>
          <w:rFonts w:ascii="Arial" w:hAnsi="Arial" w:cs="Arial"/>
          <w:lang w:eastAsia="fr-FR"/>
        </w:rPr>
      </w:pPr>
      <w:r w:rsidRPr="005D03B6">
        <w:rPr>
          <w:rFonts w:ascii="Arial" w:hAnsi="Arial" w:cs="Arial"/>
          <w:lang w:eastAsia="fr-FR"/>
        </w:rPr>
        <w:t>Le montant total des pénalités de retard n'est pas plafonné.</w:t>
      </w:r>
    </w:p>
    <w:p w14:paraId="35B16A14" w14:textId="6BAFBD7E" w:rsidR="006C0EE4" w:rsidRDefault="006C0EE4" w:rsidP="006C0EE4">
      <w:pPr>
        <w:rPr>
          <w:rFonts w:ascii="Arial" w:hAnsi="Arial" w:cs="Arial"/>
          <w:lang w:eastAsia="fr-FR"/>
        </w:rPr>
      </w:pPr>
      <w:r w:rsidRPr="005D03B6">
        <w:rPr>
          <w:rFonts w:ascii="Arial" w:hAnsi="Arial" w:cs="Arial"/>
          <w:lang w:eastAsia="fr-FR"/>
        </w:rPr>
        <w:t>Les pénalités de retard sont appliquées après mise en demeure adressée au titulaire et restée sans effet dans un délai de dix (10) jours calendaire maximum.</w:t>
      </w:r>
    </w:p>
    <w:p w14:paraId="50058788" w14:textId="77777777" w:rsidR="005D03B6" w:rsidRPr="005D03B6" w:rsidRDefault="005D03B6" w:rsidP="006C0EE4">
      <w:pPr>
        <w:rPr>
          <w:rFonts w:ascii="Arial" w:hAnsi="Arial" w:cs="Arial"/>
          <w:lang w:eastAsia="fr-FR"/>
        </w:rPr>
      </w:pPr>
    </w:p>
    <w:p w14:paraId="723F4F57" w14:textId="66DE2B59" w:rsidR="006C0EE4" w:rsidRPr="00787CFA" w:rsidRDefault="006C0EE4" w:rsidP="00761FDB">
      <w:pPr>
        <w:pStyle w:val="Titre2"/>
        <w:rPr>
          <w:lang w:eastAsia="fr-FR"/>
        </w:rPr>
      </w:pPr>
      <w:bookmarkStart w:id="34" w:name="_Toc185398512"/>
      <w:r w:rsidRPr="00787CFA">
        <w:rPr>
          <w:lang w:eastAsia="fr-FR"/>
        </w:rPr>
        <w:t xml:space="preserve">Pénalités </w:t>
      </w:r>
      <w:r w:rsidR="00761FDB" w:rsidRPr="00787CFA">
        <w:rPr>
          <w:lang w:eastAsia="fr-FR"/>
        </w:rPr>
        <w:t>pour absence constatée du responsable de site</w:t>
      </w:r>
      <w:bookmarkEnd w:id="34"/>
    </w:p>
    <w:p w14:paraId="529F4562" w14:textId="77777777" w:rsidR="00761FDB" w:rsidRPr="00787CFA" w:rsidRDefault="00761FDB" w:rsidP="00761FDB">
      <w:pPr>
        <w:pStyle w:val="Paragraphedeliste"/>
        <w:numPr>
          <w:ilvl w:val="0"/>
          <w:numId w:val="10"/>
        </w:numPr>
        <w:rPr>
          <w:rFonts w:ascii="Arial" w:hAnsi="Arial" w:cs="Arial"/>
          <w:lang w:eastAsia="fr-FR"/>
        </w:rPr>
      </w:pPr>
      <w:r w:rsidRPr="00787CFA">
        <w:rPr>
          <w:rFonts w:ascii="Arial" w:hAnsi="Arial" w:cs="Arial"/>
          <w:lang w:eastAsia="fr-FR"/>
        </w:rPr>
        <w:t>250 € / absence</w:t>
      </w:r>
    </w:p>
    <w:p w14:paraId="2ECC1351" w14:textId="33903679" w:rsidR="006C0EE4" w:rsidRPr="005D03B6" w:rsidRDefault="006C0EE4" w:rsidP="00D35646">
      <w:pPr>
        <w:pStyle w:val="Titre2"/>
        <w:rPr>
          <w:lang w:eastAsia="fr-FR"/>
        </w:rPr>
      </w:pPr>
      <w:bookmarkStart w:id="35" w:name="_Toc185398513"/>
      <w:r w:rsidRPr="005D03B6">
        <w:rPr>
          <w:lang w:eastAsia="fr-FR"/>
        </w:rPr>
        <w:t xml:space="preserve">Pénalités pour non-exécution </w:t>
      </w:r>
      <w:r w:rsidR="00BB076D" w:rsidRPr="005D03B6">
        <w:rPr>
          <w:lang w:eastAsia="fr-FR"/>
        </w:rPr>
        <w:t xml:space="preserve">totale ou partielle </w:t>
      </w:r>
      <w:r w:rsidRPr="005D03B6">
        <w:rPr>
          <w:lang w:eastAsia="fr-FR"/>
        </w:rPr>
        <w:t>des prestations</w:t>
      </w:r>
      <w:bookmarkEnd w:id="35"/>
    </w:p>
    <w:p w14:paraId="660DCB2A" w14:textId="79D69CFE" w:rsidR="006C0EE4" w:rsidRPr="005D03B6" w:rsidRDefault="006C0EE4" w:rsidP="006C0EE4">
      <w:pPr>
        <w:rPr>
          <w:rFonts w:ascii="Arial" w:hAnsi="Arial" w:cs="Arial"/>
          <w:lang w:eastAsia="fr-FR"/>
        </w:rPr>
      </w:pPr>
      <w:r w:rsidRPr="005D03B6">
        <w:rPr>
          <w:rFonts w:ascii="Arial" w:hAnsi="Arial" w:cs="Arial"/>
          <w:lang w:eastAsia="fr-FR"/>
        </w:rPr>
        <w:t xml:space="preserve">En cas de non-exécution totale ou partielle d’une ou plusieurs prestations décrites au Cahier des Clauses Techniques Particulières (CCTP), et ce pour chaque fréquence définie, GEM appliquera une </w:t>
      </w:r>
      <w:r w:rsidR="00287E7F" w:rsidRPr="005D03B6">
        <w:rPr>
          <w:rFonts w:ascii="Arial" w:hAnsi="Arial" w:cs="Arial"/>
          <w:lang w:eastAsia="fr-FR"/>
        </w:rPr>
        <w:t>pénalité de la manière suivante :</w:t>
      </w:r>
    </w:p>
    <w:p w14:paraId="61FB13D6" w14:textId="77777777" w:rsidR="00287E7F" w:rsidRPr="005D03B6" w:rsidRDefault="00287E7F" w:rsidP="00287E7F">
      <w:pPr>
        <w:pStyle w:val="Paragraphedeliste"/>
        <w:numPr>
          <w:ilvl w:val="0"/>
          <w:numId w:val="7"/>
        </w:numPr>
        <w:rPr>
          <w:rFonts w:ascii="Arial" w:hAnsi="Arial" w:cs="Arial"/>
          <w:lang w:eastAsia="fr-FR"/>
        </w:rPr>
      </w:pPr>
      <w:r w:rsidRPr="005D03B6">
        <w:rPr>
          <w:rFonts w:ascii="Arial" w:hAnsi="Arial" w:cs="Arial"/>
          <w:lang w:eastAsia="fr-FR"/>
        </w:rPr>
        <w:t>Site déclaré non conforme lors d'un contrôle : note inférieure à 80 %</w:t>
      </w:r>
    </w:p>
    <w:p w14:paraId="7834D979" w14:textId="77777777" w:rsidR="00287E7F" w:rsidRPr="005D03B6" w:rsidRDefault="00287E7F" w:rsidP="00287E7F">
      <w:pPr>
        <w:ind w:left="12" w:firstLine="708"/>
        <w:rPr>
          <w:rFonts w:ascii="Arial" w:hAnsi="Arial" w:cs="Arial"/>
          <w:lang w:eastAsia="fr-FR"/>
        </w:rPr>
      </w:pPr>
      <w:r w:rsidRPr="005D03B6">
        <w:rPr>
          <w:rFonts w:ascii="Arial" w:hAnsi="Arial" w:cs="Arial"/>
          <w:lang w:eastAsia="fr-FR"/>
        </w:rPr>
        <w:t>250 € / site non conforme</w:t>
      </w:r>
    </w:p>
    <w:p w14:paraId="1E87E3E8" w14:textId="77777777" w:rsidR="00287E7F" w:rsidRPr="005D03B6" w:rsidRDefault="00287E7F" w:rsidP="00287E7F">
      <w:pPr>
        <w:pStyle w:val="Paragraphedeliste"/>
        <w:numPr>
          <w:ilvl w:val="0"/>
          <w:numId w:val="7"/>
        </w:numPr>
        <w:rPr>
          <w:rFonts w:ascii="Arial" w:hAnsi="Arial" w:cs="Arial"/>
          <w:lang w:eastAsia="fr-FR"/>
        </w:rPr>
      </w:pPr>
      <w:r w:rsidRPr="005D03B6">
        <w:rPr>
          <w:rFonts w:ascii="Arial" w:hAnsi="Arial" w:cs="Arial"/>
          <w:lang w:eastAsia="fr-FR"/>
        </w:rPr>
        <w:t>Site déclaré non conforme lors d'un contrôle : note inférieure à 60 %</w:t>
      </w:r>
    </w:p>
    <w:p w14:paraId="3951C1CC" w14:textId="5E3EF2F4" w:rsidR="00287E7F" w:rsidRPr="005D03B6" w:rsidRDefault="00287E7F" w:rsidP="00287E7F">
      <w:pPr>
        <w:ind w:left="12" w:firstLine="708"/>
        <w:rPr>
          <w:rFonts w:ascii="Arial" w:hAnsi="Arial" w:cs="Arial"/>
          <w:lang w:eastAsia="fr-FR"/>
        </w:rPr>
      </w:pPr>
      <w:r w:rsidRPr="005D03B6">
        <w:rPr>
          <w:rFonts w:ascii="Arial" w:hAnsi="Arial" w:cs="Arial"/>
          <w:lang w:eastAsia="fr-FR"/>
        </w:rPr>
        <w:t>1 000 € / site non conforme</w:t>
      </w:r>
    </w:p>
    <w:p w14:paraId="2E735676" w14:textId="77777777" w:rsidR="00761FDB" w:rsidRPr="005D03B6" w:rsidRDefault="00761FDB" w:rsidP="00761FDB">
      <w:pPr>
        <w:pStyle w:val="Paragraphedeliste"/>
        <w:numPr>
          <w:ilvl w:val="0"/>
          <w:numId w:val="9"/>
        </w:numPr>
        <w:rPr>
          <w:rFonts w:ascii="Arial" w:hAnsi="Arial" w:cs="Arial"/>
          <w:lang w:eastAsia="fr-FR"/>
        </w:rPr>
      </w:pPr>
      <w:r w:rsidRPr="005D03B6">
        <w:rPr>
          <w:rFonts w:ascii="Arial" w:hAnsi="Arial" w:cs="Arial"/>
          <w:lang w:eastAsia="fr-FR"/>
        </w:rPr>
        <w:t>Prestation non réalisée selon le fréquentiel annexe 4</w:t>
      </w:r>
    </w:p>
    <w:p w14:paraId="19C8B9D2" w14:textId="77777777" w:rsidR="00761FDB" w:rsidRPr="005D03B6" w:rsidRDefault="00761FDB" w:rsidP="00761FDB">
      <w:pPr>
        <w:ind w:firstLine="708"/>
        <w:rPr>
          <w:rFonts w:ascii="Arial" w:hAnsi="Arial" w:cs="Arial"/>
          <w:lang w:eastAsia="fr-FR"/>
        </w:rPr>
      </w:pPr>
      <w:r w:rsidRPr="005D03B6">
        <w:rPr>
          <w:rFonts w:ascii="Arial" w:hAnsi="Arial" w:cs="Arial"/>
          <w:lang w:eastAsia="fr-FR"/>
        </w:rPr>
        <w:t>100€ à la 2ème notification</w:t>
      </w:r>
    </w:p>
    <w:p w14:paraId="448D75AB" w14:textId="77777777" w:rsidR="00761FDB" w:rsidRPr="005D03B6" w:rsidRDefault="00761FDB" w:rsidP="00761FDB">
      <w:pPr>
        <w:ind w:firstLine="708"/>
        <w:rPr>
          <w:rFonts w:ascii="Arial" w:hAnsi="Arial" w:cs="Arial"/>
          <w:lang w:eastAsia="fr-FR"/>
        </w:rPr>
      </w:pPr>
      <w:r w:rsidRPr="005D03B6">
        <w:rPr>
          <w:rFonts w:ascii="Arial" w:hAnsi="Arial" w:cs="Arial"/>
          <w:lang w:eastAsia="fr-FR"/>
        </w:rPr>
        <w:t>500€ à la 3ème notification</w:t>
      </w:r>
    </w:p>
    <w:p w14:paraId="01E80CCC" w14:textId="77777777" w:rsidR="00761FDB" w:rsidRPr="005D03B6" w:rsidRDefault="00761FDB" w:rsidP="00761FDB">
      <w:pPr>
        <w:ind w:firstLine="708"/>
        <w:rPr>
          <w:rFonts w:ascii="Arial" w:hAnsi="Arial" w:cs="Arial"/>
          <w:lang w:eastAsia="fr-FR"/>
        </w:rPr>
      </w:pPr>
      <w:r w:rsidRPr="005D03B6">
        <w:rPr>
          <w:rFonts w:ascii="Arial" w:hAnsi="Arial" w:cs="Arial"/>
          <w:lang w:eastAsia="fr-FR"/>
        </w:rPr>
        <w:t>750€ à la 4ème notification et aux suivantes</w:t>
      </w:r>
    </w:p>
    <w:p w14:paraId="3E3FA243" w14:textId="77777777" w:rsidR="00761FDB" w:rsidRPr="00787CFA" w:rsidRDefault="00761FDB" w:rsidP="00761FDB">
      <w:pPr>
        <w:pStyle w:val="Paragraphedeliste"/>
        <w:numPr>
          <w:ilvl w:val="0"/>
          <w:numId w:val="9"/>
        </w:numPr>
        <w:rPr>
          <w:rFonts w:ascii="Arial" w:hAnsi="Arial" w:cs="Arial"/>
          <w:lang w:eastAsia="fr-FR"/>
        </w:rPr>
      </w:pPr>
      <w:r w:rsidRPr="00787CFA">
        <w:rPr>
          <w:rFonts w:ascii="Arial" w:hAnsi="Arial" w:cs="Arial"/>
          <w:lang w:eastAsia="fr-FR"/>
        </w:rPr>
        <w:t>Prestation annuelle de vitrerie intérieure et extérieure non réalisée sur l’année</w:t>
      </w:r>
    </w:p>
    <w:p w14:paraId="1AEE3688" w14:textId="1E390604" w:rsidR="00761FDB" w:rsidRPr="00787CFA" w:rsidRDefault="00787CFA" w:rsidP="005D03B6">
      <w:pPr>
        <w:ind w:left="708"/>
        <w:rPr>
          <w:rFonts w:ascii="Arial" w:hAnsi="Arial" w:cs="Arial"/>
          <w:lang w:eastAsia="fr-FR"/>
        </w:rPr>
      </w:pPr>
      <w:r>
        <w:rPr>
          <w:rFonts w:ascii="Arial" w:hAnsi="Arial" w:cs="Arial"/>
          <w:lang w:eastAsia="fr-FR"/>
        </w:rPr>
        <w:lastRenderedPageBreak/>
        <w:t>R</w:t>
      </w:r>
      <w:r w:rsidR="0012565E" w:rsidRPr="00787CFA">
        <w:rPr>
          <w:rFonts w:ascii="Arial" w:hAnsi="Arial" w:cs="Arial"/>
          <w:lang w:eastAsia="fr-FR"/>
        </w:rPr>
        <w:t xml:space="preserve">éfaction du </w:t>
      </w:r>
      <w:r w:rsidR="005D03B6" w:rsidRPr="00787CFA">
        <w:rPr>
          <w:rFonts w:ascii="Arial" w:hAnsi="Arial" w:cs="Arial"/>
          <w:lang w:eastAsia="fr-FR"/>
        </w:rPr>
        <w:t xml:space="preserve">montant </w:t>
      </w:r>
      <w:r w:rsidR="005D03B6">
        <w:rPr>
          <w:rFonts w:ascii="Arial" w:hAnsi="Arial" w:cs="Arial"/>
          <w:lang w:eastAsia="fr-FR"/>
        </w:rPr>
        <w:t xml:space="preserve">prévu dans le DPGF </w:t>
      </w:r>
      <w:r w:rsidR="005D03B6" w:rsidRPr="00787CFA">
        <w:rPr>
          <w:rFonts w:ascii="Arial" w:hAnsi="Arial" w:cs="Arial"/>
          <w:lang w:eastAsia="fr-FR"/>
        </w:rPr>
        <w:t>et</w:t>
      </w:r>
      <w:r w:rsidRPr="00787CFA">
        <w:rPr>
          <w:rFonts w:ascii="Arial" w:hAnsi="Arial" w:cs="Arial"/>
          <w:lang w:eastAsia="fr-FR"/>
        </w:rPr>
        <w:t xml:space="preserve"> pénalité de 10</w:t>
      </w:r>
      <w:r w:rsidR="0012565E" w:rsidRPr="00787CFA">
        <w:rPr>
          <w:rFonts w:ascii="Arial" w:hAnsi="Arial" w:cs="Arial"/>
          <w:lang w:eastAsia="fr-FR"/>
        </w:rPr>
        <w:t xml:space="preserve">% </w:t>
      </w:r>
      <w:r w:rsidRPr="00787CFA">
        <w:rPr>
          <w:rFonts w:ascii="Arial" w:hAnsi="Arial" w:cs="Arial"/>
          <w:lang w:eastAsia="fr-FR"/>
        </w:rPr>
        <w:t xml:space="preserve">du montant </w:t>
      </w:r>
      <w:r w:rsidR="005D03B6">
        <w:rPr>
          <w:rFonts w:ascii="Arial" w:hAnsi="Arial" w:cs="Arial"/>
          <w:lang w:eastAsia="fr-FR"/>
        </w:rPr>
        <w:t>par</w:t>
      </w:r>
      <w:r w:rsidR="00B1185D" w:rsidRPr="00787CFA">
        <w:rPr>
          <w:rFonts w:ascii="Arial" w:hAnsi="Arial" w:cs="Arial"/>
          <w:lang w:eastAsia="fr-FR"/>
        </w:rPr>
        <w:t xml:space="preserve"> site</w:t>
      </w:r>
      <w:r w:rsidR="005D03B6">
        <w:rPr>
          <w:rFonts w:ascii="Arial" w:hAnsi="Arial" w:cs="Arial"/>
          <w:lang w:eastAsia="fr-FR"/>
        </w:rPr>
        <w:t xml:space="preserve"> non fait.</w:t>
      </w:r>
    </w:p>
    <w:p w14:paraId="62F70723"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Non remplacement d'un agent dans les délais prévus</w:t>
      </w:r>
    </w:p>
    <w:p w14:paraId="39D9C08D" w14:textId="75A27650" w:rsidR="00BB076D" w:rsidRPr="00787CFA" w:rsidRDefault="00BB076D" w:rsidP="00BB076D">
      <w:pPr>
        <w:pStyle w:val="Paragraphedeliste"/>
        <w:ind w:firstLine="696"/>
        <w:rPr>
          <w:rFonts w:ascii="Arial" w:hAnsi="Arial" w:cs="Arial"/>
          <w:lang w:eastAsia="fr-FR"/>
        </w:rPr>
      </w:pPr>
      <w:r w:rsidRPr="00787CFA">
        <w:rPr>
          <w:rFonts w:ascii="Arial" w:hAnsi="Arial" w:cs="Arial"/>
          <w:lang w:eastAsia="fr-FR"/>
        </w:rPr>
        <w:t>500 € / agent / jour non remplacé (au-delà du délai)</w:t>
      </w:r>
    </w:p>
    <w:p w14:paraId="74A1DC9C" w14:textId="77777777" w:rsidR="00BB076D" w:rsidRPr="00BB076D" w:rsidRDefault="00BB076D" w:rsidP="00BB076D">
      <w:pPr>
        <w:pStyle w:val="Paragraphedeliste"/>
        <w:ind w:firstLine="696"/>
        <w:rPr>
          <w:rFonts w:ascii="Arial" w:hAnsi="Arial" w:cs="Arial"/>
          <w:highlight w:val="yellow"/>
          <w:lang w:eastAsia="fr-FR"/>
        </w:rPr>
      </w:pPr>
    </w:p>
    <w:p w14:paraId="71BCBE35"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Défaut d’approvisionnement en matériel (Liste de référence selon l’annexe 5)</w:t>
      </w:r>
    </w:p>
    <w:p w14:paraId="70D9E10D" w14:textId="7C897C4D" w:rsidR="00BB076D" w:rsidRPr="00787CFA" w:rsidRDefault="00BB076D" w:rsidP="00BB076D">
      <w:pPr>
        <w:pStyle w:val="Paragraphedeliste"/>
        <w:ind w:firstLine="696"/>
        <w:rPr>
          <w:rFonts w:ascii="Arial" w:hAnsi="Arial" w:cs="Arial"/>
          <w:lang w:eastAsia="fr-FR"/>
        </w:rPr>
      </w:pPr>
      <w:r w:rsidRPr="00787CFA">
        <w:rPr>
          <w:rFonts w:ascii="Arial" w:hAnsi="Arial" w:cs="Arial"/>
          <w:lang w:eastAsia="fr-FR"/>
        </w:rPr>
        <w:t>150 € / jour de défaut d’approvisionnement</w:t>
      </w:r>
    </w:p>
    <w:p w14:paraId="41728B89" w14:textId="77777777" w:rsidR="00BB076D" w:rsidRPr="00787CFA" w:rsidRDefault="00BB076D" w:rsidP="00BB076D">
      <w:pPr>
        <w:pStyle w:val="Paragraphedeliste"/>
        <w:ind w:firstLine="696"/>
        <w:rPr>
          <w:rFonts w:ascii="Arial" w:hAnsi="Arial" w:cs="Arial"/>
          <w:lang w:eastAsia="fr-FR"/>
        </w:rPr>
      </w:pPr>
    </w:p>
    <w:p w14:paraId="719B9BD7"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Absence de tenue de travail / EPI ou tenue d’un aspect négligé (sale, déchirée, abîmée)</w:t>
      </w:r>
    </w:p>
    <w:p w14:paraId="79B68B80" w14:textId="4728B48D" w:rsidR="00BB076D" w:rsidRPr="00787CFA" w:rsidRDefault="00BB076D" w:rsidP="00BB076D">
      <w:pPr>
        <w:pStyle w:val="Paragraphedeliste"/>
        <w:ind w:firstLine="696"/>
        <w:rPr>
          <w:rFonts w:ascii="Arial" w:hAnsi="Arial" w:cs="Arial"/>
          <w:lang w:eastAsia="fr-FR"/>
        </w:rPr>
      </w:pPr>
      <w:r w:rsidRPr="00787CFA">
        <w:rPr>
          <w:rFonts w:ascii="Arial" w:hAnsi="Arial" w:cs="Arial"/>
          <w:lang w:eastAsia="fr-FR"/>
        </w:rPr>
        <w:t>250 € / cas constaté</w:t>
      </w:r>
    </w:p>
    <w:p w14:paraId="7FA3644E" w14:textId="77777777" w:rsidR="00BB076D" w:rsidRPr="00787CFA" w:rsidRDefault="00BB076D" w:rsidP="00BB076D">
      <w:pPr>
        <w:pStyle w:val="Paragraphedeliste"/>
        <w:ind w:firstLine="696"/>
        <w:rPr>
          <w:rFonts w:ascii="Arial" w:hAnsi="Arial" w:cs="Arial"/>
          <w:lang w:eastAsia="fr-FR"/>
        </w:rPr>
      </w:pPr>
    </w:p>
    <w:p w14:paraId="6B12AC34"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Défaut d’approvisionnement des consommables (distributeurs non rechargés)</w:t>
      </w:r>
    </w:p>
    <w:p w14:paraId="466526B9" w14:textId="3661AD7C" w:rsidR="00BB076D" w:rsidRPr="00787CFA" w:rsidRDefault="00BB076D" w:rsidP="00BB076D">
      <w:pPr>
        <w:pStyle w:val="Paragraphedeliste"/>
        <w:ind w:left="1428"/>
        <w:rPr>
          <w:rFonts w:ascii="Arial" w:hAnsi="Arial" w:cs="Arial"/>
          <w:lang w:eastAsia="fr-FR"/>
        </w:rPr>
      </w:pPr>
      <w:r w:rsidRPr="00787CFA">
        <w:rPr>
          <w:rFonts w:ascii="Arial" w:hAnsi="Arial" w:cs="Arial"/>
          <w:lang w:eastAsia="fr-FR"/>
        </w:rPr>
        <w:t>50 € / jour constaté / distributeur</w:t>
      </w:r>
    </w:p>
    <w:p w14:paraId="5C4935D4" w14:textId="77777777" w:rsidR="00BB076D" w:rsidRPr="00787CFA" w:rsidRDefault="00BB076D" w:rsidP="00BB076D">
      <w:pPr>
        <w:pStyle w:val="Paragraphedeliste"/>
        <w:ind w:left="1428"/>
        <w:rPr>
          <w:rFonts w:ascii="Arial" w:hAnsi="Arial" w:cs="Arial"/>
          <w:lang w:eastAsia="fr-FR"/>
        </w:rPr>
      </w:pPr>
    </w:p>
    <w:p w14:paraId="318B6D56"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Non-respect du tri sélectif (DIB / CARTONS / VERRE / ALU / MEGOTS)</w:t>
      </w:r>
    </w:p>
    <w:p w14:paraId="4CEE45D2" w14:textId="29B8231D" w:rsidR="00BB076D" w:rsidRPr="00787CFA" w:rsidRDefault="00BB076D" w:rsidP="00BB076D">
      <w:pPr>
        <w:pStyle w:val="Paragraphedeliste"/>
        <w:ind w:firstLine="696"/>
        <w:rPr>
          <w:rFonts w:ascii="Arial" w:hAnsi="Arial" w:cs="Arial"/>
          <w:lang w:eastAsia="fr-FR"/>
        </w:rPr>
      </w:pPr>
      <w:r w:rsidRPr="00787CFA">
        <w:rPr>
          <w:rFonts w:ascii="Arial" w:hAnsi="Arial" w:cs="Arial"/>
          <w:lang w:eastAsia="fr-FR"/>
        </w:rPr>
        <w:t>250 € / cas constaté</w:t>
      </w:r>
    </w:p>
    <w:p w14:paraId="203C3196" w14:textId="0050F283" w:rsidR="00787CFA" w:rsidRPr="005D03B6" w:rsidRDefault="00787CFA" w:rsidP="00787CFA">
      <w:pPr>
        <w:rPr>
          <w:rFonts w:ascii="Arial" w:hAnsi="Arial" w:cs="Arial"/>
          <w:lang w:eastAsia="fr-FR"/>
        </w:rPr>
      </w:pPr>
      <w:r w:rsidRPr="005D03B6">
        <w:rPr>
          <w:rFonts w:ascii="Arial" w:hAnsi="Arial" w:cs="Arial"/>
          <w:lang w:eastAsia="fr-FR"/>
        </w:rPr>
        <w:t>En cas de contrôle contradictoire des prestations donnant lieu à des observations (</w:t>
      </w:r>
      <w:r w:rsidR="005D03B6" w:rsidRPr="005D03B6">
        <w:rPr>
          <w:rFonts w:ascii="Arial" w:hAnsi="Arial" w:cs="Arial"/>
          <w:lang w:eastAsia="fr-FR"/>
        </w:rPr>
        <w:t>au-dessus</w:t>
      </w:r>
      <w:r w:rsidRPr="005D03B6">
        <w:rPr>
          <w:rFonts w:ascii="Arial" w:hAnsi="Arial" w:cs="Arial"/>
          <w:lang w:eastAsia="fr-FR"/>
        </w:rPr>
        <w:t xml:space="preserve">), le pouvoir adjudicateur informera dans les 24h ces écarts constatés et le titulaire disposera d’un délai de 24 heures pour apporter des explications. Sous 48h il devra mettre en place une solution et un contrôle contradictoire sera fait à la suite par le pouvoir adjudicateur. </w:t>
      </w:r>
    </w:p>
    <w:p w14:paraId="40471245" w14:textId="77777777" w:rsidR="00787CFA" w:rsidRPr="005D03B6" w:rsidRDefault="00787CFA" w:rsidP="00787CFA">
      <w:pPr>
        <w:rPr>
          <w:rFonts w:ascii="Arial" w:hAnsi="Arial" w:cs="Arial"/>
          <w:lang w:eastAsia="fr-FR"/>
        </w:rPr>
      </w:pPr>
      <w:r w:rsidRPr="005D03B6">
        <w:rPr>
          <w:rFonts w:ascii="Arial" w:hAnsi="Arial" w:cs="Arial"/>
          <w:lang w:eastAsia="fr-FR"/>
        </w:rPr>
        <w:t>Passé ce délai, la pénalité sera appliquée.</w:t>
      </w:r>
    </w:p>
    <w:p w14:paraId="1827CAE2" w14:textId="77777777" w:rsidR="00BB076D" w:rsidRPr="00BB076D" w:rsidRDefault="00BB076D" w:rsidP="00BB076D">
      <w:pPr>
        <w:pStyle w:val="Paragraphedeliste"/>
        <w:ind w:firstLine="696"/>
        <w:rPr>
          <w:rFonts w:ascii="Arial" w:hAnsi="Arial" w:cs="Arial"/>
          <w:highlight w:val="green"/>
          <w:lang w:eastAsia="fr-FR"/>
        </w:rPr>
      </w:pPr>
    </w:p>
    <w:p w14:paraId="6BF9715D" w14:textId="0205F674"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Mauvais comportement des agents sur le site (qui nuit au bon fonctionnement, au calme des services</w:t>
      </w:r>
      <w:r w:rsidR="00787CFA" w:rsidRPr="00787CFA">
        <w:rPr>
          <w:rFonts w:ascii="Arial" w:hAnsi="Arial" w:cs="Arial"/>
          <w:lang w:eastAsia="fr-FR"/>
        </w:rPr>
        <w:t xml:space="preserve"> et à l’image de notre école</w:t>
      </w:r>
      <w:r w:rsidRPr="00787CFA">
        <w:rPr>
          <w:rFonts w:ascii="Arial" w:hAnsi="Arial" w:cs="Arial"/>
          <w:lang w:eastAsia="fr-FR"/>
        </w:rPr>
        <w:t>)</w:t>
      </w:r>
      <w:r w:rsidR="008566AF" w:rsidRPr="00787CFA">
        <w:rPr>
          <w:rFonts w:ascii="Arial" w:hAnsi="Arial" w:cs="Arial"/>
          <w:lang w:eastAsia="fr-FR"/>
        </w:rPr>
        <w:t xml:space="preserve"> </w:t>
      </w:r>
    </w:p>
    <w:p w14:paraId="5B7EE216" w14:textId="09606A72" w:rsidR="00BB076D" w:rsidRPr="00787CFA" w:rsidRDefault="00787CFA" w:rsidP="00BB076D">
      <w:pPr>
        <w:pStyle w:val="Paragraphedeliste"/>
        <w:ind w:firstLine="696"/>
        <w:rPr>
          <w:rFonts w:ascii="Arial" w:hAnsi="Arial" w:cs="Arial"/>
          <w:lang w:eastAsia="fr-FR"/>
        </w:rPr>
      </w:pPr>
      <w:r w:rsidRPr="00787CFA">
        <w:rPr>
          <w:rFonts w:ascii="Arial" w:hAnsi="Arial" w:cs="Arial"/>
          <w:lang w:eastAsia="fr-FR"/>
        </w:rPr>
        <w:t>1 0</w:t>
      </w:r>
      <w:r w:rsidR="00BB076D" w:rsidRPr="00787CFA">
        <w:rPr>
          <w:rFonts w:ascii="Arial" w:hAnsi="Arial" w:cs="Arial"/>
          <w:lang w:eastAsia="fr-FR"/>
        </w:rPr>
        <w:t>00 € / cas constaté</w:t>
      </w:r>
    </w:p>
    <w:p w14:paraId="62440956" w14:textId="77777777" w:rsidR="00BB076D" w:rsidRPr="00BB076D" w:rsidRDefault="00BB076D" w:rsidP="00BB076D">
      <w:pPr>
        <w:pStyle w:val="Paragraphedeliste"/>
        <w:ind w:firstLine="696"/>
        <w:rPr>
          <w:rFonts w:ascii="Arial" w:hAnsi="Arial" w:cs="Arial"/>
          <w:highlight w:val="green"/>
          <w:lang w:eastAsia="fr-FR"/>
        </w:rPr>
      </w:pPr>
    </w:p>
    <w:p w14:paraId="2DB45603"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État d’ivresse manifeste</w:t>
      </w:r>
    </w:p>
    <w:p w14:paraId="7A5479C4" w14:textId="792809CC" w:rsidR="00BB076D" w:rsidRPr="00787CFA" w:rsidRDefault="00BB076D" w:rsidP="00BB076D">
      <w:pPr>
        <w:pStyle w:val="Paragraphedeliste"/>
        <w:ind w:left="1416"/>
        <w:rPr>
          <w:rFonts w:ascii="Arial" w:hAnsi="Arial" w:cs="Arial"/>
          <w:lang w:eastAsia="fr-FR"/>
        </w:rPr>
      </w:pPr>
      <w:r w:rsidRPr="00787CFA">
        <w:rPr>
          <w:rFonts w:ascii="Arial" w:hAnsi="Arial" w:cs="Arial"/>
          <w:lang w:eastAsia="fr-FR"/>
        </w:rPr>
        <w:t>2 000 € accompagné de l'exclusion du site de la personne concernée et de son remplacement</w:t>
      </w:r>
    </w:p>
    <w:p w14:paraId="100CD9F0" w14:textId="77777777" w:rsidR="00BB076D" w:rsidRPr="00BB076D" w:rsidRDefault="00BB076D" w:rsidP="00BB076D">
      <w:pPr>
        <w:pStyle w:val="Paragraphedeliste"/>
        <w:ind w:left="1416"/>
        <w:rPr>
          <w:rFonts w:ascii="Arial" w:hAnsi="Arial" w:cs="Arial"/>
          <w:highlight w:val="yellow"/>
          <w:lang w:eastAsia="fr-FR"/>
        </w:rPr>
      </w:pPr>
    </w:p>
    <w:p w14:paraId="15D05BC0"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Introduction d’un tiers non autorisé</w:t>
      </w:r>
    </w:p>
    <w:p w14:paraId="755C9EDA" w14:textId="6C5AAF5E" w:rsidR="00BB076D" w:rsidRPr="00787CFA" w:rsidRDefault="00BB076D" w:rsidP="00BB076D">
      <w:pPr>
        <w:pStyle w:val="Paragraphedeliste"/>
        <w:ind w:left="1416"/>
        <w:rPr>
          <w:rFonts w:ascii="Arial" w:hAnsi="Arial" w:cs="Arial"/>
          <w:lang w:eastAsia="fr-FR"/>
        </w:rPr>
      </w:pPr>
      <w:r w:rsidRPr="00787CFA">
        <w:rPr>
          <w:rFonts w:ascii="Arial" w:hAnsi="Arial" w:cs="Arial"/>
          <w:lang w:eastAsia="fr-FR"/>
        </w:rPr>
        <w:t>2 000 € accompagné de l'exclusion du site de la personne concernée et de son remplacement</w:t>
      </w:r>
    </w:p>
    <w:p w14:paraId="6E068ADA" w14:textId="77777777" w:rsidR="00BB076D" w:rsidRPr="00BB076D" w:rsidRDefault="00BB076D" w:rsidP="00BB076D">
      <w:pPr>
        <w:pStyle w:val="Paragraphedeliste"/>
        <w:ind w:left="1416"/>
        <w:rPr>
          <w:rFonts w:ascii="Arial" w:hAnsi="Arial" w:cs="Arial"/>
          <w:highlight w:val="yellow"/>
          <w:lang w:eastAsia="fr-FR"/>
        </w:rPr>
      </w:pPr>
    </w:p>
    <w:p w14:paraId="7D4703AF" w14:textId="77777777" w:rsidR="00BB076D" w:rsidRPr="00787CFA" w:rsidRDefault="00BB076D" w:rsidP="00BB076D">
      <w:pPr>
        <w:pStyle w:val="Paragraphedeliste"/>
        <w:numPr>
          <w:ilvl w:val="0"/>
          <w:numId w:val="9"/>
        </w:numPr>
        <w:rPr>
          <w:rFonts w:ascii="Arial" w:hAnsi="Arial" w:cs="Arial"/>
          <w:lang w:eastAsia="fr-FR"/>
        </w:rPr>
      </w:pPr>
      <w:r w:rsidRPr="00787CFA">
        <w:rPr>
          <w:rFonts w:ascii="Arial" w:hAnsi="Arial" w:cs="Arial"/>
          <w:lang w:eastAsia="fr-FR"/>
        </w:rPr>
        <w:t>Insultes, Violences, Vol, Dégradation volontaire</w:t>
      </w:r>
    </w:p>
    <w:p w14:paraId="28653F65" w14:textId="46356BE1" w:rsidR="00BB076D" w:rsidRPr="00787CFA" w:rsidRDefault="008566AF" w:rsidP="00BB076D">
      <w:pPr>
        <w:pStyle w:val="Paragraphedeliste"/>
        <w:ind w:firstLine="696"/>
        <w:rPr>
          <w:rFonts w:ascii="Arial" w:hAnsi="Arial" w:cs="Arial"/>
          <w:lang w:eastAsia="fr-FR"/>
        </w:rPr>
      </w:pPr>
      <w:r w:rsidRPr="00787CFA">
        <w:rPr>
          <w:rFonts w:ascii="Arial" w:hAnsi="Arial" w:cs="Arial"/>
          <w:lang w:eastAsia="fr-FR"/>
        </w:rPr>
        <w:t>2</w:t>
      </w:r>
      <w:r w:rsidR="00BB076D" w:rsidRPr="00787CFA">
        <w:rPr>
          <w:rFonts w:ascii="Arial" w:hAnsi="Arial" w:cs="Arial"/>
          <w:lang w:eastAsia="fr-FR"/>
        </w:rPr>
        <w:t xml:space="preserve"> 000 € / cas constaté</w:t>
      </w:r>
    </w:p>
    <w:p w14:paraId="024BC465" w14:textId="05231782" w:rsidR="00787CFA" w:rsidRPr="005D03B6" w:rsidRDefault="00787CFA" w:rsidP="00787CFA">
      <w:pPr>
        <w:rPr>
          <w:rFonts w:ascii="Arial" w:hAnsi="Arial" w:cs="Arial"/>
          <w:lang w:eastAsia="fr-FR"/>
        </w:rPr>
      </w:pPr>
      <w:r w:rsidRPr="005D03B6">
        <w:rPr>
          <w:rFonts w:ascii="Arial" w:hAnsi="Arial" w:cs="Arial"/>
          <w:lang w:eastAsia="fr-FR"/>
        </w:rPr>
        <w:t xml:space="preserve">Dans ces </w:t>
      </w:r>
      <w:r w:rsidR="005D03B6" w:rsidRPr="005D03B6">
        <w:rPr>
          <w:rFonts w:ascii="Arial" w:hAnsi="Arial" w:cs="Arial"/>
          <w:lang w:eastAsia="fr-FR"/>
        </w:rPr>
        <w:t xml:space="preserve">4 </w:t>
      </w:r>
      <w:r w:rsidRPr="005D03B6">
        <w:rPr>
          <w:rFonts w:ascii="Arial" w:hAnsi="Arial" w:cs="Arial"/>
          <w:lang w:eastAsia="fr-FR"/>
        </w:rPr>
        <w:t>cas ci-</w:t>
      </w:r>
      <w:r w:rsidR="00C15853" w:rsidRPr="005D03B6">
        <w:rPr>
          <w:rFonts w:ascii="Arial" w:hAnsi="Arial" w:cs="Arial"/>
          <w:lang w:eastAsia="fr-FR"/>
        </w:rPr>
        <w:t>dessus, le</w:t>
      </w:r>
      <w:r w:rsidRPr="005D03B6">
        <w:rPr>
          <w:rFonts w:ascii="Arial" w:hAnsi="Arial" w:cs="Arial"/>
          <w:lang w:eastAsia="fr-FR"/>
        </w:rPr>
        <w:t xml:space="preserve"> pouvoir adjudicateur informera dans les 24h le titulaire</w:t>
      </w:r>
      <w:r w:rsidR="00C15853" w:rsidRPr="005D03B6">
        <w:rPr>
          <w:rFonts w:ascii="Arial" w:hAnsi="Arial" w:cs="Arial"/>
          <w:lang w:eastAsia="fr-FR"/>
        </w:rPr>
        <w:t>, il</w:t>
      </w:r>
      <w:r w:rsidRPr="005D03B6">
        <w:rPr>
          <w:rFonts w:ascii="Arial" w:hAnsi="Arial" w:cs="Arial"/>
          <w:lang w:eastAsia="fr-FR"/>
        </w:rPr>
        <w:t xml:space="preserve"> disposera d’un délai de 24 heures pour apporter des </w:t>
      </w:r>
      <w:r w:rsidR="00817579" w:rsidRPr="005D03B6">
        <w:rPr>
          <w:rFonts w:ascii="Arial" w:hAnsi="Arial" w:cs="Arial"/>
          <w:lang w:eastAsia="fr-FR"/>
        </w:rPr>
        <w:t>solutions et en raison des préjudices subis</w:t>
      </w:r>
      <w:r w:rsidR="00C15853" w:rsidRPr="005D03B6">
        <w:rPr>
          <w:rFonts w:ascii="Arial" w:hAnsi="Arial" w:cs="Arial"/>
          <w:lang w:eastAsia="fr-FR"/>
        </w:rPr>
        <w:t>,</w:t>
      </w:r>
      <w:r w:rsidRPr="005D03B6">
        <w:rPr>
          <w:rFonts w:ascii="Arial" w:hAnsi="Arial" w:cs="Arial"/>
          <w:lang w:eastAsia="fr-FR"/>
        </w:rPr>
        <w:t xml:space="preserve"> la pénalité sera appliquée.</w:t>
      </w:r>
    </w:p>
    <w:p w14:paraId="2B87ECF8" w14:textId="77777777" w:rsidR="00761FDB" w:rsidRDefault="00761FDB" w:rsidP="006C0EE4">
      <w:pPr>
        <w:rPr>
          <w:rFonts w:ascii="Arial" w:hAnsi="Arial" w:cs="Arial"/>
          <w:highlight w:val="yellow"/>
          <w:lang w:eastAsia="fr-FR"/>
        </w:rPr>
      </w:pPr>
    </w:p>
    <w:p w14:paraId="5F0DA2C4" w14:textId="77777777" w:rsidR="006C0EE4" w:rsidRPr="006C0EE4" w:rsidRDefault="006C0EE4" w:rsidP="006C0EE4">
      <w:pPr>
        <w:rPr>
          <w:highlight w:val="yellow"/>
          <w:lang w:eastAsia="fr-FR"/>
        </w:rPr>
      </w:pPr>
    </w:p>
    <w:p w14:paraId="3879487A" w14:textId="31469D5D" w:rsidR="006C0EE4" w:rsidRPr="005C2058" w:rsidRDefault="006C0EE4" w:rsidP="00D35646">
      <w:pPr>
        <w:pStyle w:val="Titre2"/>
        <w:rPr>
          <w:lang w:eastAsia="fr-FR"/>
        </w:rPr>
      </w:pPr>
      <w:bookmarkStart w:id="36" w:name="_Toc185398514"/>
      <w:r w:rsidRPr="005C2058">
        <w:rPr>
          <w:lang w:eastAsia="fr-FR"/>
        </w:rPr>
        <w:lastRenderedPageBreak/>
        <w:t>Pénalités pour travail dissimulé</w:t>
      </w:r>
      <w:bookmarkEnd w:id="36"/>
    </w:p>
    <w:p w14:paraId="1FDE2FA3" w14:textId="77777777" w:rsidR="006C0EE4" w:rsidRPr="005C2058" w:rsidRDefault="006C0EE4" w:rsidP="006C0EE4">
      <w:pPr>
        <w:spacing w:after="0"/>
        <w:jc w:val="both"/>
        <w:rPr>
          <w:rFonts w:ascii="Helvetica" w:hAnsi="Helvetica" w:cs="Helvetica"/>
        </w:rPr>
      </w:pPr>
      <w:r w:rsidRPr="005C2058">
        <w:rPr>
          <w:rFonts w:ascii="Helvetica" w:hAnsi="Helvetica" w:cs="Helvetica"/>
        </w:rPr>
        <w:t>Si le titulaire de l'accord-cadre ne s'acquitte pas des formalités prévues par le Code du travail en matière de travail dissimulé par dissimulation d'activité ou d'emploi salarié, le pouvoir adjudicateur applique une pénalité correspondant à 10,0 % du montant TTC de l'accord-cadre.</w:t>
      </w:r>
    </w:p>
    <w:p w14:paraId="45431C12" w14:textId="29D64659" w:rsidR="006D1473" w:rsidRDefault="006C0EE4" w:rsidP="006C0EE4">
      <w:pPr>
        <w:spacing w:after="0"/>
        <w:jc w:val="both"/>
        <w:rPr>
          <w:rFonts w:ascii="Helvetica" w:hAnsi="Helvetica" w:cs="Helvetica"/>
        </w:rPr>
      </w:pPr>
      <w:r w:rsidRPr="005C2058">
        <w:rPr>
          <w:rFonts w:ascii="Helvetica" w:hAnsi="Helvetica" w:cs="Helvetica"/>
        </w:rPr>
        <w:t>Le montant de cette pénalité ne pourra toutefois pas excéder le montant des amendes prévues à titre de sanction pénale par le Code du travail en matière de travail dissimulé.</w:t>
      </w:r>
    </w:p>
    <w:p w14:paraId="532BFB7D" w14:textId="77777777" w:rsidR="004903D8" w:rsidRPr="00522244" w:rsidRDefault="004903D8" w:rsidP="00AD5A30">
      <w:pPr>
        <w:pStyle w:val="Titre1"/>
      </w:pPr>
      <w:bookmarkStart w:id="37" w:name="_Toc185398515"/>
      <w:r w:rsidRPr="00522244">
        <w:t>Assurances</w:t>
      </w:r>
      <w:bookmarkEnd w:id="37"/>
    </w:p>
    <w:p w14:paraId="595BCF30" w14:textId="77777777" w:rsidR="004903D8" w:rsidRPr="00522244" w:rsidRDefault="004903D8" w:rsidP="004903D8">
      <w:pPr>
        <w:keepLines/>
        <w:tabs>
          <w:tab w:val="left" w:pos="567"/>
          <w:tab w:val="left" w:pos="851"/>
          <w:tab w:val="left" w:pos="1134"/>
        </w:tabs>
        <w:spacing w:after="0"/>
        <w:ind w:left="284"/>
        <w:jc w:val="both"/>
        <w:rPr>
          <w:rFonts w:ascii="Arial" w:eastAsia="Times New Roman" w:hAnsi="Arial" w:cs="Arial"/>
          <w:szCs w:val="20"/>
          <w:shd w:val="clear" w:color="auto" w:fill="FFFF00"/>
        </w:rPr>
      </w:pPr>
    </w:p>
    <w:p w14:paraId="5637A81E" w14:textId="77777777" w:rsidR="00984D98" w:rsidRPr="00A356D6" w:rsidRDefault="00984D98" w:rsidP="00984D98">
      <w:pPr>
        <w:pStyle w:val="Corpsdetexte"/>
        <w:tabs>
          <w:tab w:val="left" w:pos="5103"/>
        </w:tabs>
        <w:spacing w:line="280" w:lineRule="exact"/>
        <w:ind w:right="-569"/>
        <w:rPr>
          <w:sz w:val="22"/>
          <w:szCs w:val="22"/>
        </w:rPr>
      </w:pPr>
      <w:r w:rsidRPr="00A356D6">
        <w:rPr>
          <w:sz w:val="22"/>
          <w:szCs w:val="22"/>
        </w:rPr>
        <w:t>Dans un délai de quinze jours à compter de la notification du marché et avant tout commencement d’exécution, le Titulaire doit justifier qu’il est couvert par un contrat d’assurance au titre de la responsabilité civile découlant des articles 1240 à 1242 du Code civil.</w:t>
      </w:r>
    </w:p>
    <w:p w14:paraId="30395B1E" w14:textId="77777777" w:rsidR="00984D98" w:rsidRPr="00A356D6" w:rsidRDefault="00984D98" w:rsidP="00984D98">
      <w:pPr>
        <w:pStyle w:val="Corpsdetexte"/>
        <w:tabs>
          <w:tab w:val="left" w:pos="5103"/>
        </w:tabs>
        <w:spacing w:line="280" w:lineRule="exact"/>
        <w:ind w:right="-569"/>
        <w:rPr>
          <w:sz w:val="22"/>
          <w:szCs w:val="22"/>
        </w:rPr>
      </w:pPr>
    </w:p>
    <w:p w14:paraId="23696E09" w14:textId="77777777" w:rsidR="00984D98" w:rsidRPr="00A356D6" w:rsidRDefault="00984D98" w:rsidP="00984D98">
      <w:pPr>
        <w:pStyle w:val="Corpsdetexte"/>
        <w:tabs>
          <w:tab w:val="left" w:pos="5103"/>
        </w:tabs>
        <w:spacing w:line="280" w:lineRule="exact"/>
        <w:ind w:right="-569"/>
        <w:rPr>
          <w:sz w:val="22"/>
          <w:szCs w:val="22"/>
        </w:rPr>
      </w:pPr>
      <w:r w:rsidRPr="00A356D6">
        <w:rPr>
          <w:sz w:val="22"/>
          <w:szCs w:val="22"/>
        </w:rPr>
        <w:t>Il doit donc fournir une attestation de son assureur justifiant qu’il est à jour de ses cotisations et que sa police contient les garanties en rapport avec l’importance de la prestation.</w:t>
      </w:r>
    </w:p>
    <w:p w14:paraId="1EAF0479" w14:textId="77777777" w:rsidR="00984D98" w:rsidRPr="00A356D6" w:rsidRDefault="00984D98" w:rsidP="00984D98">
      <w:pPr>
        <w:pStyle w:val="Corpsdetexte"/>
        <w:tabs>
          <w:tab w:val="left" w:pos="5103"/>
        </w:tabs>
        <w:spacing w:line="280" w:lineRule="exact"/>
        <w:ind w:right="-569"/>
        <w:rPr>
          <w:sz w:val="22"/>
          <w:szCs w:val="22"/>
        </w:rPr>
      </w:pPr>
    </w:p>
    <w:p w14:paraId="3B4B4816" w14:textId="77777777" w:rsidR="00984D98" w:rsidRPr="00A356D6" w:rsidRDefault="00984D98" w:rsidP="00984D98">
      <w:pPr>
        <w:pStyle w:val="Corpsdetexte"/>
        <w:tabs>
          <w:tab w:val="left" w:pos="5103"/>
        </w:tabs>
        <w:spacing w:line="280" w:lineRule="exact"/>
        <w:ind w:right="-569"/>
        <w:rPr>
          <w:sz w:val="22"/>
          <w:szCs w:val="22"/>
        </w:rPr>
      </w:pPr>
      <w:r w:rsidRPr="00A356D6">
        <w:rPr>
          <w:sz w:val="22"/>
          <w:szCs w:val="22"/>
        </w:rPr>
        <w:t>A tout</w:t>
      </w:r>
      <w:r>
        <w:rPr>
          <w:sz w:val="22"/>
          <w:szCs w:val="22"/>
        </w:rPr>
        <w:t xml:space="preserve"> </w:t>
      </w:r>
      <w:r w:rsidRPr="00A356D6">
        <w:rPr>
          <w:sz w:val="22"/>
          <w:szCs w:val="22"/>
        </w:rPr>
        <w:t>moment durant l’exécution de la prestation, le Titulaire doit être en mesure de produire cette attestation, sur demande du pouvoir adjudicateur et dans un délai de quinze jours à compter de la réception de la demande.</w:t>
      </w:r>
    </w:p>
    <w:p w14:paraId="52193B53" w14:textId="77777777" w:rsidR="00984D98" w:rsidRPr="00A356D6" w:rsidRDefault="00984D98" w:rsidP="00984D98">
      <w:pPr>
        <w:pStyle w:val="Corpsdetexte"/>
        <w:tabs>
          <w:tab w:val="left" w:pos="5103"/>
        </w:tabs>
        <w:spacing w:line="280" w:lineRule="exact"/>
        <w:ind w:right="-569"/>
        <w:rPr>
          <w:sz w:val="22"/>
          <w:szCs w:val="22"/>
        </w:rPr>
      </w:pPr>
    </w:p>
    <w:p w14:paraId="2D05B5FF" w14:textId="77777777" w:rsidR="00984D98" w:rsidRDefault="00984D98" w:rsidP="00984D98">
      <w:pPr>
        <w:pStyle w:val="Corpsdetexte"/>
        <w:tabs>
          <w:tab w:val="left" w:pos="5103"/>
        </w:tabs>
        <w:spacing w:line="280" w:lineRule="exact"/>
        <w:ind w:right="-569"/>
        <w:rPr>
          <w:sz w:val="22"/>
          <w:szCs w:val="22"/>
        </w:rPr>
      </w:pPr>
      <w:r w:rsidRPr="00A356D6">
        <w:rPr>
          <w:sz w:val="22"/>
          <w:szCs w:val="22"/>
        </w:rPr>
        <w:t>Le Titulaire est responsable des dommages causés aux biens et aux personnes dans le cadre de l’exécution de ce marché. En cas de sous-traitance, la société sous-traitante doit se garantir dans les mêmes conditions que le Titulaire.</w:t>
      </w:r>
    </w:p>
    <w:p w14:paraId="1103B4B1" w14:textId="77777777" w:rsidR="00984D98" w:rsidRPr="00522244" w:rsidRDefault="00984D98" w:rsidP="004903D8">
      <w:pPr>
        <w:keepLines/>
        <w:tabs>
          <w:tab w:val="left" w:pos="567"/>
          <w:tab w:val="left" w:pos="851"/>
          <w:tab w:val="left" w:pos="1134"/>
        </w:tabs>
        <w:spacing w:after="0"/>
        <w:ind w:left="284"/>
        <w:jc w:val="both"/>
        <w:rPr>
          <w:rFonts w:ascii="Arial" w:eastAsia="Times New Roman" w:hAnsi="Arial" w:cs="Arial"/>
          <w:szCs w:val="20"/>
        </w:rPr>
      </w:pPr>
    </w:p>
    <w:p w14:paraId="2E131C68" w14:textId="64B4AA2C" w:rsidR="004903D8" w:rsidRDefault="004903D8" w:rsidP="00AD5A30">
      <w:pPr>
        <w:pStyle w:val="Titre1"/>
      </w:pPr>
      <w:bookmarkStart w:id="38" w:name="_Toc185398516"/>
      <w:r w:rsidRPr="00522244">
        <w:t>Résiliation de l’accord-cadre</w:t>
      </w:r>
      <w:bookmarkEnd w:id="38"/>
      <w:r w:rsidRPr="00522244">
        <w:t xml:space="preserve"> </w:t>
      </w:r>
    </w:p>
    <w:p w14:paraId="32854577" w14:textId="77777777" w:rsidR="00805B2B" w:rsidRPr="00D50841" w:rsidRDefault="00805B2B" w:rsidP="00805B2B">
      <w:pPr>
        <w:pStyle w:val="Corpsdetexte"/>
        <w:spacing w:line="280" w:lineRule="exact"/>
        <w:ind w:right="-569"/>
        <w:rPr>
          <w:sz w:val="22"/>
          <w:szCs w:val="22"/>
        </w:rPr>
      </w:pPr>
      <w:r w:rsidRPr="00D50841">
        <w:rPr>
          <w:sz w:val="22"/>
          <w:szCs w:val="22"/>
        </w:rPr>
        <w:t>Les stipulations du C.C.A.G.-FCS., relatives à la résiliation du marché, sont applicables (Chapitre 7, articles 38 à 45)</w:t>
      </w:r>
    </w:p>
    <w:p w14:paraId="3DC6AC5D" w14:textId="77777777" w:rsidR="00805B2B" w:rsidRPr="00D50841" w:rsidRDefault="00805B2B" w:rsidP="00805B2B">
      <w:pPr>
        <w:pStyle w:val="Corpsdetexte"/>
        <w:spacing w:line="280" w:lineRule="exact"/>
        <w:ind w:right="-569"/>
        <w:rPr>
          <w:sz w:val="22"/>
          <w:szCs w:val="22"/>
        </w:rPr>
      </w:pPr>
    </w:p>
    <w:p w14:paraId="09CF463A" w14:textId="77777777" w:rsidR="00805B2B" w:rsidRPr="00D50841" w:rsidRDefault="00805B2B" w:rsidP="00805B2B">
      <w:pPr>
        <w:pStyle w:val="Corpsdetexte"/>
        <w:spacing w:line="280" w:lineRule="exact"/>
        <w:ind w:right="-569"/>
        <w:rPr>
          <w:sz w:val="22"/>
          <w:szCs w:val="22"/>
        </w:rPr>
      </w:pPr>
      <w:r w:rsidRPr="00D50841">
        <w:rPr>
          <w:sz w:val="22"/>
          <w:szCs w:val="22"/>
        </w:rPr>
        <w:t xml:space="preserve">En complément des dispositions de l’article 41 du C.C.A.G. – FCS., le marché sera résilié aux torts du titulaire en cas d’insuffisance, d’incapacité ou de manquements répétés du titulaire à la bonne réalisation des prestations du présent marché. Une mise en demeure assortie d’un délai pour remédier à ces insuffisances, manquements ou incapacité doit avoir été préalablement notifiée au titulaire et être restée infructueuse ou insuffisante. </w:t>
      </w:r>
    </w:p>
    <w:p w14:paraId="6FC5DBC2" w14:textId="77777777" w:rsidR="00805B2B" w:rsidRPr="00F32DA5" w:rsidRDefault="00805B2B" w:rsidP="00F32DA5">
      <w:pPr>
        <w:autoSpaceDE w:val="0"/>
        <w:autoSpaceDN w:val="0"/>
        <w:adjustRightInd w:val="0"/>
        <w:spacing w:after="0" w:line="276" w:lineRule="auto"/>
        <w:rPr>
          <w:rFonts w:ascii="Arial" w:hAnsi="Arial" w:cs="Arial"/>
          <w:color w:val="000000"/>
        </w:rPr>
      </w:pPr>
      <w:r w:rsidRPr="00F32DA5">
        <w:rPr>
          <w:rFonts w:ascii="Arial" w:hAnsi="Arial" w:cs="Arial"/>
          <w:color w:val="000000"/>
        </w:rPr>
        <w:t>Le décompte de résiliation est calculé et arrêté conformément aux dispositions de l’article 43 du C.C.A.G. – FCS.</w:t>
      </w:r>
    </w:p>
    <w:p w14:paraId="3CFA210C" w14:textId="77777777" w:rsidR="00332A6A" w:rsidRPr="00332A6A" w:rsidRDefault="00332A6A" w:rsidP="00332A6A">
      <w:pPr>
        <w:rPr>
          <w:lang w:eastAsia="fr-FR"/>
        </w:rPr>
      </w:pPr>
    </w:p>
    <w:p w14:paraId="220D2AD1" w14:textId="77777777" w:rsidR="004903D8" w:rsidRPr="00F32DA5" w:rsidRDefault="004903D8" w:rsidP="00F32DA5">
      <w:pPr>
        <w:pStyle w:val="Titre1"/>
      </w:pPr>
      <w:bookmarkStart w:id="39" w:name="_Toc430330078"/>
      <w:bookmarkStart w:id="40" w:name="_Toc185398517"/>
      <w:r w:rsidRPr="00F32DA5">
        <w:t>Droit et Langue</w:t>
      </w:r>
      <w:bookmarkEnd w:id="39"/>
      <w:bookmarkEnd w:id="40"/>
      <w:r w:rsidRPr="00F32DA5">
        <w:t xml:space="preserve"> </w:t>
      </w:r>
    </w:p>
    <w:p w14:paraId="0CE67A6C" w14:textId="7325E389" w:rsidR="004903D8" w:rsidRDefault="004903D8" w:rsidP="004903D8">
      <w:pPr>
        <w:keepLines/>
        <w:tabs>
          <w:tab w:val="left" w:pos="284"/>
          <w:tab w:val="left" w:pos="567"/>
          <w:tab w:val="left" w:pos="851"/>
        </w:tabs>
        <w:spacing w:after="0"/>
        <w:ind w:firstLine="284"/>
        <w:jc w:val="both"/>
        <w:rPr>
          <w:rFonts w:ascii="Arial" w:eastAsia="Times New Roman" w:hAnsi="Arial" w:cs="Arial"/>
          <w:szCs w:val="20"/>
        </w:rPr>
      </w:pPr>
    </w:p>
    <w:p w14:paraId="534E4B48" w14:textId="77777777" w:rsidR="00984D98" w:rsidRDefault="00984D98" w:rsidP="00984D98">
      <w:pPr>
        <w:pStyle w:val="Corpsdetexte"/>
        <w:tabs>
          <w:tab w:val="left" w:pos="5103"/>
        </w:tabs>
        <w:spacing w:line="280" w:lineRule="exact"/>
        <w:ind w:right="-569"/>
        <w:rPr>
          <w:sz w:val="22"/>
          <w:szCs w:val="22"/>
        </w:rPr>
      </w:pPr>
      <w:r w:rsidRPr="005613EE">
        <w:rPr>
          <w:sz w:val="22"/>
          <w:szCs w:val="22"/>
        </w:rPr>
        <w:t xml:space="preserve">En cas de litige, le Tribunal </w:t>
      </w:r>
      <w:r>
        <w:rPr>
          <w:sz w:val="22"/>
          <w:szCs w:val="22"/>
        </w:rPr>
        <w:t>judiciaire de Lyon e</w:t>
      </w:r>
      <w:r w:rsidRPr="005613EE">
        <w:rPr>
          <w:sz w:val="22"/>
          <w:szCs w:val="22"/>
        </w:rPr>
        <w:t>st seul compétent.</w:t>
      </w:r>
    </w:p>
    <w:p w14:paraId="7DAAFB32" w14:textId="77777777" w:rsidR="00984D98" w:rsidRPr="005613EE" w:rsidRDefault="00984D98" w:rsidP="00984D98">
      <w:pPr>
        <w:pStyle w:val="Corpsdetexte"/>
        <w:tabs>
          <w:tab w:val="left" w:pos="5103"/>
        </w:tabs>
        <w:spacing w:line="280" w:lineRule="exact"/>
        <w:ind w:right="-569"/>
        <w:rPr>
          <w:sz w:val="22"/>
          <w:szCs w:val="22"/>
        </w:rPr>
      </w:pPr>
    </w:p>
    <w:p w14:paraId="2373988A" w14:textId="77777777" w:rsidR="00984D98" w:rsidRDefault="00984D98" w:rsidP="00984D98">
      <w:pPr>
        <w:pStyle w:val="Corpsdetexte"/>
        <w:tabs>
          <w:tab w:val="left" w:pos="5103"/>
        </w:tabs>
        <w:spacing w:line="280" w:lineRule="exact"/>
        <w:ind w:right="-569"/>
        <w:rPr>
          <w:sz w:val="22"/>
          <w:szCs w:val="22"/>
        </w:rPr>
      </w:pPr>
      <w:r w:rsidRPr="005613EE">
        <w:rPr>
          <w:sz w:val="22"/>
          <w:szCs w:val="22"/>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0F96E640" w14:textId="77777777" w:rsidR="002E3068" w:rsidRPr="00522244" w:rsidRDefault="002E3068" w:rsidP="004903D8">
      <w:pPr>
        <w:keepLines/>
        <w:tabs>
          <w:tab w:val="left" w:pos="284"/>
          <w:tab w:val="left" w:pos="567"/>
          <w:tab w:val="left" w:pos="851"/>
        </w:tabs>
        <w:spacing w:after="0"/>
        <w:ind w:firstLine="284"/>
        <w:jc w:val="both"/>
        <w:rPr>
          <w:rFonts w:ascii="Arial" w:eastAsia="Times New Roman" w:hAnsi="Arial" w:cs="Arial"/>
          <w:szCs w:val="20"/>
        </w:rPr>
      </w:pPr>
    </w:p>
    <w:p w14:paraId="00F33490" w14:textId="49F0E3F9" w:rsidR="004903D8" w:rsidRDefault="004903D8" w:rsidP="00AD5A30">
      <w:pPr>
        <w:pStyle w:val="Titre1"/>
      </w:pPr>
      <w:bookmarkStart w:id="41" w:name="_Toc185398518"/>
      <w:r w:rsidRPr="00522244">
        <w:lastRenderedPageBreak/>
        <w:t>Clauses complémentaires</w:t>
      </w:r>
      <w:bookmarkEnd w:id="41"/>
    </w:p>
    <w:p w14:paraId="765F1095" w14:textId="51B4E3D0" w:rsidR="004903D8" w:rsidRDefault="004903D8" w:rsidP="004903D8">
      <w:pPr>
        <w:keepLines/>
        <w:tabs>
          <w:tab w:val="left" w:pos="567"/>
          <w:tab w:val="left" w:pos="851"/>
          <w:tab w:val="left" w:pos="1134"/>
        </w:tabs>
        <w:spacing w:after="0"/>
        <w:ind w:left="284"/>
        <w:jc w:val="both"/>
        <w:rPr>
          <w:rFonts w:ascii="Arial" w:eastAsia="Times New Roman" w:hAnsi="Arial" w:cs="Arial"/>
          <w:szCs w:val="20"/>
        </w:rPr>
      </w:pPr>
    </w:p>
    <w:p w14:paraId="031DA949" w14:textId="102847AC" w:rsidR="00BB6941" w:rsidRDefault="00BB6941" w:rsidP="00D35646">
      <w:pPr>
        <w:pStyle w:val="Titre2"/>
      </w:pPr>
      <w:bookmarkStart w:id="42" w:name="_Toc185398519"/>
      <w:r w:rsidRPr="00BB6941">
        <w:t>Modifications chez le Titulaire</w:t>
      </w:r>
      <w:bookmarkEnd w:id="42"/>
    </w:p>
    <w:p w14:paraId="31073004" w14:textId="77777777" w:rsidR="00BB6941" w:rsidRPr="00BB6941" w:rsidRDefault="00BB6941" w:rsidP="00BB6941">
      <w:pPr>
        <w:autoSpaceDE w:val="0"/>
        <w:autoSpaceDN w:val="0"/>
        <w:adjustRightInd w:val="0"/>
        <w:spacing w:after="0" w:line="240" w:lineRule="auto"/>
        <w:rPr>
          <w:rFonts w:ascii="Helvetica-Oblique" w:hAnsi="Helvetica-Oblique" w:cs="Helvetica-Oblique"/>
          <w:i/>
          <w:iCs/>
          <w:sz w:val="24"/>
          <w:szCs w:val="24"/>
          <w:u w:val="single"/>
        </w:rPr>
      </w:pPr>
    </w:p>
    <w:p w14:paraId="2F13934F" w14:textId="77777777" w:rsidR="003D150C" w:rsidRPr="00A25F36" w:rsidRDefault="003D150C" w:rsidP="003D150C">
      <w:pPr>
        <w:spacing w:line="280" w:lineRule="exact"/>
        <w:ind w:right="-569"/>
        <w:jc w:val="both"/>
        <w:rPr>
          <w:rFonts w:ascii="Arial" w:hAnsi="Arial" w:cs="Arial"/>
          <w:iCs/>
        </w:rPr>
      </w:pPr>
      <w:r w:rsidRPr="00A25F36">
        <w:rPr>
          <w:rFonts w:ascii="Arial" w:hAnsi="Arial" w:cs="Arial"/>
          <w:iCs/>
        </w:rPr>
        <w:t>Le Titulaire est tenu de notifier sans délai à GEM les modifications survenant au cours de l’exécution du marché et qui se rapportent :</w:t>
      </w:r>
    </w:p>
    <w:p w14:paraId="1D071C69" w14:textId="77777777" w:rsidR="003D150C" w:rsidRPr="00AA48B1"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aux</w:t>
      </w:r>
      <w:proofErr w:type="gramEnd"/>
      <w:r w:rsidRPr="00AA48B1">
        <w:rPr>
          <w:rFonts w:ascii="Arial" w:hAnsi="Arial" w:cs="Arial"/>
          <w:iCs/>
        </w:rPr>
        <w:t xml:space="preserve"> personnes ayant le pouvoir de l’engager ;</w:t>
      </w:r>
    </w:p>
    <w:p w14:paraId="34D9B266" w14:textId="77777777" w:rsidR="003D150C" w:rsidRPr="00AA48B1"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à</w:t>
      </w:r>
      <w:proofErr w:type="gramEnd"/>
      <w:r w:rsidRPr="00AA48B1">
        <w:rPr>
          <w:rFonts w:ascii="Arial" w:hAnsi="Arial" w:cs="Arial"/>
          <w:iCs/>
        </w:rPr>
        <w:t xml:space="preserve"> la forme juridique sous laquelle il exerce son activité ;</w:t>
      </w:r>
    </w:p>
    <w:p w14:paraId="1E9DCD1F" w14:textId="77777777" w:rsidR="003D150C" w:rsidRPr="00AA48B1"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à</w:t>
      </w:r>
      <w:proofErr w:type="gramEnd"/>
      <w:r w:rsidRPr="00AA48B1">
        <w:rPr>
          <w:rFonts w:ascii="Arial" w:hAnsi="Arial" w:cs="Arial"/>
          <w:iCs/>
        </w:rPr>
        <w:t xml:space="preserve"> sa raison sociale ou à sa dénomination ;</w:t>
      </w:r>
    </w:p>
    <w:p w14:paraId="26D2DE7A" w14:textId="77777777" w:rsidR="003D150C" w:rsidRPr="00AA48B1"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à</w:t>
      </w:r>
      <w:proofErr w:type="gramEnd"/>
      <w:r w:rsidRPr="00AA48B1">
        <w:rPr>
          <w:rFonts w:ascii="Arial" w:hAnsi="Arial" w:cs="Arial"/>
          <w:iCs/>
        </w:rPr>
        <w:t xml:space="preserve"> son adresse ou à son siège social ;</w:t>
      </w:r>
    </w:p>
    <w:p w14:paraId="02ADBB5A" w14:textId="77777777" w:rsidR="003D150C" w:rsidRPr="00AA48B1"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aux</w:t>
      </w:r>
      <w:proofErr w:type="gramEnd"/>
      <w:r w:rsidRPr="00AA48B1">
        <w:rPr>
          <w:rFonts w:ascii="Arial" w:hAnsi="Arial" w:cs="Arial"/>
          <w:iCs/>
        </w:rPr>
        <w:t xml:space="preserve"> renseignements qu’il a fournis pour l’acceptation d’un sous-traitant et l’agrément de ses conditions de paiement ;</w:t>
      </w:r>
    </w:p>
    <w:p w14:paraId="5DF914AE" w14:textId="77777777" w:rsidR="003D150C" w:rsidRDefault="003D150C" w:rsidP="008724E5">
      <w:pPr>
        <w:pStyle w:val="Paragraphedeliste"/>
        <w:numPr>
          <w:ilvl w:val="0"/>
          <w:numId w:val="3"/>
        </w:numPr>
        <w:spacing w:line="280" w:lineRule="exact"/>
        <w:ind w:right="-569"/>
        <w:jc w:val="both"/>
        <w:rPr>
          <w:rFonts w:ascii="Arial" w:hAnsi="Arial" w:cs="Arial"/>
          <w:iCs/>
        </w:rPr>
      </w:pPr>
      <w:proofErr w:type="gramStart"/>
      <w:r w:rsidRPr="00AA48B1">
        <w:rPr>
          <w:rFonts w:ascii="Arial" w:hAnsi="Arial" w:cs="Arial"/>
          <w:iCs/>
        </w:rPr>
        <w:t>et</w:t>
      </w:r>
      <w:proofErr w:type="gramEnd"/>
      <w:r w:rsidRPr="00AA48B1">
        <w:rPr>
          <w:rFonts w:ascii="Arial" w:hAnsi="Arial" w:cs="Arial"/>
          <w:iCs/>
        </w:rPr>
        <w:t xml:space="preserve"> de façon générale, à toutes les modifications importantes de fonctionnement de l’entreprise pouvant influer sur le déroulement du marché</w:t>
      </w:r>
      <w:r>
        <w:rPr>
          <w:rFonts w:ascii="Arial" w:hAnsi="Arial" w:cs="Arial"/>
          <w:iCs/>
        </w:rPr>
        <w:t xml:space="preserve"> (ex : changement d’interlocuteur opérationnel)</w:t>
      </w:r>
      <w:r w:rsidRPr="00AA48B1">
        <w:rPr>
          <w:rFonts w:ascii="Arial" w:hAnsi="Arial" w:cs="Arial"/>
          <w:iCs/>
        </w:rPr>
        <w:t>.</w:t>
      </w:r>
    </w:p>
    <w:p w14:paraId="4509B0D8" w14:textId="1FD21F3E" w:rsidR="00BB6941" w:rsidRDefault="00BB6941" w:rsidP="00BB6941">
      <w:pPr>
        <w:autoSpaceDE w:val="0"/>
        <w:autoSpaceDN w:val="0"/>
        <w:adjustRightInd w:val="0"/>
        <w:spacing w:after="0" w:line="240" w:lineRule="auto"/>
        <w:jc w:val="both"/>
        <w:rPr>
          <w:rFonts w:ascii="Helvetica" w:hAnsi="Helvetica" w:cs="Helvetica"/>
        </w:rPr>
      </w:pPr>
    </w:p>
    <w:p w14:paraId="2B73E9B1" w14:textId="374447A1" w:rsidR="00BB6941" w:rsidRDefault="00BB6941" w:rsidP="00D35646">
      <w:pPr>
        <w:pStyle w:val="Titre2"/>
      </w:pPr>
      <w:bookmarkStart w:id="43" w:name="_Toc185398520"/>
      <w:r w:rsidRPr="00BB6941">
        <w:t>Application des articles D.8222-5, D.8222-7 et D.8222-8 du Code du travail</w:t>
      </w:r>
      <w:bookmarkEnd w:id="43"/>
    </w:p>
    <w:p w14:paraId="24F29709" w14:textId="4CA65261" w:rsidR="00BB6941" w:rsidRDefault="00BB6941" w:rsidP="00BB6941">
      <w:pPr>
        <w:autoSpaceDE w:val="0"/>
        <w:autoSpaceDN w:val="0"/>
        <w:adjustRightInd w:val="0"/>
        <w:spacing w:after="0" w:line="240" w:lineRule="auto"/>
        <w:rPr>
          <w:rFonts w:ascii="Helvetica-Oblique" w:hAnsi="Helvetica-Oblique" w:cs="Helvetica-Oblique"/>
          <w:i/>
          <w:iCs/>
          <w:sz w:val="24"/>
          <w:szCs w:val="24"/>
          <w:u w:val="single"/>
        </w:rPr>
      </w:pPr>
    </w:p>
    <w:p w14:paraId="336F4828" w14:textId="77777777" w:rsidR="003D150C" w:rsidRPr="00A25F36" w:rsidRDefault="003D150C" w:rsidP="003D150C">
      <w:pPr>
        <w:spacing w:line="280" w:lineRule="exact"/>
        <w:ind w:right="-569"/>
        <w:jc w:val="both"/>
        <w:rPr>
          <w:rFonts w:ascii="Arial" w:hAnsi="Arial" w:cs="Arial"/>
          <w:iCs/>
        </w:rPr>
      </w:pPr>
      <w:r w:rsidRPr="00A25F36">
        <w:rPr>
          <w:rFonts w:ascii="Arial" w:hAnsi="Arial" w:cs="Arial"/>
          <w:iCs/>
        </w:rPr>
        <w:t>Le Titulaire fournit à GEM tous les six mois, à compter de la notification du marché et jusqu’à la fin de l’exécution de celui-ci, les pièces et attestations sur l’honneur prévues à l’article D 8222-5 et D 8222-7 et D.8222-8 du code du travail.</w:t>
      </w:r>
    </w:p>
    <w:p w14:paraId="4F2FF9A0" w14:textId="77777777" w:rsidR="003D150C" w:rsidRPr="00A25F36" w:rsidRDefault="003D150C" w:rsidP="003D150C">
      <w:pPr>
        <w:spacing w:line="280" w:lineRule="exact"/>
        <w:ind w:right="-569"/>
        <w:jc w:val="both"/>
        <w:rPr>
          <w:rFonts w:ascii="Arial" w:hAnsi="Arial" w:cs="Arial"/>
          <w:iCs/>
        </w:rPr>
      </w:pPr>
      <w:r w:rsidRPr="00A25F36">
        <w:rPr>
          <w:rFonts w:ascii="Arial" w:hAnsi="Arial" w:cs="Arial"/>
          <w:iCs/>
        </w:rPr>
        <w:t>A défaut, le Titulaire encourt une résiliation de plein droit dans les conditions prévues au présent C.C.A.P.</w:t>
      </w:r>
    </w:p>
    <w:p w14:paraId="7E8859D2" w14:textId="77777777" w:rsidR="003D150C" w:rsidRPr="00A25F36" w:rsidRDefault="003D150C" w:rsidP="003D150C">
      <w:pPr>
        <w:spacing w:line="280" w:lineRule="exact"/>
        <w:ind w:right="-569"/>
        <w:jc w:val="both"/>
        <w:rPr>
          <w:rFonts w:ascii="Arial" w:hAnsi="Arial" w:cs="Arial"/>
          <w:iCs/>
        </w:rPr>
      </w:pPr>
      <w:r w:rsidRPr="00A25F36">
        <w:rPr>
          <w:rFonts w:ascii="Arial" w:hAnsi="Arial" w:cs="Arial"/>
          <w:iCs/>
        </w:rPr>
        <w:t>Après mise en demeure par GEM restée infructueuse, le marché peut être résilié aux torts du Titulaire sans que celui-ci puisse prétendre à indemnité et, le cas échéant, avec exécution des prestations à ses frais et risques, lorsqu’il a contrevenu aux articles D.8222-5, D.8222-7 et D.8222-8 du Code du travail.</w:t>
      </w:r>
    </w:p>
    <w:p w14:paraId="4FEAC04E" w14:textId="77777777" w:rsidR="003D150C" w:rsidRPr="00A25F36" w:rsidRDefault="003D150C" w:rsidP="003D150C">
      <w:pPr>
        <w:spacing w:line="280" w:lineRule="exact"/>
        <w:ind w:right="-569"/>
        <w:jc w:val="both"/>
        <w:rPr>
          <w:rFonts w:ascii="Arial" w:hAnsi="Arial" w:cs="Arial"/>
          <w:iCs/>
        </w:rPr>
      </w:pPr>
      <w:r w:rsidRPr="00A25F36">
        <w:rPr>
          <w:rFonts w:ascii="Arial" w:hAnsi="Arial" w:cs="Arial"/>
          <w:iCs/>
        </w:rPr>
        <w:t>La mise en demeure doit être notifiée par écrit et assortie d’un délai.</w:t>
      </w:r>
    </w:p>
    <w:p w14:paraId="7BE04347" w14:textId="77777777" w:rsidR="003D150C" w:rsidRDefault="003D150C" w:rsidP="003D150C">
      <w:pPr>
        <w:spacing w:line="280" w:lineRule="exact"/>
        <w:ind w:right="-569"/>
        <w:jc w:val="both"/>
        <w:rPr>
          <w:rFonts w:ascii="Arial" w:hAnsi="Arial" w:cs="Arial"/>
          <w:iCs/>
        </w:rPr>
      </w:pPr>
      <w:r w:rsidRPr="00A25F36">
        <w:rPr>
          <w:rFonts w:ascii="Arial" w:hAnsi="Arial" w:cs="Arial"/>
          <w:iCs/>
        </w:rPr>
        <w:t>À défaut d’indication du délai, le Titulaire dispose d’un mois à compter de la notification de la mise en demeure, pour satisfaire aux obligations de celle-ci ou pour présenter ses observations.</w:t>
      </w:r>
    </w:p>
    <w:p w14:paraId="23B3443B" w14:textId="4209F464" w:rsidR="002E3068" w:rsidRDefault="002E3068" w:rsidP="00BB6941">
      <w:pPr>
        <w:autoSpaceDE w:val="0"/>
        <w:autoSpaceDN w:val="0"/>
        <w:adjustRightInd w:val="0"/>
        <w:spacing w:after="0" w:line="240" w:lineRule="auto"/>
        <w:rPr>
          <w:rFonts w:ascii="Helvetica-Oblique" w:hAnsi="Helvetica-Oblique" w:cs="Helvetica-Oblique"/>
          <w:i/>
          <w:iCs/>
          <w:sz w:val="24"/>
          <w:szCs w:val="24"/>
          <w:u w:val="single"/>
        </w:rPr>
      </w:pPr>
    </w:p>
    <w:p w14:paraId="5472BA98" w14:textId="4F4D756F" w:rsidR="002E3068" w:rsidRPr="002E3068" w:rsidRDefault="002E3068" w:rsidP="00D35646">
      <w:pPr>
        <w:pStyle w:val="Titre2"/>
      </w:pPr>
      <w:bookmarkStart w:id="44" w:name="_Toc185398521"/>
      <w:r w:rsidRPr="002E3068">
        <w:t>Représentation et respect de l’image de marque de Grenoble Ecole de Management et de ses partenaires</w:t>
      </w:r>
      <w:bookmarkEnd w:id="44"/>
    </w:p>
    <w:p w14:paraId="506D421E" w14:textId="77777777" w:rsidR="002E3068" w:rsidRDefault="002E3068" w:rsidP="002E3068">
      <w:pPr>
        <w:keepLines/>
        <w:tabs>
          <w:tab w:val="left" w:pos="567"/>
          <w:tab w:val="left" w:pos="851"/>
          <w:tab w:val="left" w:pos="1134"/>
        </w:tabs>
        <w:spacing w:after="0"/>
        <w:ind w:left="284"/>
        <w:jc w:val="both"/>
        <w:rPr>
          <w:rFonts w:ascii="Arial" w:eastAsia="Times New Roman" w:hAnsi="Arial" w:cs="Arial"/>
          <w:szCs w:val="20"/>
        </w:rPr>
      </w:pPr>
      <w:r w:rsidRPr="003E4FDF">
        <w:rPr>
          <w:rFonts w:ascii="Arial" w:eastAsia="Times New Roman" w:hAnsi="Arial" w:cs="Arial"/>
          <w:szCs w:val="20"/>
        </w:rPr>
        <w:t>Tout prestataire de service, étant titulaire d’une mission en qualité de représentant de GEM est garant du respect de l’image de ces institutions.</w:t>
      </w:r>
    </w:p>
    <w:p w14:paraId="0A8E5E21" w14:textId="77777777" w:rsidR="002E3068" w:rsidRPr="003E4FDF" w:rsidRDefault="002E3068" w:rsidP="00D35646">
      <w:pPr>
        <w:pStyle w:val="Titre2"/>
        <w:numPr>
          <w:ilvl w:val="0"/>
          <w:numId w:val="0"/>
        </w:numPr>
        <w:ind w:left="576"/>
        <w:rPr>
          <w:rFonts w:eastAsia="Times New Roman"/>
        </w:rPr>
      </w:pPr>
    </w:p>
    <w:p w14:paraId="12BDDAAD" w14:textId="0407DA82" w:rsidR="002E3068" w:rsidRPr="00D35646" w:rsidRDefault="002E3068" w:rsidP="00D35646">
      <w:pPr>
        <w:pStyle w:val="Titre2"/>
      </w:pPr>
      <w:bookmarkStart w:id="45" w:name="_Toc185398522"/>
      <w:r w:rsidRPr="00D35646">
        <w:t>Obligations de confidentialité</w:t>
      </w:r>
      <w:bookmarkEnd w:id="45"/>
      <w:r w:rsidRPr="00D35646">
        <w:t xml:space="preserve"> </w:t>
      </w:r>
    </w:p>
    <w:p w14:paraId="187AEBA7" w14:textId="549ED4E3" w:rsidR="002E3068" w:rsidRDefault="002E3068" w:rsidP="002E3068">
      <w:pPr>
        <w:keepLines/>
        <w:tabs>
          <w:tab w:val="left" w:pos="567"/>
          <w:tab w:val="left" w:pos="851"/>
          <w:tab w:val="left" w:pos="1134"/>
        </w:tabs>
        <w:spacing w:after="0"/>
        <w:ind w:left="284"/>
        <w:jc w:val="both"/>
        <w:rPr>
          <w:rFonts w:ascii="Arial" w:eastAsia="Times New Roman" w:hAnsi="Arial" w:cs="Arial"/>
          <w:szCs w:val="20"/>
        </w:rPr>
      </w:pPr>
      <w:r w:rsidRPr="00FC0E93">
        <w:rPr>
          <w:rFonts w:ascii="Arial" w:eastAsia="Times New Roman" w:hAnsi="Arial" w:cs="Arial"/>
          <w:szCs w:val="20"/>
        </w:rPr>
        <w:t>Les informations fournies par GEM restent la propriété de Grenoble Ecole de Management et ne devront en aucun cas être divulguées.</w:t>
      </w:r>
    </w:p>
    <w:p w14:paraId="6C59E91F" w14:textId="77777777" w:rsidR="00071427" w:rsidRPr="003E4FDF" w:rsidRDefault="00071427" w:rsidP="002E3068">
      <w:pPr>
        <w:keepLines/>
        <w:tabs>
          <w:tab w:val="left" w:pos="567"/>
          <w:tab w:val="left" w:pos="851"/>
          <w:tab w:val="left" w:pos="1134"/>
        </w:tabs>
        <w:spacing w:after="0"/>
        <w:ind w:left="284"/>
        <w:jc w:val="both"/>
        <w:rPr>
          <w:rFonts w:ascii="Arial" w:eastAsia="Times New Roman" w:hAnsi="Arial" w:cs="Arial"/>
          <w:szCs w:val="20"/>
        </w:rPr>
      </w:pPr>
    </w:p>
    <w:p w14:paraId="3B7FE888" w14:textId="665992F2" w:rsidR="00071427" w:rsidRPr="002E3068" w:rsidRDefault="00071427" w:rsidP="00AD5A30">
      <w:pPr>
        <w:pStyle w:val="Titre1"/>
      </w:pPr>
      <w:bookmarkStart w:id="46" w:name="_Toc185398523"/>
      <w:r w:rsidRPr="00071427">
        <w:lastRenderedPageBreak/>
        <w:t>Protection des données à caractère personnel</w:t>
      </w:r>
      <w:bookmarkEnd w:id="46"/>
      <w:r w:rsidRPr="002E3068">
        <w:t xml:space="preserve"> </w:t>
      </w:r>
    </w:p>
    <w:p w14:paraId="51378F9B" w14:textId="77777777" w:rsidR="00071427" w:rsidRDefault="00071427" w:rsidP="00071427">
      <w:pPr>
        <w:autoSpaceDE w:val="0"/>
        <w:autoSpaceDN w:val="0"/>
        <w:adjustRightInd w:val="0"/>
        <w:spacing w:after="0" w:line="240" w:lineRule="auto"/>
        <w:rPr>
          <w:rFonts w:ascii="Arial" w:hAnsi="Arial" w:cs="Arial"/>
          <w:sz w:val="20"/>
          <w:szCs w:val="20"/>
        </w:rPr>
      </w:pPr>
    </w:p>
    <w:p w14:paraId="3DFCDC39"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28995BDD"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Pour l'application de ces dispositions, il est rappelé que, dans le cadre de leurs relations contractuelles, le pouvoir adjudicateur a la qualité de "responsable du traitement", et le titulaire celle de "sous-traitant" du responsable du traitement.</w:t>
      </w:r>
    </w:p>
    <w:p w14:paraId="1E65E901"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Le titulaire pourra donc, en cas de manquement à ses obligations en matière de protection des données, voir sa responsabilité engagée dans les conditions et limites propres à cette qualité.</w:t>
      </w:r>
    </w:p>
    <w:p w14:paraId="46A89C49"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w:t>
      </w:r>
    </w:p>
    <w:p w14:paraId="4D807CF4" w14:textId="77777777" w:rsidR="009D7CB6" w:rsidRPr="00D35646" w:rsidRDefault="009D7CB6" w:rsidP="009D7CB6">
      <w:pPr>
        <w:autoSpaceDE w:val="0"/>
        <w:autoSpaceDN w:val="0"/>
        <w:rPr>
          <w:rFonts w:ascii="Arial" w:hAnsi="Arial" w:cs="Arial"/>
          <w:szCs w:val="20"/>
        </w:rPr>
      </w:pPr>
    </w:p>
    <w:p w14:paraId="55466DB6" w14:textId="7027DCC6" w:rsidR="009D7CB6" w:rsidRPr="00D35646" w:rsidRDefault="009D7CB6" w:rsidP="009D7CB6">
      <w:pPr>
        <w:autoSpaceDE w:val="0"/>
        <w:autoSpaceDN w:val="0"/>
        <w:rPr>
          <w:rFonts w:ascii="Arial" w:hAnsi="Arial" w:cs="Arial"/>
          <w:szCs w:val="20"/>
        </w:rPr>
      </w:pPr>
      <w:r w:rsidRPr="00D35646">
        <w:rPr>
          <w:rFonts w:ascii="Arial" w:hAnsi="Arial" w:cs="Arial"/>
          <w:szCs w:val="20"/>
        </w:rPr>
        <w:t xml:space="preserve">Le présent marché n’a pas pour objet un traitement de données à caractère personnel. Le seul traitement de données personnelles réalisé par le titulaire et l’acheteur est celui nécessaire à la bonne exécution du contrat et consistant en la communication à l’autre partie des coordonnées du contact du personnel en charge du marché public. Dans ce cadre, chaque partie agit en qualité de responsable de traitement </w:t>
      </w:r>
      <w:r w:rsidRPr="00D35646">
        <w:rPr>
          <w:rFonts w:ascii="Arial" w:hAnsi="Arial" w:cs="Arial"/>
          <w:color w:val="000000"/>
          <w:szCs w:val="20"/>
        </w:rPr>
        <w:t>pour les traitements qu’elle met en œuvre dans le cadre du marché</w:t>
      </w:r>
      <w:r w:rsidRPr="00D35646">
        <w:rPr>
          <w:rFonts w:ascii="Arial" w:hAnsi="Arial" w:cs="Arial"/>
          <w:szCs w:val="20"/>
        </w:rPr>
        <w:t>.</w:t>
      </w:r>
    </w:p>
    <w:p w14:paraId="09EBCD7D" w14:textId="2780C6B5" w:rsidR="009D7CB6" w:rsidRPr="00D35646" w:rsidRDefault="009D7CB6" w:rsidP="009D7CB6">
      <w:pPr>
        <w:autoSpaceDE w:val="0"/>
        <w:autoSpaceDN w:val="0"/>
        <w:rPr>
          <w:rFonts w:ascii="Arial" w:hAnsi="Arial" w:cs="Arial"/>
          <w:szCs w:val="20"/>
        </w:rPr>
      </w:pPr>
      <w:r w:rsidRPr="00D35646">
        <w:rPr>
          <w:rFonts w:ascii="Arial" w:hAnsi="Arial" w:cs="Arial"/>
          <w:szCs w:val="20"/>
        </w:rPr>
        <w:t>Néanmoins, en cas d’évolution du marché ou de nouvelles instructions par l’acheteur qui pourraient occasionner un traitement de données à caractère personnel, le délégué à la protection des données de GEM devra être consulté (</w:t>
      </w:r>
      <w:r w:rsidRPr="00D35646">
        <w:rPr>
          <w:rFonts w:ascii="Arial" w:hAnsi="Arial" w:cs="Arial"/>
          <w:color w:val="000000"/>
          <w:szCs w:val="20"/>
        </w:rPr>
        <w:t xml:space="preserve"> </w:t>
      </w:r>
      <w:hyperlink r:id="rId15" w:history="1">
        <w:r w:rsidRPr="00D35646">
          <w:rPr>
            <w:rStyle w:val="Lienhypertexte"/>
            <w:rFonts w:ascii="Arial" w:hAnsi="Arial"/>
            <w:szCs w:val="20"/>
          </w:rPr>
          <w:t>dpo@grenoble-em.com</w:t>
        </w:r>
      </w:hyperlink>
      <w:r w:rsidRPr="00D35646">
        <w:rPr>
          <w:rFonts w:ascii="Arial" w:hAnsi="Arial" w:cs="Arial"/>
          <w:szCs w:val="20"/>
        </w:rPr>
        <w:t>).</w:t>
      </w:r>
    </w:p>
    <w:p w14:paraId="3636FD3E" w14:textId="77777777" w:rsidR="009D7CB6" w:rsidRPr="00D35646" w:rsidRDefault="009D7CB6" w:rsidP="009D7CB6">
      <w:pPr>
        <w:autoSpaceDE w:val="0"/>
        <w:autoSpaceDN w:val="0"/>
        <w:rPr>
          <w:rFonts w:ascii="Arial" w:hAnsi="Arial" w:cs="Arial"/>
          <w:color w:val="000000"/>
          <w:szCs w:val="20"/>
        </w:rPr>
      </w:pPr>
    </w:p>
    <w:p w14:paraId="769DFC47"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Les parties s’engagent à signer un avenant à la protection des données personnelles si la présente clause ne reflète plus la réalité de la relation entre le titulaire et l’acheteur, si le traitement identifié est modifié ou encore si un nouveau traitement est réalisé.</w:t>
      </w:r>
    </w:p>
    <w:p w14:paraId="3A7764F9" w14:textId="77777777" w:rsidR="009D7CB6" w:rsidRPr="00D35646" w:rsidRDefault="009D7CB6" w:rsidP="009D7CB6">
      <w:pPr>
        <w:autoSpaceDE w:val="0"/>
        <w:autoSpaceDN w:val="0"/>
        <w:rPr>
          <w:rFonts w:ascii="Arial" w:hAnsi="Arial" w:cs="Arial"/>
          <w:szCs w:val="20"/>
        </w:rPr>
      </w:pPr>
      <w:r w:rsidRPr="00D35646">
        <w:rPr>
          <w:rFonts w:ascii="Arial" w:hAnsi="Arial" w:cs="Arial"/>
          <w:szCs w:val="20"/>
        </w:rPr>
        <w:t>En tout état de cause, le titulaire s’engage à ce que son personnel ayant accès aux locaux de l’acheteur conserve la confidentialité de toutes données personnelles auxquelles il accéderait dans le cadre de ses activités dans ces locaux</w:t>
      </w:r>
      <w:r w:rsidRPr="00D35646">
        <w:rPr>
          <w:rFonts w:ascii="Arial" w:hAnsi="Arial" w:cs="Arial"/>
          <w:color w:val="000000"/>
          <w:szCs w:val="20"/>
        </w:rPr>
        <w:t>. Le titulaire s’engage également à respecter les consignes de sécurité qui lui seront communiquées par le pouvoir adjudicateur, et à l’informer de toute violation de données, au sens des réglementations précitées, que son personnel constaterait.</w:t>
      </w:r>
    </w:p>
    <w:p w14:paraId="3913B491" w14:textId="77777777" w:rsidR="000611EC" w:rsidRPr="00071427" w:rsidRDefault="000611EC" w:rsidP="00071427">
      <w:pPr>
        <w:autoSpaceDE w:val="0"/>
        <w:autoSpaceDN w:val="0"/>
        <w:adjustRightInd w:val="0"/>
        <w:spacing w:after="0" w:line="240" w:lineRule="auto"/>
        <w:rPr>
          <w:rFonts w:ascii="Arial" w:hAnsi="Arial" w:cs="Arial"/>
          <w:sz w:val="20"/>
          <w:szCs w:val="20"/>
        </w:rPr>
      </w:pPr>
    </w:p>
    <w:p w14:paraId="4405EC32" w14:textId="54740B85" w:rsidR="004903D8" w:rsidRDefault="009D2BC8" w:rsidP="00AD5A30">
      <w:pPr>
        <w:pStyle w:val="Titre1"/>
      </w:pPr>
      <w:bookmarkStart w:id="47" w:name="_Toc185398524"/>
      <w:r>
        <w:t>Clause de réexamen</w:t>
      </w:r>
      <w:bookmarkEnd w:id="47"/>
    </w:p>
    <w:p w14:paraId="7049BED7" w14:textId="582B408E" w:rsidR="009D2BC8" w:rsidRDefault="009D2BC8" w:rsidP="009D2BC8">
      <w:pPr>
        <w:rPr>
          <w:lang w:eastAsia="fr-FR"/>
        </w:rPr>
      </w:pPr>
    </w:p>
    <w:p w14:paraId="53CEFFF3" w14:textId="1DC576A2" w:rsidR="009D2BC8" w:rsidRPr="009D2BC8" w:rsidRDefault="009D2BC8" w:rsidP="009D2BC8">
      <w:pPr>
        <w:rPr>
          <w:rFonts w:ascii="Arial" w:hAnsi="Arial" w:cs="Arial"/>
          <w:lang w:eastAsia="fr-FR"/>
        </w:rPr>
      </w:pPr>
      <w:r w:rsidRPr="009D2BC8">
        <w:rPr>
          <w:rFonts w:ascii="Arial" w:hAnsi="Arial" w:cs="Arial"/>
          <w:lang w:eastAsia="fr-FR"/>
        </w:rPr>
        <w:t xml:space="preserve">Une procédure de réexamen des conditions d'exécution de l'accord-cadre </w:t>
      </w:r>
      <w:proofErr w:type="gramStart"/>
      <w:r w:rsidR="009D7CB6" w:rsidRPr="009D2BC8">
        <w:rPr>
          <w:rFonts w:ascii="Arial" w:hAnsi="Arial" w:cs="Arial"/>
          <w:lang w:eastAsia="fr-FR"/>
        </w:rPr>
        <w:t>peut</w:t>
      </w:r>
      <w:r w:rsidR="003B2B40">
        <w:rPr>
          <w:rFonts w:ascii="Arial" w:hAnsi="Arial" w:cs="Arial"/>
          <w:lang w:eastAsia="fr-FR"/>
        </w:rPr>
        <w:t xml:space="preserve"> </w:t>
      </w:r>
      <w:r w:rsidR="009D7CB6" w:rsidRPr="009D2BC8">
        <w:rPr>
          <w:rFonts w:ascii="Arial" w:hAnsi="Arial" w:cs="Arial"/>
          <w:lang w:eastAsia="fr-FR"/>
        </w:rPr>
        <w:t>être</w:t>
      </w:r>
      <w:proofErr w:type="gramEnd"/>
      <w:r w:rsidRPr="009D2BC8">
        <w:rPr>
          <w:rFonts w:ascii="Arial" w:hAnsi="Arial" w:cs="Arial"/>
          <w:lang w:eastAsia="fr-FR"/>
        </w:rPr>
        <w:t xml:space="preserve"> menée en application des articles L. 2194-1 1° et R. 2194-1 du Code de la commande publique. </w:t>
      </w:r>
      <w:r w:rsidRPr="009D2BC8">
        <w:rPr>
          <w:rFonts w:ascii="Arial" w:hAnsi="Arial" w:cs="Arial"/>
          <w:lang w:eastAsia="fr-FR"/>
        </w:rPr>
        <w:lastRenderedPageBreak/>
        <w:t>Toute modification des conditions d'exécution acceptée à l'issue de cette procédure de réexamen fait l'objet d'un avenant au présent accord-cadre.</w:t>
      </w:r>
    </w:p>
    <w:p w14:paraId="473DF5BA" w14:textId="77777777" w:rsidR="009D2BC8" w:rsidRPr="009D2BC8" w:rsidRDefault="009D2BC8" w:rsidP="009D2BC8">
      <w:pPr>
        <w:rPr>
          <w:rFonts w:ascii="Arial" w:hAnsi="Arial" w:cs="Arial"/>
          <w:lang w:eastAsia="fr-FR"/>
        </w:rPr>
      </w:pPr>
      <w:r w:rsidRPr="009D2BC8">
        <w:rPr>
          <w:rFonts w:ascii="Arial" w:hAnsi="Arial" w:cs="Arial"/>
          <w:lang w:eastAsia="fr-FR"/>
        </w:rPr>
        <w:t>Cette procédure s'applique lorsque la teneur des modifications n'est pas prévue initialement dans l'accord-cadre, et ce pendant toute la durée de son exécution.</w:t>
      </w:r>
    </w:p>
    <w:p w14:paraId="2F08C25A" w14:textId="77777777" w:rsidR="009D2BC8" w:rsidRPr="009D2BC8" w:rsidRDefault="009D2BC8" w:rsidP="009D2BC8">
      <w:pPr>
        <w:rPr>
          <w:rFonts w:ascii="Arial" w:hAnsi="Arial" w:cs="Arial"/>
          <w:lang w:eastAsia="fr-FR"/>
        </w:rPr>
      </w:pPr>
      <w:r w:rsidRPr="009D2BC8">
        <w:rPr>
          <w:rFonts w:ascii="Arial" w:hAnsi="Arial" w:cs="Arial"/>
          <w:lang w:eastAsia="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7E14D21B" w14:textId="53D7DCF3" w:rsidR="009D2BC8" w:rsidRPr="009D2BC8" w:rsidRDefault="009D2BC8" w:rsidP="009D2BC8">
      <w:pPr>
        <w:rPr>
          <w:rFonts w:ascii="Arial" w:hAnsi="Arial" w:cs="Arial"/>
          <w:lang w:eastAsia="fr-FR"/>
        </w:rPr>
      </w:pPr>
      <w:r w:rsidRPr="009D2BC8">
        <w:rPr>
          <w:rFonts w:ascii="Arial" w:hAnsi="Arial" w:cs="Arial"/>
          <w:lang w:eastAsia="fr-FR"/>
        </w:rPr>
        <w:t xml:space="preserve">Si le principe et les conditions de mise en </w:t>
      </w:r>
      <w:r w:rsidR="00A90F54" w:rsidRPr="009D2BC8">
        <w:rPr>
          <w:rFonts w:ascii="Arial" w:hAnsi="Arial" w:cs="Arial"/>
          <w:lang w:eastAsia="fr-FR"/>
        </w:rPr>
        <w:t>œuvre</w:t>
      </w:r>
      <w:r w:rsidRPr="009D2BC8">
        <w:rPr>
          <w:rFonts w:ascii="Arial" w:hAnsi="Arial" w:cs="Arial"/>
          <w:lang w:eastAsia="fr-FR"/>
        </w:rPr>
        <w:t xml:space="preserve"> du réexamen sont acceptés par les parties, il trouve à s'appliquer quel que soit le montant des modifications qu'il induit.</w:t>
      </w:r>
    </w:p>
    <w:p w14:paraId="7FCD46B9" w14:textId="77777777" w:rsidR="009D2BC8" w:rsidRPr="009D2BC8" w:rsidRDefault="009D2BC8" w:rsidP="009D2BC8">
      <w:pPr>
        <w:rPr>
          <w:rFonts w:ascii="Arial" w:hAnsi="Arial" w:cs="Arial"/>
          <w:lang w:eastAsia="fr-FR"/>
        </w:rPr>
      </w:pPr>
      <w:r w:rsidRPr="009D2BC8">
        <w:rPr>
          <w:rFonts w:ascii="Arial" w:hAnsi="Arial" w:cs="Arial"/>
          <w:lang w:eastAsia="fr-FR"/>
        </w:rPr>
        <w:t>L'initiative de la demande de réexamen appartient aux deux parties, et la procédure de réexamen n'interrompt en aucun cas l'exécution des prestations.</w:t>
      </w:r>
    </w:p>
    <w:p w14:paraId="011F1D39" w14:textId="77777777" w:rsidR="009D2BC8" w:rsidRPr="009D2BC8" w:rsidRDefault="009D2BC8" w:rsidP="009D2BC8">
      <w:pPr>
        <w:rPr>
          <w:rFonts w:ascii="Arial" w:hAnsi="Arial" w:cs="Arial"/>
          <w:lang w:eastAsia="fr-FR"/>
        </w:rPr>
      </w:pPr>
      <w:r w:rsidRPr="009D2BC8">
        <w:rPr>
          <w:rFonts w:ascii="Arial" w:hAnsi="Arial" w:cs="Arial"/>
          <w:lang w:eastAsia="fr-FR"/>
        </w:rPr>
        <w:t>La demande doit être transmise par tout moyen matériel ou dématérialisé permettant de déterminer de façon certaine la date de sa réception.</w:t>
      </w:r>
    </w:p>
    <w:p w14:paraId="21B0CA7B" w14:textId="77777777" w:rsidR="009D2BC8" w:rsidRPr="009D2BC8" w:rsidRDefault="009D2BC8" w:rsidP="009D2BC8">
      <w:pPr>
        <w:rPr>
          <w:rFonts w:ascii="Arial" w:hAnsi="Arial" w:cs="Arial"/>
          <w:lang w:eastAsia="fr-FR"/>
        </w:rPr>
      </w:pPr>
      <w:r w:rsidRPr="009D2BC8">
        <w:rPr>
          <w:rFonts w:ascii="Arial" w:hAnsi="Arial" w:cs="Arial"/>
          <w:lang w:eastAsia="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1654A20F" w14:textId="77777777" w:rsidR="009D2BC8" w:rsidRPr="009D2BC8" w:rsidRDefault="009D2BC8" w:rsidP="009D2BC8">
      <w:pPr>
        <w:rPr>
          <w:rFonts w:ascii="Arial" w:hAnsi="Arial" w:cs="Arial"/>
          <w:lang w:eastAsia="fr-FR"/>
        </w:rPr>
      </w:pPr>
      <w:r w:rsidRPr="009D2BC8">
        <w:rPr>
          <w:rFonts w:ascii="Arial" w:hAnsi="Arial" w:cs="Arial"/>
          <w:lang w:eastAsia="fr-FR"/>
        </w:rPr>
        <w:t xml:space="preserve">La procédure de réexamen ainsi définie </w:t>
      </w:r>
      <w:proofErr w:type="gramStart"/>
      <w:r w:rsidRPr="009D2BC8">
        <w:rPr>
          <w:rFonts w:ascii="Arial" w:hAnsi="Arial" w:cs="Arial"/>
          <w:lang w:eastAsia="fr-FR"/>
        </w:rPr>
        <w:t>peut être</w:t>
      </w:r>
      <w:proofErr w:type="gramEnd"/>
      <w:r w:rsidRPr="009D2BC8">
        <w:rPr>
          <w:rFonts w:ascii="Arial" w:hAnsi="Arial" w:cs="Arial"/>
          <w:lang w:eastAsia="fr-FR"/>
        </w:rPr>
        <w:t xml:space="preserve"> initiée dans les cas suivants :</w:t>
      </w:r>
    </w:p>
    <w:p w14:paraId="47D9E277" w14:textId="77777777" w:rsidR="009D2BC8" w:rsidRPr="009D2BC8" w:rsidRDefault="009D2BC8" w:rsidP="009D2BC8">
      <w:pPr>
        <w:rPr>
          <w:rFonts w:ascii="Arial" w:hAnsi="Arial" w:cs="Arial"/>
          <w:lang w:eastAsia="fr-FR"/>
        </w:rPr>
      </w:pPr>
      <w:r w:rsidRPr="009D2BC8">
        <w:rPr>
          <w:rFonts w:ascii="Arial" w:hAnsi="Arial" w:cs="Arial"/>
          <w:lang w:eastAsia="fr-FR"/>
        </w:rPr>
        <w:t>- Evolution du périmètre du marché : ajout ou suppression de sites faisant l’objet des prestations du contrat. A titre d’exemple, la procédure de réexamen peut être initiée en cas de vente, de changement de destination, ou d’acquisition d’un bâtiment ;</w:t>
      </w:r>
    </w:p>
    <w:p w14:paraId="0E586A92" w14:textId="6149631A" w:rsidR="009D2BC8" w:rsidRDefault="009D2BC8" w:rsidP="009D2BC8">
      <w:pPr>
        <w:rPr>
          <w:rFonts w:ascii="Arial" w:hAnsi="Arial" w:cs="Arial"/>
          <w:lang w:eastAsia="fr-FR"/>
        </w:rPr>
      </w:pPr>
      <w:r w:rsidRPr="009D2BC8">
        <w:rPr>
          <w:rFonts w:ascii="Arial" w:hAnsi="Arial" w:cs="Arial"/>
          <w:lang w:eastAsia="fr-FR"/>
        </w:rPr>
        <w:t xml:space="preserve">- Pendant la durée de l'accord-cadre, si le titulaire se trouve dans l'impossibilité de fournir une solution adaptée à une demande particulière (en raison d'une urgence, d'une complexité technique ou d'un manque de matériel), </w:t>
      </w:r>
      <w:r w:rsidR="00A90F54">
        <w:rPr>
          <w:rFonts w:ascii="Arial" w:hAnsi="Arial" w:cs="Arial"/>
          <w:lang w:eastAsia="fr-FR"/>
        </w:rPr>
        <w:t>Grenoble Ecole de Management</w:t>
      </w:r>
      <w:r w:rsidRPr="009D2BC8">
        <w:rPr>
          <w:rFonts w:ascii="Arial" w:hAnsi="Arial" w:cs="Arial"/>
          <w:lang w:eastAsia="fr-FR"/>
        </w:rPr>
        <w:t xml:space="preserve"> se ré</w:t>
      </w:r>
      <w:r w:rsidR="00F32DA5">
        <w:rPr>
          <w:rFonts w:ascii="Arial" w:hAnsi="Arial" w:cs="Arial"/>
          <w:lang w:eastAsia="fr-FR"/>
        </w:rPr>
        <w:t xml:space="preserve">serve le droit de confier cette </w:t>
      </w:r>
      <w:r w:rsidRPr="009D2BC8">
        <w:rPr>
          <w:rFonts w:ascii="Arial" w:hAnsi="Arial" w:cs="Arial"/>
          <w:lang w:eastAsia="fr-FR"/>
        </w:rPr>
        <w:t>prestation à un autre prestataire. Ce recours à un prestataire tiers ne pourra excéder 10% du montant maximum global de l'accord-cadre. Le titulaire sera informé de cette décision et ne pourra invo</w:t>
      </w:r>
      <w:r w:rsidR="00F32DA5">
        <w:rPr>
          <w:rFonts w:ascii="Arial" w:hAnsi="Arial" w:cs="Arial"/>
          <w:lang w:eastAsia="fr-FR"/>
        </w:rPr>
        <w:t>quer l'exclusivité de commande.</w:t>
      </w:r>
    </w:p>
    <w:p w14:paraId="576BC15F" w14:textId="77777777" w:rsidR="00F32DA5" w:rsidRPr="009D2BC8" w:rsidRDefault="00F32DA5" w:rsidP="009D2BC8">
      <w:pPr>
        <w:rPr>
          <w:rFonts w:ascii="Arial" w:hAnsi="Arial" w:cs="Arial"/>
          <w:lang w:eastAsia="fr-FR"/>
        </w:rPr>
      </w:pPr>
    </w:p>
    <w:p w14:paraId="6DD959F9" w14:textId="400E9268" w:rsidR="00D95377" w:rsidRDefault="00D95377" w:rsidP="00AD5A30">
      <w:pPr>
        <w:pStyle w:val="Titre1"/>
      </w:pPr>
      <w:bookmarkStart w:id="48" w:name="_Toc185398525"/>
      <w:r w:rsidRPr="008724E5">
        <w:t>Reprise de personnel</w:t>
      </w:r>
      <w:bookmarkEnd w:id="48"/>
      <w:r w:rsidRPr="008724E5">
        <w:t xml:space="preserve"> </w:t>
      </w:r>
    </w:p>
    <w:p w14:paraId="0A1376ED" w14:textId="77777777" w:rsidR="008724E5" w:rsidRPr="008724E5" w:rsidRDefault="008724E5" w:rsidP="008724E5">
      <w:pPr>
        <w:rPr>
          <w:lang w:eastAsia="fr-FR"/>
        </w:rPr>
      </w:pPr>
    </w:p>
    <w:p w14:paraId="67ADA372" w14:textId="14A993C3" w:rsidR="008724E5" w:rsidRPr="008724E5" w:rsidRDefault="008724E5" w:rsidP="00D35646">
      <w:pPr>
        <w:pStyle w:val="Titre2"/>
        <w:rPr>
          <w:lang w:eastAsia="fr-FR"/>
        </w:rPr>
      </w:pPr>
      <w:bookmarkStart w:id="49" w:name="_Toc185398526"/>
      <w:r w:rsidRPr="008724E5">
        <w:rPr>
          <w:lang w:eastAsia="fr-FR"/>
        </w:rPr>
        <w:t>Obligations du titulaire en tant qu’entreprise entrante</w:t>
      </w:r>
      <w:bookmarkEnd w:id="49"/>
    </w:p>
    <w:p w14:paraId="0B643099" w14:textId="77777777" w:rsidR="008724E5" w:rsidRPr="008724E5" w:rsidRDefault="008724E5" w:rsidP="008724E5">
      <w:pPr>
        <w:rPr>
          <w:rFonts w:ascii="Arial" w:hAnsi="Arial" w:cs="Arial"/>
          <w:lang w:eastAsia="fr-FR"/>
        </w:rPr>
      </w:pPr>
      <w:r w:rsidRPr="008724E5">
        <w:rPr>
          <w:rFonts w:ascii="Arial" w:hAnsi="Arial" w:cs="Arial"/>
          <w:lang w:eastAsia="fr-FR"/>
        </w:rPr>
        <w:t>Les obligations du titulaire en tant qu’entreprise entrante sont celles définies par la Convention collective nationale des entreprises de propreté et des services associés du 26 juillet 2011.</w:t>
      </w:r>
    </w:p>
    <w:p w14:paraId="1DA90B71" w14:textId="77777777" w:rsidR="008724E5" w:rsidRPr="008724E5" w:rsidRDefault="008724E5" w:rsidP="008724E5">
      <w:pPr>
        <w:rPr>
          <w:rFonts w:ascii="Arial" w:hAnsi="Arial" w:cs="Arial"/>
          <w:lang w:eastAsia="fr-FR"/>
        </w:rPr>
      </w:pPr>
      <w:r w:rsidRPr="008724E5">
        <w:rPr>
          <w:rFonts w:ascii="Arial" w:hAnsi="Arial" w:cs="Arial"/>
          <w:lang w:eastAsia="fr-FR"/>
        </w:rPr>
        <w:t>Notamment, l’entreprise entrante est tenue de se faire connaître à l’entreprise sortante dès qu’elle obtient ses coordonnées. Elle doit également informer le comité d’entreprise, ou à défaut, les délégués du personnel de l’attribution d’un nouveau marché.</w:t>
      </w:r>
    </w:p>
    <w:p w14:paraId="7928A7D1" w14:textId="77777777" w:rsidR="008724E5" w:rsidRPr="008724E5" w:rsidRDefault="008724E5" w:rsidP="008724E5">
      <w:pPr>
        <w:rPr>
          <w:rFonts w:ascii="Arial" w:hAnsi="Arial" w:cs="Arial"/>
          <w:lang w:eastAsia="fr-FR"/>
        </w:rPr>
      </w:pPr>
      <w:r w:rsidRPr="008724E5">
        <w:rPr>
          <w:rFonts w:ascii="Arial" w:hAnsi="Arial" w:cs="Arial"/>
          <w:lang w:eastAsia="fr-FR"/>
        </w:rPr>
        <w:t>L’entreprise entrante s’engage à garantir l’emploi de 100 % du personnel affecté au contrat faisant l’objet de la reprise qui remplit les conditions d’un maintien de l’emploi définies par la convention collective précitée.</w:t>
      </w:r>
    </w:p>
    <w:p w14:paraId="3807FB1E" w14:textId="76B988EE" w:rsidR="009D2BC8" w:rsidRDefault="008724E5" w:rsidP="008724E5">
      <w:pPr>
        <w:rPr>
          <w:rFonts w:ascii="Arial" w:hAnsi="Arial" w:cs="Arial"/>
          <w:lang w:eastAsia="fr-FR"/>
        </w:rPr>
      </w:pPr>
      <w:r w:rsidRPr="008724E5">
        <w:rPr>
          <w:rFonts w:ascii="Arial" w:hAnsi="Arial" w:cs="Arial"/>
          <w:lang w:eastAsia="fr-FR"/>
        </w:rPr>
        <w:lastRenderedPageBreak/>
        <w:t>Les modalités de maintien de l’emploi et de la poursuite du contrat de travail se feront selon les dispositions de la convention collective précitée (établissement d’un avenant au contrat de travail ; modalités de maintien de la rémunération ; modalités d’octroi des congés acquis à la date du transfert ; statut collectif).</w:t>
      </w:r>
    </w:p>
    <w:p w14:paraId="7517C358" w14:textId="5EB8F22C" w:rsidR="008724E5" w:rsidRPr="008724E5" w:rsidRDefault="008724E5" w:rsidP="00D35646">
      <w:pPr>
        <w:pStyle w:val="Titre2"/>
        <w:rPr>
          <w:lang w:eastAsia="fr-FR"/>
        </w:rPr>
      </w:pPr>
      <w:bookmarkStart w:id="50" w:name="_Toc185398527"/>
      <w:r w:rsidRPr="008724E5">
        <w:rPr>
          <w:lang w:eastAsia="fr-FR"/>
        </w:rPr>
        <w:t>Obligations du titulaire en tant qu’entreprise sortante</w:t>
      </w:r>
      <w:bookmarkEnd w:id="50"/>
      <w:r w:rsidRPr="008724E5">
        <w:rPr>
          <w:lang w:eastAsia="fr-FR"/>
        </w:rPr>
        <w:t xml:space="preserve"> </w:t>
      </w:r>
    </w:p>
    <w:p w14:paraId="2BADFE42" w14:textId="77777777" w:rsidR="008724E5" w:rsidRPr="008724E5" w:rsidRDefault="008724E5" w:rsidP="008724E5">
      <w:pPr>
        <w:rPr>
          <w:rFonts w:ascii="Arial" w:hAnsi="Arial" w:cs="Arial"/>
          <w:lang w:eastAsia="fr-FR"/>
        </w:rPr>
      </w:pPr>
      <w:r w:rsidRPr="008724E5">
        <w:rPr>
          <w:rFonts w:ascii="Arial" w:hAnsi="Arial" w:cs="Arial"/>
          <w:lang w:eastAsia="fr-FR"/>
        </w:rPr>
        <w:t xml:space="preserve">Les obligations du titulaire en tant qu’entreprise sortante sont celles définies par la convention collective précitée. </w:t>
      </w:r>
    </w:p>
    <w:p w14:paraId="4CFFE40C" w14:textId="77777777" w:rsidR="008724E5" w:rsidRPr="008724E5" w:rsidRDefault="008724E5" w:rsidP="008724E5">
      <w:pPr>
        <w:rPr>
          <w:rFonts w:ascii="Arial" w:hAnsi="Arial" w:cs="Arial"/>
          <w:lang w:eastAsia="fr-FR"/>
        </w:rPr>
      </w:pPr>
      <w:r w:rsidRPr="008724E5">
        <w:rPr>
          <w:rFonts w:ascii="Arial" w:hAnsi="Arial" w:cs="Arial"/>
          <w:lang w:eastAsia="fr-FR"/>
        </w:rPr>
        <w:t xml:space="preserve">Notamment, conformément à la convention collective précitée, à l’issue de la durée du présent contrat, le titulaire sera considéré comme entreprise sortante et devra, à ce titre, établir une liste de tout le personnel affecté à l’exécution du contrat selon les dispositions prévues par ladite convention. </w:t>
      </w:r>
    </w:p>
    <w:p w14:paraId="0FDC716F" w14:textId="77777777" w:rsidR="008724E5" w:rsidRPr="008724E5" w:rsidRDefault="008724E5" w:rsidP="008724E5">
      <w:pPr>
        <w:rPr>
          <w:rFonts w:ascii="Arial" w:hAnsi="Arial" w:cs="Arial"/>
          <w:lang w:eastAsia="fr-FR"/>
        </w:rPr>
      </w:pPr>
      <w:r w:rsidRPr="008724E5">
        <w:rPr>
          <w:rFonts w:ascii="Arial" w:hAnsi="Arial" w:cs="Arial"/>
          <w:lang w:eastAsia="fr-FR"/>
        </w:rPr>
        <w:t xml:space="preserve">L’entreprise sortante qui souhaiterait conserver à son service tout ou partie du personnel affecté à l’exécution du contrat, avec l’accord de celui-ci, devra en avertir son successeur au moment de la transmission de la liste. </w:t>
      </w:r>
    </w:p>
    <w:p w14:paraId="16F87755" w14:textId="77777777" w:rsidR="008724E5" w:rsidRPr="008724E5" w:rsidRDefault="008724E5" w:rsidP="008724E5">
      <w:pPr>
        <w:rPr>
          <w:rFonts w:ascii="Arial" w:hAnsi="Arial" w:cs="Arial"/>
          <w:lang w:eastAsia="fr-FR"/>
        </w:rPr>
      </w:pPr>
      <w:r w:rsidRPr="008724E5">
        <w:rPr>
          <w:rFonts w:ascii="Arial" w:hAnsi="Arial" w:cs="Arial"/>
          <w:lang w:eastAsia="fr-FR"/>
        </w:rPr>
        <w:t xml:space="preserve">De plus, l’entreprise sortante informera par écrit chacun des salariés bénéficiant de la garantie d’emploi de son obligation de se présenter sur le chantier le jour du changement de prestataire. Elle communiquera également au comité d’entreprise, ou à défaut aux délégués du personnel la liste nominative des salariés concernés par le transfert. </w:t>
      </w:r>
    </w:p>
    <w:p w14:paraId="46C71596" w14:textId="2D83EEDE" w:rsidR="008724E5" w:rsidRDefault="008724E5" w:rsidP="008724E5">
      <w:pPr>
        <w:rPr>
          <w:rFonts w:ascii="Arial" w:hAnsi="Arial" w:cs="Arial"/>
          <w:lang w:eastAsia="fr-FR"/>
        </w:rPr>
      </w:pPr>
      <w:r w:rsidRPr="008724E5">
        <w:rPr>
          <w:rFonts w:ascii="Arial" w:hAnsi="Arial" w:cs="Arial"/>
          <w:lang w:eastAsia="fr-FR"/>
        </w:rPr>
        <w:t>Les obligations prévues par la convention nationale précitée en matière de règlement des salaires et des sommes à paiement différé, y compris les indemnités de congés payés, sont pleinement applicables à l’entreprise sortante.</w:t>
      </w:r>
    </w:p>
    <w:p w14:paraId="396F8A99" w14:textId="77777777" w:rsidR="008724E5" w:rsidRPr="008724E5" w:rsidRDefault="008724E5" w:rsidP="008724E5">
      <w:pPr>
        <w:rPr>
          <w:rFonts w:ascii="Arial" w:hAnsi="Arial" w:cs="Arial"/>
          <w:lang w:eastAsia="fr-FR"/>
        </w:rPr>
      </w:pPr>
    </w:p>
    <w:p w14:paraId="6D5BFB93" w14:textId="77777777" w:rsidR="009D2BC8" w:rsidRDefault="009D2BC8" w:rsidP="00AD5A30">
      <w:pPr>
        <w:pStyle w:val="Titre1"/>
      </w:pPr>
      <w:bookmarkStart w:id="51" w:name="_Toc185398528"/>
      <w:r w:rsidRPr="00522244">
        <w:t>Dérogations au C.C.A.G.</w:t>
      </w:r>
      <w:bookmarkEnd w:id="51"/>
    </w:p>
    <w:p w14:paraId="2B38F9BD" w14:textId="77777777" w:rsidR="008724E5" w:rsidRPr="008724E5" w:rsidRDefault="008724E5" w:rsidP="00F32DA5">
      <w:pPr>
        <w:autoSpaceDE w:val="0"/>
        <w:autoSpaceDN w:val="0"/>
        <w:adjustRightInd w:val="0"/>
        <w:spacing w:after="0" w:line="276" w:lineRule="auto"/>
        <w:rPr>
          <w:rFonts w:ascii="Arial" w:hAnsi="Arial" w:cs="Arial"/>
          <w:color w:val="000000"/>
        </w:rPr>
      </w:pPr>
      <w:r w:rsidRPr="008724E5">
        <w:rPr>
          <w:rFonts w:ascii="Arial" w:hAnsi="Arial" w:cs="Arial"/>
          <w:color w:val="000000"/>
        </w:rPr>
        <w:t xml:space="preserve">- L'article 2 du CCAP déroge à l'article 4.1 du CCAG - Fournitures Courantes et Services </w:t>
      </w:r>
    </w:p>
    <w:p w14:paraId="5C139E56" w14:textId="4C5E408C" w:rsidR="008724E5" w:rsidRPr="008724E5" w:rsidRDefault="00F32DA5" w:rsidP="00F32DA5">
      <w:pPr>
        <w:autoSpaceDE w:val="0"/>
        <w:autoSpaceDN w:val="0"/>
        <w:adjustRightInd w:val="0"/>
        <w:spacing w:after="0" w:line="276" w:lineRule="auto"/>
        <w:rPr>
          <w:rFonts w:ascii="Arial" w:hAnsi="Arial" w:cs="Arial"/>
          <w:color w:val="000000"/>
        </w:rPr>
      </w:pPr>
      <w:r w:rsidRPr="00F32DA5">
        <w:rPr>
          <w:rFonts w:ascii="Arial" w:hAnsi="Arial" w:cs="Arial"/>
          <w:color w:val="000000"/>
        </w:rPr>
        <w:t>- L'article 10</w:t>
      </w:r>
      <w:r w:rsidR="008724E5" w:rsidRPr="008724E5">
        <w:rPr>
          <w:rFonts w:ascii="Arial" w:hAnsi="Arial" w:cs="Arial"/>
          <w:color w:val="000000"/>
        </w:rPr>
        <w:t xml:space="preserve">.1 du CCAP déroge à l'article 14.1.1 du CCAG - Fournitures Courantes et Services </w:t>
      </w:r>
    </w:p>
    <w:p w14:paraId="77AE215B" w14:textId="5BA65B79" w:rsidR="008724E5" w:rsidRPr="008724E5" w:rsidRDefault="008724E5" w:rsidP="00F32DA5">
      <w:pPr>
        <w:autoSpaceDE w:val="0"/>
        <w:autoSpaceDN w:val="0"/>
        <w:adjustRightInd w:val="0"/>
        <w:spacing w:after="0" w:line="276" w:lineRule="auto"/>
        <w:rPr>
          <w:rFonts w:ascii="Arial" w:hAnsi="Arial" w:cs="Arial"/>
          <w:color w:val="000000"/>
        </w:rPr>
      </w:pPr>
      <w:r w:rsidRPr="008724E5">
        <w:rPr>
          <w:rFonts w:ascii="Arial" w:hAnsi="Arial" w:cs="Arial"/>
          <w:color w:val="000000"/>
        </w:rPr>
        <w:t>- L'article 1</w:t>
      </w:r>
      <w:r w:rsidR="00F32DA5" w:rsidRPr="00F32DA5">
        <w:rPr>
          <w:rFonts w:ascii="Arial" w:hAnsi="Arial" w:cs="Arial"/>
          <w:color w:val="000000"/>
        </w:rPr>
        <w:t>0</w:t>
      </w:r>
      <w:r w:rsidRPr="008724E5">
        <w:rPr>
          <w:rFonts w:ascii="Arial" w:hAnsi="Arial" w:cs="Arial"/>
          <w:color w:val="000000"/>
        </w:rPr>
        <w:t xml:space="preserve">.1 du CCAP déroge à l'article 14.1.3 du CCAG - Fournitures Courantes et Services </w:t>
      </w:r>
    </w:p>
    <w:p w14:paraId="6E429146" w14:textId="2495BF91" w:rsidR="008724E5" w:rsidRPr="008724E5" w:rsidRDefault="00F32DA5" w:rsidP="00F32DA5">
      <w:pPr>
        <w:autoSpaceDE w:val="0"/>
        <w:autoSpaceDN w:val="0"/>
        <w:adjustRightInd w:val="0"/>
        <w:spacing w:after="0" w:line="276" w:lineRule="auto"/>
        <w:rPr>
          <w:rFonts w:ascii="Arial" w:hAnsi="Arial" w:cs="Arial"/>
          <w:color w:val="000000"/>
        </w:rPr>
      </w:pPr>
      <w:r w:rsidRPr="00F32DA5">
        <w:rPr>
          <w:rFonts w:ascii="Arial" w:hAnsi="Arial" w:cs="Arial"/>
          <w:color w:val="000000"/>
        </w:rPr>
        <w:t>- L'article 10</w:t>
      </w:r>
      <w:r w:rsidR="008724E5" w:rsidRPr="008724E5">
        <w:rPr>
          <w:rFonts w:ascii="Arial" w:hAnsi="Arial" w:cs="Arial"/>
          <w:color w:val="000000"/>
        </w:rPr>
        <w:t xml:space="preserve">.1 du CCAP déroge à l'article 14.1.2 du CCAG - Fournitures Courantes et Services </w:t>
      </w:r>
    </w:p>
    <w:p w14:paraId="5272FE4B" w14:textId="5484A567" w:rsidR="008724E5" w:rsidRPr="008724E5" w:rsidRDefault="00F32DA5" w:rsidP="00F32DA5">
      <w:pPr>
        <w:autoSpaceDE w:val="0"/>
        <w:autoSpaceDN w:val="0"/>
        <w:adjustRightInd w:val="0"/>
        <w:spacing w:after="0" w:line="276" w:lineRule="auto"/>
        <w:rPr>
          <w:rFonts w:ascii="Arial" w:hAnsi="Arial" w:cs="Arial"/>
          <w:color w:val="000000"/>
        </w:rPr>
      </w:pPr>
      <w:r w:rsidRPr="00F32DA5">
        <w:rPr>
          <w:rFonts w:ascii="Arial" w:hAnsi="Arial" w:cs="Arial"/>
          <w:color w:val="000000"/>
        </w:rPr>
        <w:t>- L'article 10</w:t>
      </w:r>
      <w:r w:rsidR="008724E5" w:rsidRPr="008724E5">
        <w:rPr>
          <w:rFonts w:ascii="Arial" w:hAnsi="Arial" w:cs="Arial"/>
          <w:color w:val="000000"/>
        </w:rPr>
        <w:t xml:space="preserve">.2 du CCAP déroge à l'article 14.2 du CCAG - Fournitures Courantes et Services </w:t>
      </w:r>
    </w:p>
    <w:p w14:paraId="288E0C4A" w14:textId="6AC92926" w:rsidR="005D03B6" w:rsidRPr="008724E5" w:rsidRDefault="008724E5" w:rsidP="005D03B6">
      <w:pPr>
        <w:spacing w:line="276" w:lineRule="auto"/>
        <w:rPr>
          <w:rFonts w:ascii="Arial" w:hAnsi="Arial" w:cs="Arial"/>
          <w:color w:val="000000"/>
        </w:rPr>
      </w:pPr>
      <w:r w:rsidRPr="00F32DA5">
        <w:rPr>
          <w:rFonts w:ascii="Arial" w:hAnsi="Arial" w:cs="Arial"/>
          <w:color w:val="000000"/>
        </w:rPr>
        <w:t xml:space="preserve">- L'article </w:t>
      </w:r>
      <w:r w:rsidR="00F32DA5">
        <w:rPr>
          <w:rFonts w:ascii="Arial" w:hAnsi="Arial" w:cs="Arial"/>
          <w:color w:val="000000"/>
        </w:rPr>
        <w:t>12</w:t>
      </w:r>
      <w:r w:rsidRPr="00F32DA5">
        <w:rPr>
          <w:rFonts w:ascii="Arial" w:hAnsi="Arial" w:cs="Arial"/>
          <w:color w:val="000000"/>
        </w:rPr>
        <w:t xml:space="preserve"> du CCAP déroge à l'article 42 du CCAG - Fournitures Courantes et Services</w:t>
      </w:r>
      <w:r w:rsidR="005D03B6" w:rsidRPr="00F32DA5">
        <w:rPr>
          <w:rFonts w:ascii="Arial" w:hAnsi="Arial" w:cs="Arial"/>
          <w:color w:val="000000"/>
        </w:rPr>
        <w:t xml:space="preserve">- </w:t>
      </w:r>
      <w:r w:rsidR="005D03B6">
        <w:rPr>
          <w:rFonts w:ascii="Arial" w:hAnsi="Arial" w:cs="Arial"/>
          <w:color w:val="000000"/>
        </w:rPr>
        <w:t xml:space="preserve">---- </w:t>
      </w:r>
      <w:r w:rsidR="005D03B6" w:rsidRPr="00F32DA5">
        <w:rPr>
          <w:rFonts w:ascii="Arial" w:hAnsi="Arial" w:cs="Arial"/>
          <w:color w:val="000000"/>
        </w:rPr>
        <w:t xml:space="preserve">L'article 15 </w:t>
      </w:r>
      <w:r w:rsidR="005D03B6" w:rsidRPr="008724E5">
        <w:rPr>
          <w:rFonts w:ascii="Arial" w:hAnsi="Arial" w:cs="Arial"/>
          <w:color w:val="000000"/>
        </w:rPr>
        <w:t xml:space="preserve">du CCAP déroge à l'article 5.2 du CCAG - Fournitures Courantes et Services </w:t>
      </w:r>
    </w:p>
    <w:p w14:paraId="55833C89" w14:textId="7A15C56F" w:rsidR="008725B2" w:rsidRPr="00F32DA5" w:rsidRDefault="008725B2" w:rsidP="00F32DA5">
      <w:pPr>
        <w:spacing w:line="276" w:lineRule="auto"/>
        <w:rPr>
          <w:rFonts w:ascii="Arial" w:hAnsi="Arial" w:cs="Arial"/>
          <w:lang w:eastAsia="fr-FR"/>
        </w:rPr>
      </w:pPr>
    </w:p>
    <w:sectPr w:rsidR="008725B2" w:rsidRPr="00F32DA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4C931" w14:textId="77777777" w:rsidR="005D03B6" w:rsidRDefault="005D03B6" w:rsidP="00A90F54">
      <w:pPr>
        <w:spacing w:after="0" w:line="240" w:lineRule="auto"/>
      </w:pPr>
      <w:r>
        <w:separator/>
      </w:r>
    </w:p>
  </w:endnote>
  <w:endnote w:type="continuationSeparator" w:id="0">
    <w:p w14:paraId="7A730D22" w14:textId="77777777" w:rsidR="005D03B6" w:rsidRDefault="005D03B6" w:rsidP="00A90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811045"/>
      <w:docPartObj>
        <w:docPartGallery w:val="Page Numbers (Bottom of Page)"/>
        <w:docPartUnique/>
      </w:docPartObj>
    </w:sdtPr>
    <w:sdtEndPr/>
    <w:sdtContent>
      <w:p w14:paraId="3F622796" w14:textId="20CCE2B0" w:rsidR="005D03B6" w:rsidRDefault="005D03B6">
        <w:pPr>
          <w:pStyle w:val="Pieddepage"/>
        </w:pPr>
        <w:r>
          <w:rPr>
            <w:noProof/>
            <w:lang w:eastAsia="fr-FR"/>
          </w:rPr>
          <mc:AlternateContent>
            <mc:Choice Requires="wpg">
              <w:drawing>
                <wp:anchor distT="0" distB="0" distL="114300" distR="114300" simplePos="0" relativeHeight="251659264" behindDoc="0" locked="0" layoutInCell="1" allowOverlap="1" wp14:anchorId="03D7170C" wp14:editId="6CF5CFFB">
                  <wp:simplePos x="0" y="0"/>
                  <wp:positionH relativeFrom="margin">
                    <wp:align>center</wp:align>
                  </wp:positionH>
                  <wp:positionV relativeFrom="page">
                    <wp:align>bottom</wp:align>
                  </wp:positionV>
                  <wp:extent cx="436880" cy="716915"/>
                  <wp:effectExtent l="9525" t="9525" r="10795" b="6985"/>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9BC8A0" w14:textId="7372C390" w:rsidR="005D03B6" w:rsidRDefault="005D03B6">
                                <w:pPr>
                                  <w:pStyle w:val="Pieddepage"/>
                                  <w:jc w:val="center"/>
                                  <w:rPr>
                                    <w:sz w:val="16"/>
                                    <w:szCs w:val="16"/>
                                  </w:rPr>
                                </w:pPr>
                                <w:r>
                                  <w:fldChar w:fldCharType="begin"/>
                                </w:r>
                                <w:r>
                                  <w:instrText>PAGE    \* MERGEFORMAT</w:instrText>
                                </w:r>
                                <w:r>
                                  <w:fldChar w:fldCharType="separate"/>
                                </w:r>
                                <w:r w:rsidR="0000624B" w:rsidRPr="0000624B">
                                  <w:rPr>
                                    <w:noProof/>
                                    <w:sz w:val="16"/>
                                    <w:szCs w:val="16"/>
                                  </w:rPr>
                                  <w:t>16</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D7170C" id="Groupe 2" o:spid="_x0000_s1026" style="position:absolute;margin-left:0;margin-top:0;width:34.4pt;height:56.45pt;z-index:251659264;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CfgxQAAANoAAAAPAAAAZHJzL2Rvd25yZXYueG1sRI9Ba8JA&#10;FITvBf/D8oTe6sYi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B4pCfgxQAAANoAAAAP&#10;AAAAAAAAAAAAAAAAAAcCAABkcnMvZG93bnJldi54bWxQSwUGAAAAAAMAAwC3AAAA+QIAAAAA&#10;" filled="f" strokecolor="#7f7f7f">
                    <v:textbox>
                      <w:txbxContent>
                        <w:p w14:paraId="6D9BC8A0" w14:textId="7372C390" w:rsidR="005D03B6" w:rsidRDefault="005D03B6">
                          <w:pPr>
                            <w:pStyle w:val="Pieddepage"/>
                            <w:jc w:val="center"/>
                            <w:rPr>
                              <w:sz w:val="16"/>
                              <w:szCs w:val="16"/>
                            </w:rPr>
                          </w:pPr>
                          <w:r>
                            <w:fldChar w:fldCharType="begin"/>
                          </w:r>
                          <w:r>
                            <w:instrText>PAGE    \* MERGEFORMAT</w:instrText>
                          </w:r>
                          <w:r>
                            <w:fldChar w:fldCharType="separate"/>
                          </w:r>
                          <w:r w:rsidR="0000624B" w:rsidRPr="0000624B">
                            <w:rPr>
                              <w:noProof/>
                              <w:sz w:val="16"/>
                              <w:szCs w:val="16"/>
                            </w:rPr>
                            <w:t>16</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EA8AB" w14:textId="77777777" w:rsidR="005D03B6" w:rsidRDefault="005D03B6" w:rsidP="00A90F54">
      <w:pPr>
        <w:spacing w:after="0" w:line="240" w:lineRule="auto"/>
      </w:pPr>
      <w:r>
        <w:separator/>
      </w:r>
    </w:p>
  </w:footnote>
  <w:footnote w:type="continuationSeparator" w:id="0">
    <w:p w14:paraId="6701FA28" w14:textId="77777777" w:rsidR="005D03B6" w:rsidRDefault="005D03B6" w:rsidP="00A90F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35pt;height:35.35pt" o:bullet="t">
        <v:imagedata r:id="rId1" o:title="Puce Comexans"/>
      </v:shape>
    </w:pict>
  </w:numPicBullet>
  <w:abstractNum w:abstractNumId="0" w15:restartNumberingAfterBreak="0">
    <w:nsid w:val="14BD509C"/>
    <w:multiLevelType w:val="multilevel"/>
    <w:tmpl w:val="319A5098"/>
    <w:styleLink w:val="StyleAvecpuces11ptGauche063cmSuspendu063cm"/>
    <w:lvl w:ilvl="0">
      <w:start w:val="8"/>
      <w:numFmt w:val="bullet"/>
      <w:lvlText w:val=""/>
      <w:lvlPicBulletId w:val="0"/>
      <w:lvlJc w:val="left"/>
      <w:pPr>
        <w:ind w:left="720" w:hanging="360"/>
      </w:pPr>
      <w:rPr>
        <w:rFonts w:ascii="Symbol" w:hAnsi="Symbol" w:hint="default"/>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0117595"/>
    <w:multiLevelType w:val="multilevel"/>
    <w:tmpl w:val="084EE350"/>
    <w:lvl w:ilvl="0">
      <w:start w:val="1"/>
      <w:numFmt w:val="decimal"/>
      <w:pStyle w:val="Titre1"/>
      <w:lvlText w:val="%1"/>
      <w:lvlJc w:val="left"/>
      <w:pPr>
        <w:ind w:left="574"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21F72F24"/>
    <w:multiLevelType w:val="hybridMultilevel"/>
    <w:tmpl w:val="873464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569F6"/>
    <w:multiLevelType w:val="hybridMultilevel"/>
    <w:tmpl w:val="E292A8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200BA6"/>
    <w:multiLevelType w:val="hybridMultilevel"/>
    <w:tmpl w:val="35880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E06511"/>
    <w:multiLevelType w:val="hybridMultilevel"/>
    <w:tmpl w:val="4DF2BAD8"/>
    <w:lvl w:ilvl="0" w:tplc="7E1C84CE">
      <w:start w:val="6"/>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4B37A44"/>
    <w:multiLevelType w:val="hybridMultilevel"/>
    <w:tmpl w:val="CC4CFE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154724"/>
    <w:multiLevelType w:val="hybridMultilevel"/>
    <w:tmpl w:val="D4BEF4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4A7C70"/>
    <w:multiLevelType w:val="hybridMultilevel"/>
    <w:tmpl w:val="3642D4A2"/>
    <w:lvl w:ilvl="0" w:tplc="BD3AE90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C4126E"/>
    <w:multiLevelType w:val="hybridMultilevel"/>
    <w:tmpl w:val="B25CFC46"/>
    <w:lvl w:ilvl="0" w:tplc="BD3AE902">
      <w:start w:val="4"/>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num w:numId="1">
    <w:abstractNumId w:val="1"/>
  </w:num>
  <w:num w:numId="2">
    <w:abstractNumId w:val="0"/>
  </w:num>
  <w:num w:numId="3">
    <w:abstractNumId w:val="9"/>
  </w:num>
  <w:num w:numId="4">
    <w:abstractNumId w:val="4"/>
  </w:num>
  <w:num w:numId="5">
    <w:abstractNumId w:val="3"/>
  </w:num>
  <w:num w:numId="6">
    <w:abstractNumId w:val="5"/>
  </w:num>
  <w:num w:numId="7">
    <w:abstractNumId w:val="6"/>
  </w:num>
  <w:num w:numId="8">
    <w:abstractNumId w:val="8"/>
  </w:num>
  <w:num w:numId="9">
    <w:abstractNumId w:val="7"/>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141"/>
    <w:rsid w:val="00002B17"/>
    <w:rsid w:val="0000624B"/>
    <w:rsid w:val="0001373A"/>
    <w:rsid w:val="00015D5B"/>
    <w:rsid w:val="00022567"/>
    <w:rsid w:val="000451B4"/>
    <w:rsid w:val="0005344E"/>
    <w:rsid w:val="000547DE"/>
    <w:rsid w:val="000611EC"/>
    <w:rsid w:val="00064CD8"/>
    <w:rsid w:val="00071427"/>
    <w:rsid w:val="0007143C"/>
    <w:rsid w:val="0007399E"/>
    <w:rsid w:val="000828CC"/>
    <w:rsid w:val="0008640F"/>
    <w:rsid w:val="00091A25"/>
    <w:rsid w:val="00095968"/>
    <w:rsid w:val="0009609A"/>
    <w:rsid w:val="000A0C0E"/>
    <w:rsid w:val="000A67EF"/>
    <w:rsid w:val="000B4CB9"/>
    <w:rsid w:val="000B7E7D"/>
    <w:rsid w:val="000D0C03"/>
    <w:rsid w:val="000E4FDD"/>
    <w:rsid w:val="0010539E"/>
    <w:rsid w:val="001139FA"/>
    <w:rsid w:val="0012565E"/>
    <w:rsid w:val="00130531"/>
    <w:rsid w:val="00135319"/>
    <w:rsid w:val="00144ED2"/>
    <w:rsid w:val="00145BDF"/>
    <w:rsid w:val="0018594F"/>
    <w:rsid w:val="001C1738"/>
    <w:rsid w:val="001C4C89"/>
    <w:rsid w:val="001D5BF3"/>
    <w:rsid w:val="001F7E05"/>
    <w:rsid w:val="0021357A"/>
    <w:rsid w:val="00223B8B"/>
    <w:rsid w:val="002254D9"/>
    <w:rsid w:val="0022718A"/>
    <w:rsid w:val="00231E73"/>
    <w:rsid w:val="00232A39"/>
    <w:rsid w:val="002406AA"/>
    <w:rsid w:val="00251078"/>
    <w:rsid w:val="00256799"/>
    <w:rsid w:val="0026114D"/>
    <w:rsid w:val="00261FC7"/>
    <w:rsid w:val="00264642"/>
    <w:rsid w:val="00264F71"/>
    <w:rsid w:val="0026789C"/>
    <w:rsid w:val="00271925"/>
    <w:rsid w:val="002836EA"/>
    <w:rsid w:val="00287E7F"/>
    <w:rsid w:val="00296EB1"/>
    <w:rsid w:val="002A213A"/>
    <w:rsid w:val="002C090F"/>
    <w:rsid w:val="002C2492"/>
    <w:rsid w:val="002D5433"/>
    <w:rsid w:val="002E3068"/>
    <w:rsid w:val="002E4E60"/>
    <w:rsid w:val="0030683C"/>
    <w:rsid w:val="00316CFB"/>
    <w:rsid w:val="00317DF7"/>
    <w:rsid w:val="00322CC9"/>
    <w:rsid w:val="00324865"/>
    <w:rsid w:val="00326C68"/>
    <w:rsid w:val="00332A6A"/>
    <w:rsid w:val="00350EF8"/>
    <w:rsid w:val="003544BF"/>
    <w:rsid w:val="00354593"/>
    <w:rsid w:val="00360B95"/>
    <w:rsid w:val="00361F4B"/>
    <w:rsid w:val="003714E1"/>
    <w:rsid w:val="00390747"/>
    <w:rsid w:val="00394A90"/>
    <w:rsid w:val="003A5809"/>
    <w:rsid w:val="003B2B40"/>
    <w:rsid w:val="003C5487"/>
    <w:rsid w:val="003D150C"/>
    <w:rsid w:val="003E4EDE"/>
    <w:rsid w:val="003F1DB7"/>
    <w:rsid w:val="00420F4F"/>
    <w:rsid w:val="00440B1D"/>
    <w:rsid w:val="004450EF"/>
    <w:rsid w:val="00457A4F"/>
    <w:rsid w:val="00461A43"/>
    <w:rsid w:val="0046348A"/>
    <w:rsid w:val="004753F6"/>
    <w:rsid w:val="0047547B"/>
    <w:rsid w:val="004903D8"/>
    <w:rsid w:val="004925FD"/>
    <w:rsid w:val="00497A7C"/>
    <w:rsid w:val="004A2379"/>
    <w:rsid w:val="004A2B6C"/>
    <w:rsid w:val="004C0079"/>
    <w:rsid w:val="004D06C2"/>
    <w:rsid w:val="0050645F"/>
    <w:rsid w:val="0051120E"/>
    <w:rsid w:val="00516990"/>
    <w:rsid w:val="00517A98"/>
    <w:rsid w:val="00517F79"/>
    <w:rsid w:val="005208C2"/>
    <w:rsid w:val="00522244"/>
    <w:rsid w:val="005276D9"/>
    <w:rsid w:val="0053623F"/>
    <w:rsid w:val="005379F5"/>
    <w:rsid w:val="005407C9"/>
    <w:rsid w:val="005430A6"/>
    <w:rsid w:val="005463AE"/>
    <w:rsid w:val="00547C75"/>
    <w:rsid w:val="00564C23"/>
    <w:rsid w:val="00565EEA"/>
    <w:rsid w:val="00566DC3"/>
    <w:rsid w:val="005732AE"/>
    <w:rsid w:val="00580904"/>
    <w:rsid w:val="00586565"/>
    <w:rsid w:val="005943AA"/>
    <w:rsid w:val="00595F6F"/>
    <w:rsid w:val="00596D05"/>
    <w:rsid w:val="005A1B99"/>
    <w:rsid w:val="005B2ECC"/>
    <w:rsid w:val="005B535A"/>
    <w:rsid w:val="005C2058"/>
    <w:rsid w:val="005C2CFE"/>
    <w:rsid w:val="005D03B6"/>
    <w:rsid w:val="005D7CED"/>
    <w:rsid w:val="005E4562"/>
    <w:rsid w:val="005E4B51"/>
    <w:rsid w:val="005E7907"/>
    <w:rsid w:val="005F4E3C"/>
    <w:rsid w:val="00602665"/>
    <w:rsid w:val="006143F2"/>
    <w:rsid w:val="00614A72"/>
    <w:rsid w:val="0061652A"/>
    <w:rsid w:val="0061695C"/>
    <w:rsid w:val="00623650"/>
    <w:rsid w:val="006247A2"/>
    <w:rsid w:val="00635D88"/>
    <w:rsid w:val="00637686"/>
    <w:rsid w:val="006449B7"/>
    <w:rsid w:val="00651477"/>
    <w:rsid w:val="00663C23"/>
    <w:rsid w:val="006661F2"/>
    <w:rsid w:val="00674252"/>
    <w:rsid w:val="00676D70"/>
    <w:rsid w:val="006801D9"/>
    <w:rsid w:val="00683D3F"/>
    <w:rsid w:val="006875A9"/>
    <w:rsid w:val="00692E8C"/>
    <w:rsid w:val="00694D1A"/>
    <w:rsid w:val="006B6984"/>
    <w:rsid w:val="006C0EE4"/>
    <w:rsid w:val="006D1473"/>
    <w:rsid w:val="006E3FE4"/>
    <w:rsid w:val="006F126F"/>
    <w:rsid w:val="006F5DA7"/>
    <w:rsid w:val="00705363"/>
    <w:rsid w:val="0071116E"/>
    <w:rsid w:val="00712817"/>
    <w:rsid w:val="00714DAE"/>
    <w:rsid w:val="00714F34"/>
    <w:rsid w:val="00717BC8"/>
    <w:rsid w:val="00745DF8"/>
    <w:rsid w:val="007532A6"/>
    <w:rsid w:val="00761FDB"/>
    <w:rsid w:val="0077112D"/>
    <w:rsid w:val="0077170C"/>
    <w:rsid w:val="00776909"/>
    <w:rsid w:val="00787CFA"/>
    <w:rsid w:val="00797C3A"/>
    <w:rsid w:val="007C0CBF"/>
    <w:rsid w:val="007D4E9B"/>
    <w:rsid w:val="007E2F5B"/>
    <w:rsid w:val="0080268B"/>
    <w:rsid w:val="00805B2B"/>
    <w:rsid w:val="00812CB7"/>
    <w:rsid w:val="00817579"/>
    <w:rsid w:val="00826453"/>
    <w:rsid w:val="00827A8D"/>
    <w:rsid w:val="008307D0"/>
    <w:rsid w:val="0083676A"/>
    <w:rsid w:val="008446D0"/>
    <w:rsid w:val="00852333"/>
    <w:rsid w:val="008566AF"/>
    <w:rsid w:val="008724E5"/>
    <w:rsid w:val="008725B2"/>
    <w:rsid w:val="00893B3D"/>
    <w:rsid w:val="008A580E"/>
    <w:rsid w:val="008C6249"/>
    <w:rsid w:val="008E058A"/>
    <w:rsid w:val="008E7D2B"/>
    <w:rsid w:val="008F6C74"/>
    <w:rsid w:val="00902BDE"/>
    <w:rsid w:val="00906039"/>
    <w:rsid w:val="0091034F"/>
    <w:rsid w:val="00925A13"/>
    <w:rsid w:val="0094735E"/>
    <w:rsid w:val="00953A7C"/>
    <w:rsid w:val="009553A5"/>
    <w:rsid w:val="009607F4"/>
    <w:rsid w:val="00962EC8"/>
    <w:rsid w:val="00970107"/>
    <w:rsid w:val="009740F5"/>
    <w:rsid w:val="00981592"/>
    <w:rsid w:val="00982842"/>
    <w:rsid w:val="009829F7"/>
    <w:rsid w:val="00983B23"/>
    <w:rsid w:val="00984D98"/>
    <w:rsid w:val="009874B5"/>
    <w:rsid w:val="00991141"/>
    <w:rsid w:val="009A6BCE"/>
    <w:rsid w:val="009C5E73"/>
    <w:rsid w:val="009D0158"/>
    <w:rsid w:val="009D2BC8"/>
    <w:rsid w:val="009D3BD4"/>
    <w:rsid w:val="009D7CB6"/>
    <w:rsid w:val="009E4159"/>
    <w:rsid w:val="009F0854"/>
    <w:rsid w:val="009F208E"/>
    <w:rsid w:val="009F445B"/>
    <w:rsid w:val="009F4C85"/>
    <w:rsid w:val="00A040F9"/>
    <w:rsid w:val="00A0583E"/>
    <w:rsid w:val="00A05F02"/>
    <w:rsid w:val="00A20299"/>
    <w:rsid w:val="00A21E4B"/>
    <w:rsid w:val="00A223D3"/>
    <w:rsid w:val="00A32904"/>
    <w:rsid w:val="00A405BC"/>
    <w:rsid w:val="00A40F30"/>
    <w:rsid w:val="00A42BE3"/>
    <w:rsid w:val="00A443B2"/>
    <w:rsid w:val="00A52078"/>
    <w:rsid w:val="00A620DB"/>
    <w:rsid w:val="00A65529"/>
    <w:rsid w:val="00A6578E"/>
    <w:rsid w:val="00A67D05"/>
    <w:rsid w:val="00A67ECD"/>
    <w:rsid w:val="00A90A9B"/>
    <w:rsid w:val="00A90F54"/>
    <w:rsid w:val="00A936D9"/>
    <w:rsid w:val="00A9524B"/>
    <w:rsid w:val="00AA0525"/>
    <w:rsid w:val="00AA40C4"/>
    <w:rsid w:val="00AB4581"/>
    <w:rsid w:val="00AB6858"/>
    <w:rsid w:val="00AD5A30"/>
    <w:rsid w:val="00AE0660"/>
    <w:rsid w:val="00AF435D"/>
    <w:rsid w:val="00AF532D"/>
    <w:rsid w:val="00AF6091"/>
    <w:rsid w:val="00B066BF"/>
    <w:rsid w:val="00B1185D"/>
    <w:rsid w:val="00B151FD"/>
    <w:rsid w:val="00B25DE0"/>
    <w:rsid w:val="00B27377"/>
    <w:rsid w:val="00B308E3"/>
    <w:rsid w:val="00B631A7"/>
    <w:rsid w:val="00B65494"/>
    <w:rsid w:val="00B6789D"/>
    <w:rsid w:val="00B714E5"/>
    <w:rsid w:val="00B73FA4"/>
    <w:rsid w:val="00B8052B"/>
    <w:rsid w:val="00B95CFA"/>
    <w:rsid w:val="00BB076D"/>
    <w:rsid w:val="00BB197B"/>
    <w:rsid w:val="00BB6941"/>
    <w:rsid w:val="00BD3B02"/>
    <w:rsid w:val="00BD7A0A"/>
    <w:rsid w:val="00BE6A56"/>
    <w:rsid w:val="00BF2245"/>
    <w:rsid w:val="00BF277D"/>
    <w:rsid w:val="00C03128"/>
    <w:rsid w:val="00C10CC8"/>
    <w:rsid w:val="00C15853"/>
    <w:rsid w:val="00C176FC"/>
    <w:rsid w:val="00C22F3E"/>
    <w:rsid w:val="00C41D44"/>
    <w:rsid w:val="00C56540"/>
    <w:rsid w:val="00C741CA"/>
    <w:rsid w:val="00C95DF5"/>
    <w:rsid w:val="00CE1BF3"/>
    <w:rsid w:val="00CE2A6D"/>
    <w:rsid w:val="00CF3742"/>
    <w:rsid w:val="00D02065"/>
    <w:rsid w:val="00D02CF7"/>
    <w:rsid w:val="00D04130"/>
    <w:rsid w:val="00D35646"/>
    <w:rsid w:val="00D373D4"/>
    <w:rsid w:val="00D45CC4"/>
    <w:rsid w:val="00D53ED4"/>
    <w:rsid w:val="00D62CBE"/>
    <w:rsid w:val="00D742A5"/>
    <w:rsid w:val="00D762BB"/>
    <w:rsid w:val="00D847C8"/>
    <w:rsid w:val="00D95377"/>
    <w:rsid w:val="00DA2DC1"/>
    <w:rsid w:val="00DB5D2D"/>
    <w:rsid w:val="00DB730D"/>
    <w:rsid w:val="00DC13CA"/>
    <w:rsid w:val="00DC2F00"/>
    <w:rsid w:val="00DE1E1A"/>
    <w:rsid w:val="00DE4F67"/>
    <w:rsid w:val="00E21013"/>
    <w:rsid w:val="00E4333F"/>
    <w:rsid w:val="00E43915"/>
    <w:rsid w:val="00E524E9"/>
    <w:rsid w:val="00E53537"/>
    <w:rsid w:val="00E55973"/>
    <w:rsid w:val="00E64C39"/>
    <w:rsid w:val="00E707F4"/>
    <w:rsid w:val="00E87BE3"/>
    <w:rsid w:val="00E919AF"/>
    <w:rsid w:val="00EA1DBA"/>
    <w:rsid w:val="00EB33A5"/>
    <w:rsid w:val="00EC0150"/>
    <w:rsid w:val="00ED5BE9"/>
    <w:rsid w:val="00F1784B"/>
    <w:rsid w:val="00F214E3"/>
    <w:rsid w:val="00F237D0"/>
    <w:rsid w:val="00F32DA5"/>
    <w:rsid w:val="00F33E0A"/>
    <w:rsid w:val="00F4779A"/>
    <w:rsid w:val="00F51EB3"/>
    <w:rsid w:val="00F5619C"/>
    <w:rsid w:val="00F632C1"/>
    <w:rsid w:val="00F74C25"/>
    <w:rsid w:val="00F913E1"/>
    <w:rsid w:val="00F95475"/>
    <w:rsid w:val="00FA2CA0"/>
    <w:rsid w:val="00FA377D"/>
    <w:rsid w:val="00FA6A9C"/>
    <w:rsid w:val="00FB675A"/>
    <w:rsid w:val="00FC0E93"/>
    <w:rsid w:val="00FC4E12"/>
    <w:rsid w:val="00FC57AD"/>
    <w:rsid w:val="00FD1DBF"/>
    <w:rsid w:val="00FD2E38"/>
    <w:rsid w:val="00FD35F6"/>
    <w:rsid w:val="00FD562F"/>
    <w:rsid w:val="00FD6419"/>
    <w:rsid w:val="00FE3C98"/>
    <w:rsid w:val="00FE3FF7"/>
    <w:rsid w:val="00FF14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954CC"/>
  <w15:chartTrackingRefBased/>
  <w15:docId w15:val="{DA034DD9-451A-4DC4-B195-1B1955257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D5A30"/>
    <w:pPr>
      <w:keepNext/>
      <w:keepLines/>
      <w:numPr>
        <w:numId w:val="1"/>
      </w:numPr>
      <w:spacing w:before="240" w:after="0"/>
      <w:outlineLvl w:val="0"/>
    </w:pPr>
    <w:rPr>
      <w:rFonts w:asciiTheme="majorHAnsi" w:eastAsia="Times New Roman" w:hAnsiTheme="majorHAnsi" w:cs="Arial"/>
      <w:b/>
      <w:color w:val="7B230C" w:themeColor="accent1" w:themeShade="BF"/>
      <w:sz w:val="32"/>
      <w:szCs w:val="32"/>
      <w:lang w:eastAsia="fr-FR"/>
    </w:rPr>
  </w:style>
  <w:style w:type="paragraph" w:styleId="Titre2">
    <w:name w:val="heading 2"/>
    <w:basedOn w:val="Normal"/>
    <w:next w:val="Normal"/>
    <w:link w:val="Titre2Car"/>
    <w:uiPriority w:val="9"/>
    <w:unhideWhenUsed/>
    <w:qFormat/>
    <w:rsid w:val="00991141"/>
    <w:pPr>
      <w:keepNext/>
      <w:keepLines/>
      <w:numPr>
        <w:ilvl w:val="1"/>
        <w:numId w:val="1"/>
      </w:numPr>
      <w:spacing w:before="40" w:after="0"/>
      <w:outlineLvl w:val="1"/>
    </w:pPr>
    <w:rPr>
      <w:rFonts w:asciiTheme="majorHAnsi" w:eastAsiaTheme="majorEastAsia" w:hAnsiTheme="majorHAnsi" w:cstheme="majorBidi"/>
      <w:color w:val="7B230C" w:themeColor="accent1" w:themeShade="BF"/>
      <w:sz w:val="26"/>
      <w:szCs w:val="26"/>
    </w:rPr>
  </w:style>
  <w:style w:type="paragraph" w:styleId="Titre3">
    <w:name w:val="heading 3"/>
    <w:basedOn w:val="Normal"/>
    <w:next w:val="Normal"/>
    <w:link w:val="Titre3Car"/>
    <w:uiPriority w:val="9"/>
    <w:unhideWhenUsed/>
    <w:qFormat/>
    <w:rsid w:val="00991141"/>
    <w:pPr>
      <w:keepNext/>
      <w:keepLines/>
      <w:numPr>
        <w:ilvl w:val="2"/>
        <w:numId w:val="1"/>
      </w:numPr>
      <w:spacing w:before="40" w:after="0"/>
      <w:outlineLvl w:val="2"/>
    </w:pPr>
    <w:rPr>
      <w:rFonts w:asciiTheme="majorHAnsi" w:eastAsiaTheme="majorEastAsia" w:hAnsiTheme="majorHAnsi" w:cstheme="majorBidi"/>
      <w:color w:val="521708" w:themeColor="accent1" w:themeShade="7F"/>
      <w:sz w:val="24"/>
      <w:szCs w:val="24"/>
    </w:rPr>
  </w:style>
  <w:style w:type="paragraph" w:styleId="Titre4">
    <w:name w:val="heading 4"/>
    <w:basedOn w:val="Normal"/>
    <w:next w:val="Normal"/>
    <w:link w:val="Titre4Car"/>
    <w:uiPriority w:val="9"/>
    <w:unhideWhenUsed/>
    <w:qFormat/>
    <w:rsid w:val="00991141"/>
    <w:pPr>
      <w:keepNext/>
      <w:keepLines/>
      <w:numPr>
        <w:ilvl w:val="3"/>
        <w:numId w:val="1"/>
      </w:numPr>
      <w:spacing w:before="40" w:after="0"/>
      <w:outlineLvl w:val="3"/>
    </w:pPr>
    <w:rPr>
      <w:rFonts w:asciiTheme="majorHAnsi" w:eastAsiaTheme="majorEastAsia" w:hAnsiTheme="majorHAnsi" w:cstheme="majorBidi"/>
      <w:i/>
      <w:iCs/>
      <w:color w:val="7B230C" w:themeColor="accent1" w:themeShade="BF"/>
    </w:rPr>
  </w:style>
  <w:style w:type="paragraph" w:styleId="Titre5">
    <w:name w:val="heading 5"/>
    <w:basedOn w:val="Normal"/>
    <w:next w:val="Normal"/>
    <w:link w:val="Titre5Car"/>
    <w:uiPriority w:val="9"/>
    <w:semiHidden/>
    <w:unhideWhenUsed/>
    <w:qFormat/>
    <w:rsid w:val="00991141"/>
    <w:pPr>
      <w:keepNext/>
      <w:keepLines/>
      <w:numPr>
        <w:ilvl w:val="4"/>
        <w:numId w:val="1"/>
      </w:numPr>
      <w:spacing w:before="40" w:after="0"/>
      <w:outlineLvl w:val="4"/>
    </w:pPr>
    <w:rPr>
      <w:rFonts w:asciiTheme="majorHAnsi" w:eastAsiaTheme="majorEastAsia" w:hAnsiTheme="majorHAnsi" w:cstheme="majorBidi"/>
      <w:color w:val="7B230C" w:themeColor="accent1" w:themeShade="BF"/>
    </w:rPr>
  </w:style>
  <w:style w:type="paragraph" w:styleId="Titre6">
    <w:name w:val="heading 6"/>
    <w:basedOn w:val="Normal"/>
    <w:next w:val="Normal"/>
    <w:link w:val="Titre6Car"/>
    <w:uiPriority w:val="9"/>
    <w:semiHidden/>
    <w:unhideWhenUsed/>
    <w:qFormat/>
    <w:rsid w:val="00991141"/>
    <w:pPr>
      <w:keepNext/>
      <w:keepLines/>
      <w:numPr>
        <w:ilvl w:val="5"/>
        <w:numId w:val="1"/>
      </w:numPr>
      <w:spacing w:before="40" w:after="0"/>
      <w:outlineLvl w:val="5"/>
    </w:pPr>
    <w:rPr>
      <w:rFonts w:asciiTheme="majorHAnsi" w:eastAsiaTheme="majorEastAsia" w:hAnsiTheme="majorHAnsi" w:cstheme="majorBidi"/>
      <w:color w:val="521708" w:themeColor="accent1" w:themeShade="7F"/>
    </w:rPr>
  </w:style>
  <w:style w:type="paragraph" w:styleId="Titre7">
    <w:name w:val="heading 7"/>
    <w:basedOn w:val="Normal"/>
    <w:next w:val="Normal"/>
    <w:link w:val="Titre7Car"/>
    <w:uiPriority w:val="9"/>
    <w:semiHidden/>
    <w:unhideWhenUsed/>
    <w:qFormat/>
    <w:rsid w:val="00991141"/>
    <w:pPr>
      <w:keepNext/>
      <w:keepLines/>
      <w:numPr>
        <w:ilvl w:val="6"/>
        <w:numId w:val="1"/>
      </w:numPr>
      <w:spacing w:before="40" w:after="0"/>
      <w:outlineLvl w:val="6"/>
    </w:pPr>
    <w:rPr>
      <w:rFonts w:asciiTheme="majorHAnsi" w:eastAsiaTheme="majorEastAsia" w:hAnsiTheme="majorHAnsi" w:cstheme="majorBidi"/>
      <w:i/>
      <w:iCs/>
      <w:color w:val="521708" w:themeColor="accent1" w:themeShade="7F"/>
    </w:rPr>
  </w:style>
  <w:style w:type="paragraph" w:styleId="Titre8">
    <w:name w:val="heading 8"/>
    <w:basedOn w:val="Normal"/>
    <w:next w:val="Normal"/>
    <w:link w:val="Titre8Car"/>
    <w:uiPriority w:val="9"/>
    <w:semiHidden/>
    <w:unhideWhenUsed/>
    <w:qFormat/>
    <w:rsid w:val="0099114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9114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D5A30"/>
    <w:rPr>
      <w:rFonts w:asciiTheme="majorHAnsi" w:eastAsia="Times New Roman" w:hAnsiTheme="majorHAnsi" w:cs="Arial"/>
      <w:b/>
      <w:color w:val="7B230C" w:themeColor="accent1" w:themeShade="BF"/>
      <w:sz w:val="32"/>
      <w:szCs w:val="32"/>
      <w:lang w:eastAsia="fr-FR"/>
    </w:rPr>
  </w:style>
  <w:style w:type="character" w:customStyle="1" w:styleId="Titre2Car">
    <w:name w:val="Titre 2 Car"/>
    <w:basedOn w:val="Policepardfaut"/>
    <w:link w:val="Titre2"/>
    <w:uiPriority w:val="9"/>
    <w:rsid w:val="00991141"/>
    <w:rPr>
      <w:rFonts w:asciiTheme="majorHAnsi" w:eastAsiaTheme="majorEastAsia" w:hAnsiTheme="majorHAnsi" w:cstheme="majorBidi"/>
      <w:color w:val="7B230C" w:themeColor="accent1" w:themeShade="BF"/>
      <w:sz w:val="26"/>
      <w:szCs w:val="26"/>
    </w:rPr>
  </w:style>
  <w:style w:type="character" w:customStyle="1" w:styleId="Titre3Car">
    <w:name w:val="Titre 3 Car"/>
    <w:basedOn w:val="Policepardfaut"/>
    <w:link w:val="Titre3"/>
    <w:uiPriority w:val="9"/>
    <w:rsid w:val="00991141"/>
    <w:rPr>
      <w:rFonts w:asciiTheme="majorHAnsi" w:eastAsiaTheme="majorEastAsia" w:hAnsiTheme="majorHAnsi" w:cstheme="majorBidi"/>
      <w:color w:val="521708" w:themeColor="accent1" w:themeShade="7F"/>
      <w:sz w:val="24"/>
      <w:szCs w:val="24"/>
    </w:rPr>
  </w:style>
  <w:style w:type="character" w:customStyle="1" w:styleId="Titre4Car">
    <w:name w:val="Titre 4 Car"/>
    <w:basedOn w:val="Policepardfaut"/>
    <w:link w:val="Titre4"/>
    <w:uiPriority w:val="9"/>
    <w:rsid w:val="00991141"/>
    <w:rPr>
      <w:rFonts w:asciiTheme="majorHAnsi" w:eastAsiaTheme="majorEastAsia" w:hAnsiTheme="majorHAnsi" w:cstheme="majorBidi"/>
      <w:i/>
      <w:iCs/>
      <w:color w:val="7B230C" w:themeColor="accent1" w:themeShade="BF"/>
    </w:rPr>
  </w:style>
  <w:style w:type="character" w:customStyle="1" w:styleId="Titre5Car">
    <w:name w:val="Titre 5 Car"/>
    <w:basedOn w:val="Policepardfaut"/>
    <w:link w:val="Titre5"/>
    <w:uiPriority w:val="9"/>
    <w:semiHidden/>
    <w:rsid w:val="00991141"/>
    <w:rPr>
      <w:rFonts w:asciiTheme="majorHAnsi" w:eastAsiaTheme="majorEastAsia" w:hAnsiTheme="majorHAnsi" w:cstheme="majorBidi"/>
      <w:color w:val="7B230C" w:themeColor="accent1" w:themeShade="BF"/>
    </w:rPr>
  </w:style>
  <w:style w:type="character" w:customStyle="1" w:styleId="Titre6Car">
    <w:name w:val="Titre 6 Car"/>
    <w:basedOn w:val="Policepardfaut"/>
    <w:link w:val="Titre6"/>
    <w:uiPriority w:val="9"/>
    <w:semiHidden/>
    <w:rsid w:val="00991141"/>
    <w:rPr>
      <w:rFonts w:asciiTheme="majorHAnsi" w:eastAsiaTheme="majorEastAsia" w:hAnsiTheme="majorHAnsi" w:cstheme="majorBidi"/>
      <w:color w:val="521708" w:themeColor="accent1" w:themeShade="7F"/>
    </w:rPr>
  </w:style>
  <w:style w:type="character" w:customStyle="1" w:styleId="Titre7Car">
    <w:name w:val="Titre 7 Car"/>
    <w:basedOn w:val="Policepardfaut"/>
    <w:link w:val="Titre7"/>
    <w:uiPriority w:val="9"/>
    <w:semiHidden/>
    <w:rsid w:val="00991141"/>
    <w:rPr>
      <w:rFonts w:asciiTheme="majorHAnsi" w:eastAsiaTheme="majorEastAsia" w:hAnsiTheme="majorHAnsi" w:cstheme="majorBidi"/>
      <w:i/>
      <w:iCs/>
      <w:color w:val="521708" w:themeColor="accent1" w:themeShade="7F"/>
    </w:rPr>
  </w:style>
  <w:style w:type="character" w:customStyle="1" w:styleId="Titre8Car">
    <w:name w:val="Titre 8 Car"/>
    <w:basedOn w:val="Policepardfaut"/>
    <w:link w:val="Titre8"/>
    <w:uiPriority w:val="9"/>
    <w:semiHidden/>
    <w:rsid w:val="0099114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91141"/>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991141"/>
    <w:pPr>
      <w:numPr>
        <w:numId w:val="0"/>
      </w:numPr>
      <w:outlineLvl w:val="9"/>
    </w:pPr>
  </w:style>
  <w:style w:type="paragraph" w:styleId="TM1">
    <w:name w:val="toc 1"/>
    <w:basedOn w:val="Normal"/>
    <w:next w:val="Normal"/>
    <w:autoRedefine/>
    <w:uiPriority w:val="39"/>
    <w:unhideWhenUsed/>
    <w:rsid w:val="00651477"/>
    <w:pPr>
      <w:tabs>
        <w:tab w:val="left" w:pos="440"/>
        <w:tab w:val="right" w:leader="dot" w:pos="9062"/>
      </w:tabs>
      <w:spacing w:after="100"/>
    </w:pPr>
  </w:style>
  <w:style w:type="paragraph" w:styleId="TM2">
    <w:name w:val="toc 2"/>
    <w:basedOn w:val="Normal"/>
    <w:next w:val="Normal"/>
    <w:autoRedefine/>
    <w:uiPriority w:val="39"/>
    <w:unhideWhenUsed/>
    <w:rsid w:val="00991141"/>
    <w:pPr>
      <w:spacing w:after="100"/>
      <w:ind w:left="220"/>
    </w:pPr>
  </w:style>
  <w:style w:type="paragraph" w:styleId="TM3">
    <w:name w:val="toc 3"/>
    <w:basedOn w:val="Normal"/>
    <w:next w:val="Normal"/>
    <w:autoRedefine/>
    <w:uiPriority w:val="39"/>
    <w:unhideWhenUsed/>
    <w:rsid w:val="00991141"/>
    <w:pPr>
      <w:spacing w:after="100"/>
      <w:ind w:left="440"/>
    </w:pPr>
  </w:style>
  <w:style w:type="character" w:styleId="Lienhypertexte">
    <w:name w:val="Hyperlink"/>
    <w:basedOn w:val="Policepardfaut"/>
    <w:uiPriority w:val="99"/>
    <w:unhideWhenUsed/>
    <w:rsid w:val="00991141"/>
    <w:rPr>
      <w:color w:val="FB4A18" w:themeColor="hyperlink"/>
      <w:u w:val="single"/>
    </w:rPr>
  </w:style>
  <w:style w:type="paragraph" w:styleId="Paragraphedeliste">
    <w:name w:val="List Paragraph"/>
    <w:aliases w:val="lp1,Proposal Bullet List,Bullet OSM,AMR Paragraphe de liste 1er niveau,List Paragraph2,TOC style,List Paragraph1,Source,MSA_EDF_Bullet3,Colorful List - Accent 11,Bulleted text,Bull - Bullet niveau 1,List Paragraph3,P1 Pharos"/>
    <w:basedOn w:val="Normal"/>
    <w:link w:val="ParagraphedelisteCar"/>
    <w:uiPriority w:val="34"/>
    <w:qFormat/>
    <w:rsid w:val="00DB730D"/>
    <w:pPr>
      <w:ind w:left="720"/>
      <w:contextualSpacing/>
    </w:pPr>
  </w:style>
  <w:style w:type="character" w:customStyle="1" w:styleId="Mentionnonrsolue1">
    <w:name w:val="Mention non résolue1"/>
    <w:basedOn w:val="Policepardfaut"/>
    <w:uiPriority w:val="99"/>
    <w:semiHidden/>
    <w:unhideWhenUsed/>
    <w:rsid w:val="0007399E"/>
    <w:rPr>
      <w:color w:val="605E5C"/>
      <w:shd w:val="clear" w:color="auto" w:fill="E1DFDD"/>
    </w:rPr>
  </w:style>
  <w:style w:type="character" w:customStyle="1" w:styleId="ParagraphedelisteCar">
    <w:name w:val="Paragraphe de liste Car"/>
    <w:aliases w:val="lp1 Car,Proposal Bullet List Car,Bullet OSM Car,AMR Paragraphe de liste 1er niveau Car,List Paragraph2 Car,TOC style Car,List Paragraph1 Car,Source Car,MSA_EDF_Bullet3 Car,Colorful List - Accent 11 Car,Bulleted text Car"/>
    <w:basedOn w:val="Policepardfaut"/>
    <w:link w:val="Paragraphedeliste"/>
    <w:uiPriority w:val="34"/>
    <w:rsid w:val="0030683C"/>
  </w:style>
  <w:style w:type="numbering" w:customStyle="1" w:styleId="StyleAvecpuces11ptGauche063cmSuspendu063cm">
    <w:name w:val="Style Avec puces 11 pt Gauche :  063 cm Suspendu : 063 cm"/>
    <w:basedOn w:val="Aucuneliste"/>
    <w:rsid w:val="0030683C"/>
    <w:pPr>
      <w:numPr>
        <w:numId w:val="2"/>
      </w:numPr>
    </w:pPr>
  </w:style>
  <w:style w:type="paragraph" w:customStyle="1" w:styleId="paragraph">
    <w:name w:val="paragraph"/>
    <w:basedOn w:val="Normal"/>
    <w:rsid w:val="008307D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8307D0"/>
  </w:style>
  <w:style w:type="character" w:customStyle="1" w:styleId="eop">
    <w:name w:val="eop"/>
    <w:basedOn w:val="Policepardfaut"/>
    <w:rsid w:val="008307D0"/>
  </w:style>
  <w:style w:type="paragraph" w:styleId="Corpsdetexte">
    <w:name w:val="Body Text"/>
    <w:basedOn w:val="Normal"/>
    <w:link w:val="CorpsdetexteCar"/>
    <w:semiHidden/>
    <w:rsid w:val="00580904"/>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semiHidden/>
    <w:rsid w:val="00580904"/>
    <w:rPr>
      <w:rFonts w:ascii="Arial" w:eastAsia="Times New Roman" w:hAnsi="Arial" w:cs="Arial"/>
      <w:sz w:val="20"/>
      <w:szCs w:val="24"/>
      <w:lang w:eastAsia="fr-FR"/>
    </w:rPr>
  </w:style>
  <w:style w:type="paragraph" w:styleId="En-tte">
    <w:name w:val="header"/>
    <w:basedOn w:val="Normal"/>
    <w:link w:val="En-tteCar"/>
    <w:rsid w:val="00580904"/>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En-tteCar">
    <w:name w:val="En-tête Car"/>
    <w:basedOn w:val="Policepardfaut"/>
    <w:link w:val="En-tte"/>
    <w:rsid w:val="00580904"/>
    <w:rPr>
      <w:rFonts w:ascii="Arial" w:eastAsia="Times New Roman" w:hAnsi="Arial" w:cs="Times New Roman"/>
      <w:szCs w:val="24"/>
      <w:lang w:eastAsia="fr-FR"/>
    </w:rPr>
  </w:style>
  <w:style w:type="paragraph" w:customStyle="1" w:styleId="Default">
    <w:name w:val="Default"/>
    <w:rsid w:val="00DB5D2D"/>
    <w:pPr>
      <w:autoSpaceDE w:val="0"/>
      <w:autoSpaceDN w:val="0"/>
      <w:adjustRightInd w:val="0"/>
      <w:spacing w:after="0" w:line="240" w:lineRule="auto"/>
    </w:pPr>
    <w:rPr>
      <w:rFonts w:ascii="Trebuchet MS" w:hAnsi="Trebuchet MS" w:cs="Trebuchet MS"/>
      <w:color w:val="000000"/>
      <w:sz w:val="24"/>
      <w:szCs w:val="24"/>
    </w:rPr>
  </w:style>
  <w:style w:type="paragraph" w:customStyle="1" w:styleId="Normal2">
    <w:name w:val="Normal2"/>
    <w:basedOn w:val="Normal"/>
    <w:rsid w:val="002836EA"/>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lang w:eastAsia="fr-FR"/>
    </w:rPr>
  </w:style>
  <w:style w:type="paragraph" w:customStyle="1" w:styleId="RedTxt">
    <w:name w:val="RedTxt"/>
    <w:basedOn w:val="Normal"/>
    <w:uiPriority w:val="99"/>
    <w:rsid w:val="009C5E73"/>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table" w:styleId="Grilledutableau">
    <w:name w:val="Table Grid"/>
    <w:basedOn w:val="TableauNormal"/>
    <w:uiPriority w:val="39"/>
    <w:rsid w:val="00256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21E4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1E4B"/>
    <w:rPr>
      <w:rFonts w:ascii="Segoe UI" w:hAnsi="Segoe UI" w:cs="Segoe UI"/>
      <w:sz w:val="18"/>
      <w:szCs w:val="18"/>
    </w:rPr>
  </w:style>
  <w:style w:type="character" w:styleId="Accentuation">
    <w:name w:val="Emphasis"/>
    <w:basedOn w:val="Policepardfaut"/>
    <w:uiPriority w:val="20"/>
    <w:qFormat/>
    <w:rsid w:val="0077112D"/>
    <w:rPr>
      <w:i/>
      <w:iCs/>
    </w:rPr>
  </w:style>
  <w:style w:type="paragraph" w:styleId="Pieddepage">
    <w:name w:val="footer"/>
    <w:basedOn w:val="Normal"/>
    <w:link w:val="PieddepageCar"/>
    <w:uiPriority w:val="99"/>
    <w:unhideWhenUsed/>
    <w:rsid w:val="00A90F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0F54"/>
  </w:style>
  <w:style w:type="paragraph" w:styleId="Sansinterligne">
    <w:name w:val="No Spacing"/>
    <w:uiPriority w:val="1"/>
    <w:qFormat/>
    <w:rsid w:val="00674252"/>
    <w:pPr>
      <w:spacing w:after="0" w:line="240" w:lineRule="auto"/>
    </w:pPr>
  </w:style>
  <w:style w:type="character" w:styleId="Lienhypertextesuivivisit">
    <w:name w:val="FollowedHyperlink"/>
    <w:basedOn w:val="Policepardfaut"/>
    <w:uiPriority w:val="99"/>
    <w:semiHidden/>
    <w:unhideWhenUsed/>
    <w:rsid w:val="00287E7F"/>
    <w:rPr>
      <w:color w:val="FB931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883923">
      <w:bodyDiv w:val="1"/>
      <w:marLeft w:val="0"/>
      <w:marRight w:val="0"/>
      <w:marTop w:val="0"/>
      <w:marBottom w:val="0"/>
      <w:divBdr>
        <w:top w:val="none" w:sz="0" w:space="0" w:color="auto"/>
        <w:left w:val="none" w:sz="0" w:space="0" w:color="auto"/>
        <w:bottom w:val="none" w:sz="0" w:space="0" w:color="auto"/>
        <w:right w:val="none" w:sz="0" w:space="0" w:color="auto"/>
      </w:divBdr>
    </w:div>
    <w:div w:id="466321169">
      <w:bodyDiv w:val="1"/>
      <w:marLeft w:val="0"/>
      <w:marRight w:val="0"/>
      <w:marTop w:val="0"/>
      <w:marBottom w:val="0"/>
      <w:divBdr>
        <w:top w:val="none" w:sz="0" w:space="0" w:color="auto"/>
        <w:left w:val="none" w:sz="0" w:space="0" w:color="auto"/>
        <w:bottom w:val="none" w:sz="0" w:space="0" w:color="auto"/>
        <w:right w:val="none" w:sz="0" w:space="0" w:color="auto"/>
      </w:divBdr>
    </w:div>
    <w:div w:id="470683058">
      <w:bodyDiv w:val="1"/>
      <w:marLeft w:val="0"/>
      <w:marRight w:val="0"/>
      <w:marTop w:val="0"/>
      <w:marBottom w:val="0"/>
      <w:divBdr>
        <w:top w:val="none" w:sz="0" w:space="0" w:color="auto"/>
        <w:left w:val="none" w:sz="0" w:space="0" w:color="auto"/>
        <w:bottom w:val="none" w:sz="0" w:space="0" w:color="auto"/>
        <w:right w:val="none" w:sz="0" w:space="0" w:color="auto"/>
      </w:divBdr>
    </w:div>
    <w:div w:id="518668295">
      <w:bodyDiv w:val="1"/>
      <w:marLeft w:val="0"/>
      <w:marRight w:val="0"/>
      <w:marTop w:val="0"/>
      <w:marBottom w:val="0"/>
      <w:divBdr>
        <w:top w:val="none" w:sz="0" w:space="0" w:color="auto"/>
        <w:left w:val="none" w:sz="0" w:space="0" w:color="auto"/>
        <w:bottom w:val="none" w:sz="0" w:space="0" w:color="auto"/>
        <w:right w:val="none" w:sz="0" w:space="0" w:color="auto"/>
      </w:divBdr>
      <w:divsChild>
        <w:div w:id="555170407">
          <w:marLeft w:val="0"/>
          <w:marRight w:val="0"/>
          <w:marTop w:val="0"/>
          <w:marBottom w:val="0"/>
          <w:divBdr>
            <w:top w:val="none" w:sz="0" w:space="0" w:color="auto"/>
            <w:left w:val="none" w:sz="0" w:space="0" w:color="auto"/>
            <w:bottom w:val="none" w:sz="0" w:space="0" w:color="auto"/>
            <w:right w:val="none" w:sz="0" w:space="0" w:color="auto"/>
          </w:divBdr>
        </w:div>
        <w:div w:id="1300913634">
          <w:marLeft w:val="0"/>
          <w:marRight w:val="0"/>
          <w:marTop w:val="0"/>
          <w:marBottom w:val="0"/>
          <w:divBdr>
            <w:top w:val="none" w:sz="0" w:space="0" w:color="auto"/>
            <w:left w:val="none" w:sz="0" w:space="0" w:color="auto"/>
            <w:bottom w:val="none" w:sz="0" w:space="0" w:color="auto"/>
            <w:right w:val="none" w:sz="0" w:space="0" w:color="auto"/>
          </w:divBdr>
        </w:div>
      </w:divsChild>
    </w:div>
    <w:div w:id="737746528">
      <w:bodyDiv w:val="1"/>
      <w:marLeft w:val="0"/>
      <w:marRight w:val="0"/>
      <w:marTop w:val="0"/>
      <w:marBottom w:val="0"/>
      <w:divBdr>
        <w:top w:val="none" w:sz="0" w:space="0" w:color="auto"/>
        <w:left w:val="none" w:sz="0" w:space="0" w:color="auto"/>
        <w:bottom w:val="none" w:sz="0" w:space="0" w:color="auto"/>
        <w:right w:val="none" w:sz="0" w:space="0" w:color="auto"/>
      </w:divBdr>
    </w:div>
    <w:div w:id="928470248">
      <w:bodyDiv w:val="1"/>
      <w:marLeft w:val="0"/>
      <w:marRight w:val="0"/>
      <w:marTop w:val="0"/>
      <w:marBottom w:val="0"/>
      <w:divBdr>
        <w:top w:val="none" w:sz="0" w:space="0" w:color="auto"/>
        <w:left w:val="none" w:sz="0" w:space="0" w:color="auto"/>
        <w:bottom w:val="none" w:sz="0" w:space="0" w:color="auto"/>
        <w:right w:val="none" w:sz="0" w:space="0" w:color="auto"/>
      </w:divBdr>
    </w:div>
    <w:div w:id="1716001477">
      <w:bodyDiv w:val="1"/>
      <w:marLeft w:val="0"/>
      <w:marRight w:val="0"/>
      <w:marTop w:val="0"/>
      <w:marBottom w:val="0"/>
      <w:divBdr>
        <w:top w:val="none" w:sz="0" w:space="0" w:color="auto"/>
        <w:left w:val="none" w:sz="0" w:space="0" w:color="auto"/>
        <w:bottom w:val="none" w:sz="0" w:space="0" w:color="auto"/>
        <w:right w:val="none" w:sz="0" w:space="0" w:color="auto"/>
      </w:divBdr>
    </w:div>
    <w:div w:id="1968734058">
      <w:bodyDiv w:val="1"/>
      <w:marLeft w:val="0"/>
      <w:marRight w:val="0"/>
      <w:marTop w:val="0"/>
      <w:marBottom w:val="0"/>
      <w:divBdr>
        <w:top w:val="none" w:sz="0" w:space="0" w:color="auto"/>
        <w:left w:val="none" w:sz="0" w:space="0" w:color="auto"/>
        <w:bottom w:val="none" w:sz="0" w:space="0" w:color="auto"/>
        <w:right w:val="none" w:sz="0" w:space="0" w:color="auto"/>
      </w:divBdr>
    </w:div>
    <w:div w:id="2023359044">
      <w:bodyDiv w:val="1"/>
      <w:marLeft w:val="0"/>
      <w:marRight w:val="0"/>
      <w:marTop w:val="0"/>
      <w:marBottom w:val="0"/>
      <w:divBdr>
        <w:top w:val="none" w:sz="0" w:space="0" w:color="auto"/>
        <w:left w:val="none" w:sz="0" w:space="0" w:color="auto"/>
        <w:bottom w:val="none" w:sz="0" w:space="0" w:color="auto"/>
        <w:right w:val="none" w:sz="0" w:space="0" w:color="auto"/>
      </w:divBdr>
    </w:div>
    <w:div w:id="209330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ee.fr/fr/statistiques/serie/01076678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tranet.grenoble-em.com/ea/comm/Charte%20%20Logos/Nos%20logos/GEM+baseline+CCI-grand%20format-noir-300dpi.jpg" TargetMode="External"/><Relationship Id="rId5" Type="http://schemas.openxmlformats.org/officeDocument/2006/relationships/numbering" Target="numbering.xml"/><Relationship Id="rId15" Type="http://schemas.openxmlformats.org/officeDocument/2006/relationships/hyperlink" Target="mailto:dpo@grenoble-em.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mptabilitefournisseurs@grenoble-em.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rin">
  <a:themeElements>
    <a:clrScheme name="Brin">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Brin">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rin">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EC84704D074E4BA3A23217DDADF6EB" ma:contentTypeVersion="2" ma:contentTypeDescription="Crée un document." ma:contentTypeScope="" ma:versionID="880e556c3ab1246285a642f10fb3bc4b">
  <xsd:schema xmlns:xsd="http://www.w3.org/2001/XMLSchema" xmlns:xs="http://www.w3.org/2001/XMLSchema" xmlns:p="http://schemas.microsoft.com/office/2006/metadata/properties" xmlns:ns2="b3858ba7-556e-4320-b924-0355e53aab5b" targetNamespace="http://schemas.microsoft.com/office/2006/metadata/properties" ma:root="true" ma:fieldsID="32ec1ea1d0687a5f1e452a798c7fd4b1" ns2:_="">
    <xsd:import namespace="b3858ba7-556e-4320-b924-0355e53aab5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58ba7-556e-4320-b924-0355e53aab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5AC73-B9D1-40CA-ABD0-C2648D687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58ba7-556e-4320-b924-0355e53aa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0B0F50-847C-45EE-8EE6-4310879E2F48}">
  <ds:schemaRefs>
    <ds:schemaRef ds:uri="http://schemas.microsoft.com/office/2006/metadata/properties"/>
    <ds:schemaRef ds:uri="http://schemas.microsoft.com/office/2006/documentManagement/types"/>
    <ds:schemaRef ds:uri="b3858ba7-556e-4320-b924-0355e53aab5b"/>
    <ds:schemaRef ds:uri="http://purl.org/dc/terms/"/>
    <ds:schemaRef ds:uri="http://purl.org/dc/dcmitype/"/>
    <ds:schemaRef ds:uri="http://www.w3.org/XML/1998/namespace"/>
    <ds:schemaRef ds:uri="http://purl.org/dc/elements/1.1/"/>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BFE06E89-4237-4934-B753-B6D26E29CEC1}">
  <ds:schemaRefs>
    <ds:schemaRef ds:uri="http://schemas.microsoft.com/sharepoint/v3/contenttype/forms"/>
  </ds:schemaRefs>
</ds:datastoreItem>
</file>

<file path=customXml/itemProps4.xml><?xml version="1.0" encoding="utf-8"?>
<ds:datastoreItem xmlns:ds="http://schemas.openxmlformats.org/officeDocument/2006/customXml" ds:itemID="{6D042348-D450-4CCA-8460-9A4B3932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2065</TotalTime>
  <Pages>16</Pages>
  <Words>5142</Words>
  <Characters>28284</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MAURIN Jeanine</dc:creator>
  <cp:keywords/>
  <dc:description/>
  <cp:lastModifiedBy>VIROLLE Fabienne</cp:lastModifiedBy>
  <cp:revision>8</cp:revision>
  <cp:lastPrinted>2024-12-02T16:50:00Z</cp:lastPrinted>
  <dcterms:created xsi:type="dcterms:W3CDTF">2024-12-03T13:56:00Z</dcterms:created>
  <dcterms:modified xsi:type="dcterms:W3CDTF">2024-12-18T09:35:00Z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0x01010065EC84704D074E4BA3A23217DDADF6EB</vt:lpwstr>
  </property>
</Properties>
</file>