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56222C74" w14:textId="77777777" w:rsidTr="00467E6D">
        <w:trPr>
          <w:trHeight w:val="686"/>
        </w:trPr>
        <w:tc>
          <w:tcPr>
            <w:tcW w:w="5210" w:type="dxa"/>
          </w:tcPr>
          <w:p w14:paraId="3B6FF954" w14:textId="77777777" w:rsidR="0026577E" w:rsidRPr="008504FB" w:rsidRDefault="0026577E" w:rsidP="00467E6D">
            <w:pPr>
              <w:rPr>
                <w:highlight w:val="green"/>
              </w:rPr>
            </w:pPr>
          </w:p>
        </w:tc>
        <w:tc>
          <w:tcPr>
            <w:tcW w:w="4997" w:type="dxa"/>
          </w:tcPr>
          <w:p w14:paraId="51BCE175" w14:textId="77777777" w:rsidR="0026577E" w:rsidRPr="008504FB" w:rsidRDefault="0026577E" w:rsidP="00467E6D">
            <w:pPr>
              <w:rPr>
                <w:highlight w:val="green"/>
              </w:rPr>
            </w:pPr>
          </w:p>
        </w:tc>
      </w:tr>
      <w:tr w:rsidR="0026577E" w:rsidRPr="008504FB" w14:paraId="248D83D6" w14:textId="77777777" w:rsidTr="00467E6D">
        <w:trPr>
          <w:trHeight w:val="1986"/>
        </w:trPr>
        <w:tc>
          <w:tcPr>
            <w:tcW w:w="10207" w:type="dxa"/>
            <w:gridSpan w:val="2"/>
          </w:tcPr>
          <w:p w14:paraId="78104E01"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w:t>
            </w:r>
            <w:bookmarkStart w:id="0" w:name="_GoBack"/>
            <w:bookmarkEnd w:id="0"/>
            <w:r w:rsidRPr="008504FB">
              <w:rPr>
                <w:rFonts w:eastAsia="Arial"/>
                <w:b/>
                <w:sz w:val="32"/>
                <w:szCs w:val="28"/>
              </w:rPr>
              <w:t>CULIER DE LA CONSULTATION</w:t>
            </w:r>
          </w:p>
        </w:tc>
      </w:tr>
      <w:tr w:rsidR="00504449" w:rsidRPr="00504449" w14:paraId="190BD164" w14:textId="77777777" w:rsidTr="00467E6D">
        <w:trPr>
          <w:trHeight w:val="3389"/>
        </w:trPr>
        <w:tc>
          <w:tcPr>
            <w:tcW w:w="10207" w:type="dxa"/>
            <w:gridSpan w:val="2"/>
          </w:tcPr>
          <w:p w14:paraId="64076BCD" w14:textId="77777777" w:rsidR="0026577E" w:rsidRPr="00504449" w:rsidRDefault="0026577E" w:rsidP="00AB2A53">
            <w:pPr>
              <w:spacing w:before="600"/>
              <w:jc w:val="center"/>
              <w:rPr>
                <w:rFonts w:eastAsia="Arial"/>
                <w:b/>
                <w:color w:val="000000" w:themeColor="text1"/>
                <w:szCs w:val="22"/>
              </w:rPr>
            </w:pPr>
            <w:r w:rsidRPr="00504449">
              <w:rPr>
                <w:rFonts w:eastAsia="Arial"/>
                <w:b/>
                <w:color w:val="000000" w:themeColor="text1"/>
                <w:szCs w:val="22"/>
              </w:rPr>
              <w:t xml:space="preserve">OBJET : </w:t>
            </w:r>
            <w:sdt>
              <w:sdtPr>
                <w:rPr>
                  <w:rFonts w:eastAsia="Arial"/>
                  <w:b/>
                  <w:color w:val="000000" w:themeColor="text1"/>
                  <w:szCs w:val="22"/>
                </w:rPr>
                <w:id w:val="1670903615"/>
                <w:placeholder>
                  <w:docPart w:val="DD485EB63A7541CA8010B29C339F0D14"/>
                </w:placeholder>
              </w:sdtPr>
              <w:sdtEndPr/>
              <w:sdtContent>
                <w:r w:rsidR="00775850" w:rsidRPr="00504449">
                  <w:rPr>
                    <w:rFonts w:eastAsia="Arial"/>
                    <w:b/>
                    <w:caps/>
                    <w:color w:val="000000" w:themeColor="text1"/>
                    <w:szCs w:val="22"/>
                  </w:rPr>
                  <w:t xml:space="preserve">Fourniture de documentations professionnelles à la Bibliothèque nationale de France </w:t>
                </w:r>
              </w:sdtContent>
            </w:sdt>
          </w:p>
          <w:p w14:paraId="0BBF871F" w14:textId="77777777" w:rsidR="0026577E" w:rsidRPr="00504449" w:rsidRDefault="0026577E" w:rsidP="00467E6D">
            <w:pPr>
              <w:jc w:val="center"/>
              <w:rPr>
                <w:rFonts w:eastAsia="Arial"/>
                <w:b/>
                <w:color w:val="000000" w:themeColor="text1"/>
                <w:sz w:val="32"/>
                <w:szCs w:val="28"/>
              </w:rPr>
            </w:pPr>
          </w:p>
          <w:p w14:paraId="4DAF561A" w14:textId="77777777" w:rsidR="0026577E" w:rsidRPr="00504449" w:rsidRDefault="0026577E" w:rsidP="00AB2A53">
            <w:pPr>
              <w:spacing w:before="1920"/>
              <w:jc w:val="right"/>
              <w:rPr>
                <w:b/>
                <w:color w:val="000000" w:themeColor="text1"/>
              </w:rPr>
            </w:pPr>
            <w:r w:rsidRPr="00504449">
              <w:rPr>
                <w:b/>
                <w:color w:val="000000" w:themeColor="text1"/>
              </w:rPr>
              <w:t xml:space="preserve">Dépôt électronique obligatoire </w:t>
            </w:r>
          </w:p>
          <w:p w14:paraId="5A86F2DE" w14:textId="77777777" w:rsidR="0026577E" w:rsidRPr="00504449" w:rsidRDefault="0026577E" w:rsidP="00467E6D">
            <w:pPr>
              <w:jc w:val="right"/>
              <w:rPr>
                <w:rFonts w:eastAsia="Arial"/>
                <w:b/>
                <w:color w:val="000000" w:themeColor="text1"/>
              </w:rPr>
            </w:pPr>
            <w:r w:rsidRPr="00504449">
              <w:rPr>
                <w:rFonts w:eastAsia="Arial"/>
                <w:b/>
                <w:color w:val="000000" w:themeColor="text1"/>
              </w:rPr>
              <w:t xml:space="preserve">Date limite de réception des offres : </w:t>
            </w:r>
          </w:p>
          <w:p w14:paraId="06201D2C" w14:textId="2850CEEF" w:rsidR="0026577E" w:rsidRPr="00504449" w:rsidRDefault="00C06AD5" w:rsidP="00775850">
            <w:pPr>
              <w:jc w:val="right"/>
              <w:rPr>
                <w:rFonts w:eastAsia="Arial"/>
                <w:b/>
                <w:color w:val="000000" w:themeColor="text1"/>
                <w:sz w:val="32"/>
                <w:szCs w:val="28"/>
              </w:rPr>
            </w:pPr>
            <w:sdt>
              <w:sdtPr>
                <w:rPr>
                  <w:rFonts w:eastAsia="Arial"/>
                  <w:b/>
                  <w:color w:val="000000" w:themeColor="text1"/>
                </w:rPr>
                <w:id w:val="929619073"/>
                <w:placeholder>
                  <w:docPart w:val="59DC02D23AA74A6A9B617EEBE93B577F"/>
                </w:placeholder>
                <w:date w:fullDate="2025-01-22T00:00:00Z">
                  <w:dateFormat w:val="dddd d MMMM yyyy"/>
                  <w:lid w:val="fr-FR"/>
                  <w:storeMappedDataAs w:val="dateTime"/>
                  <w:calendar w:val="gregorian"/>
                </w:date>
              </w:sdtPr>
              <w:sdtEndPr/>
              <w:sdtContent>
                <w:proofErr w:type="gramStart"/>
                <w:r>
                  <w:rPr>
                    <w:rFonts w:eastAsia="Arial"/>
                    <w:b/>
                    <w:color w:val="000000" w:themeColor="text1"/>
                  </w:rPr>
                  <w:t>mercredi</w:t>
                </w:r>
                <w:proofErr w:type="gramEnd"/>
                <w:r>
                  <w:rPr>
                    <w:rFonts w:eastAsia="Arial"/>
                    <w:b/>
                    <w:color w:val="000000" w:themeColor="text1"/>
                  </w:rPr>
                  <w:t xml:space="preserve"> 22 janvier 2025</w:t>
                </w:r>
              </w:sdtContent>
            </w:sdt>
            <w:r w:rsidR="0026577E" w:rsidRPr="00504449">
              <w:rPr>
                <w:rFonts w:eastAsia="Arial"/>
                <w:b/>
                <w:color w:val="000000" w:themeColor="text1"/>
              </w:rPr>
              <w:t xml:space="preserve"> à </w:t>
            </w:r>
            <w:r w:rsidR="00504449" w:rsidRPr="00504449">
              <w:rPr>
                <w:rFonts w:eastAsia="Arial"/>
                <w:b/>
                <w:color w:val="000000" w:themeColor="text1"/>
              </w:rPr>
              <w:t>16h00</w:t>
            </w:r>
          </w:p>
        </w:tc>
      </w:tr>
    </w:tbl>
    <w:p w14:paraId="756CA9D7"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64BC8601"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2F6DB998"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1F75BEE8" w14:textId="77777777" w:rsidR="006D4DE4" w:rsidRPr="006D4DE4" w:rsidRDefault="0026577E" w:rsidP="006D4DE4">
      <w:r w:rsidRPr="00FC25A5">
        <w:t xml:space="preserve">La présente procédure a pour objet </w:t>
      </w:r>
      <w:r w:rsidR="006D4DE4" w:rsidRPr="006D4DE4">
        <w:t xml:space="preserve">la fourniture à l’unité de documents </w:t>
      </w:r>
      <w:r w:rsidR="006D4DE4">
        <w:t>et d’</w:t>
      </w:r>
      <w:r w:rsidR="006D4DE4" w:rsidRPr="006D4DE4">
        <w:t>ouvrage</w:t>
      </w:r>
      <w:r w:rsidR="006D4DE4">
        <w:t>s</w:t>
      </w:r>
      <w:r w:rsidR="006D4DE4" w:rsidRPr="006D4DE4">
        <w:t xml:space="preserve"> pour l’ensemble des directions et départements y compris le CDIP (Centre de documentation et d’information professionnelle).</w:t>
      </w:r>
    </w:p>
    <w:p w14:paraId="03299716" w14:textId="77777777" w:rsidR="006D4DE4" w:rsidRPr="006D4DE4" w:rsidRDefault="006D4DE4" w:rsidP="006D4DE4">
      <w:r w:rsidRPr="006D4DE4">
        <w:t>Le marché comprend les opérations de recherche des ouvrages auprès des éditeurs ou des distributeurs, la passation des commandes et l'ensemble des prestations nécessaires à la livraison des documents aux services de la Bibliothèque nationale de France.</w:t>
      </w:r>
    </w:p>
    <w:p w14:paraId="6D95E16F" w14:textId="77777777" w:rsidR="0026577E" w:rsidRPr="008504FB" w:rsidRDefault="0026577E" w:rsidP="0026577E">
      <w:r w:rsidRPr="008504FB">
        <w:t>Le présent règlement de la consultation fixe les modalités de la consultation. Les candidats sont tenus de respecter les règles qui y figurent.</w:t>
      </w:r>
    </w:p>
    <w:p w14:paraId="29F6533E"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69E43BED" w14:textId="77777777" w:rsidR="00184617" w:rsidRDefault="006D4DE4" w:rsidP="0026577E">
      <w:r w:rsidRPr="006D4DE4">
        <w:t xml:space="preserve">Le </w:t>
      </w:r>
      <w:r w:rsidR="00184617">
        <w:t>marché est un marché de fournitures.</w:t>
      </w:r>
      <w:r w:rsidR="009F542B" w:rsidRPr="009F542B">
        <w:t xml:space="preserve"> </w:t>
      </w:r>
      <w:r w:rsidR="009F542B">
        <w:t xml:space="preserve">Il est </w:t>
      </w:r>
      <w:r w:rsidR="009F542B" w:rsidRPr="006D4DE4">
        <w:t>conclu à prix unitaires</w:t>
      </w:r>
    </w:p>
    <w:p w14:paraId="73DBDB18" w14:textId="77777777" w:rsidR="00184617" w:rsidRPr="00184617" w:rsidRDefault="00184617" w:rsidP="00184617">
      <w:r>
        <w:t xml:space="preserve">Il s’agit d’un </w:t>
      </w:r>
      <w:r w:rsidRPr="00184617">
        <w:t xml:space="preserve">accord-cadre mono-attributaire avec émission de bons de commandes conclus </w:t>
      </w:r>
      <w:r w:rsidR="009F542B">
        <w:t xml:space="preserve">sans </w:t>
      </w:r>
      <w:r w:rsidRPr="00184617">
        <w:t>montant minimum et avec un montant maximum</w:t>
      </w:r>
      <w:r w:rsidR="009F542B">
        <w:t xml:space="preserve"> par an pour chacun des lots</w:t>
      </w:r>
      <w:r w:rsidRPr="00184617">
        <w:t>, en application des articles R. 2162-1 à R. 2162-6, R. 2162-13 et R. 2162-14 du Code de la commande publique.</w:t>
      </w:r>
    </w:p>
    <w:p w14:paraId="54712C6A" w14:textId="77777777" w:rsidR="0026577E" w:rsidRPr="008504FB" w:rsidRDefault="0026577E" w:rsidP="00467E6D">
      <w:pPr>
        <w:pStyle w:val="Titre1"/>
        <w:rPr>
          <w:rFonts w:ascii="Times New Roman" w:hAnsi="Times New Roman"/>
        </w:rPr>
      </w:pPr>
      <w:bookmarkStart w:id="1" w:name="_heading=h.17fv8dwzu06g" w:colFirst="0" w:colLast="0"/>
      <w:bookmarkEnd w:id="1"/>
      <w:r w:rsidRPr="008504FB">
        <w:rPr>
          <w:rFonts w:ascii="Times New Roman" w:hAnsi="Times New Roman"/>
        </w:rPr>
        <w:t>DECOMPOSITION DU MARCHE</w:t>
      </w:r>
    </w:p>
    <w:p w14:paraId="14C1D2B9"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6ABDD27B" w14:textId="77777777" w:rsidR="0026577E" w:rsidRPr="008504FB" w:rsidRDefault="0026577E" w:rsidP="0026577E">
      <w:r w:rsidRPr="008504FB">
        <w:t>Les variantes ne sont pas autorisées.</w:t>
      </w:r>
    </w:p>
    <w:p w14:paraId="0F409945"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3C44A4B6" w14:textId="77777777" w:rsidR="0026577E" w:rsidRPr="008504FB" w:rsidRDefault="0026577E" w:rsidP="0026577E">
      <w:r w:rsidRPr="008504FB">
        <w:t>Les prestations ne sont pas décomposées en tranches.</w:t>
      </w:r>
    </w:p>
    <w:p w14:paraId="306FC03F"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4A2EFA77" w14:textId="77777777" w:rsidR="006D4DE4" w:rsidRDefault="006D4DE4" w:rsidP="006D4DE4">
      <w:r>
        <w:t>L</w:t>
      </w:r>
      <w:r w:rsidR="00184617">
        <w:t xml:space="preserve">e marché est décomposé </w:t>
      </w:r>
      <w:r>
        <w:t xml:space="preserve">en deux lots :  </w:t>
      </w:r>
    </w:p>
    <w:p w14:paraId="074B8F4F" w14:textId="77777777" w:rsidR="006D4DE4" w:rsidRDefault="006D4DE4" w:rsidP="00ED2025">
      <w:pPr>
        <w:pStyle w:val="Paragraphedeliste"/>
        <w:numPr>
          <w:ilvl w:val="0"/>
          <w:numId w:val="46"/>
        </w:numPr>
      </w:pPr>
      <w:r>
        <w:t>Lot 1 : Ouvrages courants diffusés en France</w:t>
      </w:r>
    </w:p>
    <w:p w14:paraId="78C588A3" w14:textId="77777777" w:rsidR="006D4DE4" w:rsidRDefault="006D4DE4" w:rsidP="00ED2025">
      <w:pPr>
        <w:pStyle w:val="Paragraphedeliste"/>
        <w:numPr>
          <w:ilvl w:val="0"/>
          <w:numId w:val="46"/>
        </w:numPr>
      </w:pPr>
      <w:r>
        <w:t>Lot 2 : Ouvrages non diffusés en France et ouvrages de littérature grise</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261"/>
        <w:gridCol w:w="1984"/>
        <w:gridCol w:w="1985"/>
      </w:tblGrid>
      <w:tr w:rsidR="00184617" w:rsidRPr="00184617" w14:paraId="7E1E308D" w14:textId="77777777" w:rsidTr="00184617">
        <w:trPr>
          <w:trHeight w:val="794"/>
        </w:trPr>
        <w:tc>
          <w:tcPr>
            <w:tcW w:w="850" w:type="dxa"/>
            <w:vAlign w:val="center"/>
          </w:tcPr>
          <w:p w14:paraId="4D17C53B" w14:textId="77777777" w:rsidR="00184617" w:rsidRPr="00184617" w:rsidRDefault="00184617" w:rsidP="00184617">
            <w:pPr>
              <w:jc w:val="center"/>
            </w:pPr>
            <w:r w:rsidRPr="00184617">
              <w:t>N° du lot</w:t>
            </w:r>
          </w:p>
        </w:tc>
        <w:tc>
          <w:tcPr>
            <w:tcW w:w="3261" w:type="dxa"/>
            <w:vAlign w:val="center"/>
          </w:tcPr>
          <w:p w14:paraId="23F6578E" w14:textId="77777777" w:rsidR="00184617" w:rsidRPr="00184617" w:rsidRDefault="00184617" w:rsidP="00184617">
            <w:pPr>
              <w:jc w:val="center"/>
            </w:pPr>
            <w:r w:rsidRPr="00184617">
              <w:t>Intitulé du lot</w:t>
            </w:r>
          </w:p>
        </w:tc>
        <w:tc>
          <w:tcPr>
            <w:tcW w:w="1984" w:type="dxa"/>
            <w:vAlign w:val="center"/>
          </w:tcPr>
          <w:p w14:paraId="3C89A460" w14:textId="77777777" w:rsidR="00184617" w:rsidRPr="00184617" w:rsidRDefault="00184617" w:rsidP="00184617">
            <w:pPr>
              <w:jc w:val="center"/>
            </w:pPr>
            <w:r w:rsidRPr="00184617">
              <w:t xml:space="preserve">Montant </w:t>
            </w:r>
            <w:r>
              <w:t xml:space="preserve">annuel </w:t>
            </w:r>
            <w:r w:rsidRPr="00184617">
              <w:t xml:space="preserve">minimum </w:t>
            </w:r>
            <w:r>
              <w:t xml:space="preserve">en </w:t>
            </w:r>
            <w:r w:rsidRPr="00184617">
              <w:t>€ H.T.</w:t>
            </w:r>
          </w:p>
        </w:tc>
        <w:tc>
          <w:tcPr>
            <w:tcW w:w="1985" w:type="dxa"/>
            <w:vAlign w:val="center"/>
          </w:tcPr>
          <w:p w14:paraId="0773BCC9" w14:textId="77777777" w:rsidR="00184617" w:rsidRPr="00184617" w:rsidRDefault="00184617" w:rsidP="009F542B">
            <w:pPr>
              <w:jc w:val="center"/>
            </w:pPr>
            <w:r w:rsidRPr="00184617">
              <w:t xml:space="preserve">Montant </w:t>
            </w:r>
            <w:r>
              <w:t xml:space="preserve">annuel maximum en </w:t>
            </w:r>
            <w:r w:rsidRPr="00184617">
              <w:t>€ H.T.</w:t>
            </w:r>
          </w:p>
        </w:tc>
      </w:tr>
      <w:tr w:rsidR="00184617" w:rsidRPr="00184617" w14:paraId="6286C13B" w14:textId="77777777" w:rsidTr="00184617">
        <w:trPr>
          <w:trHeight w:val="706"/>
        </w:trPr>
        <w:tc>
          <w:tcPr>
            <w:tcW w:w="850" w:type="dxa"/>
            <w:vAlign w:val="center"/>
          </w:tcPr>
          <w:p w14:paraId="673980A4" w14:textId="77777777" w:rsidR="00184617" w:rsidRPr="00184617" w:rsidRDefault="00184617" w:rsidP="00184617">
            <w:r w:rsidRPr="00184617">
              <w:t>1</w:t>
            </w:r>
          </w:p>
        </w:tc>
        <w:tc>
          <w:tcPr>
            <w:tcW w:w="3261" w:type="dxa"/>
            <w:vAlign w:val="center"/>
          </w:tcPr>
          <w:p w14:paraId="2408F151" w14:textId="77777777" w:rsidR="00184617" w:rsidRPr="00184617" w:rsidRDefault="00184617" w:rsidP="00184617">
            <w:r w:rsidRPr="00184617">
              <w:t>Ouvrages courants diffusés en France</w:t>
            </w:r>
          </w:p>
        </w:tc>
        <w:tc>
          <w:tcPr>
            <w:tcW w:w="1984" w:type="dxa"/>
          </w:tcPr>
          <w:p w14:paraId="061E6CD2" w14:textId="77777777" w:rsidR="00184617" w:rsidRPr="00184617" w:rsidRDefault="00184617">
            <w:pPr>
              <w:rPr>
                <w:rFonts w:cs="Times New Roman"/>
              </w:rPr>
            </w:pPr>
            <w:r w:rsidRPr="00184617">
              <w:rPr>
                <w:rFonts w:cs="Times New Roman"/>
              </w:rPr>
              <w:t>Pas de montant minimum</w:t>
            </w:r>
          </w:p>
        </w:tc>
        <w:tc>
          <w:tcPr>
            <w:tcW w:w="1985" w:type="dxa"/>
            <w:vAlign w:val="center"/>
          </w:tcPr>
          <w:p w14:paraId="58417733" w14:textId="77777777" w:rsidR="00184617" w:rsidRPr="00184617" w:rsidRDefault="00184617" w:rsidP="00184617">
            <w:r>
              <w:t>30 000</w:t>
            </w:r>
          </w:p>
        </w:tc>
      </w:tr>
      <w:tr w:rsidR="00184617" w:rsidRPr="00184617" w14:paraId="120C0A35" w14:textId="77777777" w:rsidTr="00184617">
        <w:trPr>
          <w:trHeight w:val="794"/>
        </w:trPr>
        <w:tc>
          <w:tcPr>
            <w:tcW w:w="850" w:type="dxa"/>
            <w:vAlign w:val="center"/>
          </w:tcPr>
          <w:p w14:paraId="66AFEF3D" w14:textId="77777777" w:rsidR="00184617" w:rsidRPr="00184617" w:rsidRDefault="00184617" w:rsidP="00184617">
            <w:r w:rsidRPr="00184617">
              <w:t>2</w:t>
            </w:r>
          </w:p>
        </w:tc>
        <w:tc>
          <w:tcPr>
            <w:tcW w:w="3261" w:type="dxa"/>
            <w:vAlign w:val="center"/>
          </w:tcPr>
          <w:p w14:paraId="0679EC34" w14:textId="77777777" w:rsidR="00184617" w:rsidRPr="00184617" w:rsidRDefault="00184617" w:rsidP="00184617">
            <w:r w:rsidRPr="00184617">
              <w:t>Ouvrages non diffusés en France et ouvrages de littérature grise</w:t>
            </w:r>
          </w:p>
        </w:tc>
        <w:tc>
          <w:tcPr>
            <w:tcW w:w="1984" w:type="dxa"/>
          </w:tcPr>
          <w:p w14:paraId="0E672FBB" w14:textId="77777777" w:rsidR="00184617" w:rsidRPr="00184617" w:rsidRDefault="00184617">
            <w:pPr>
              <w:rPr>
                <w:rFonts w:cs="Times New Roman"/>
              </w:rPr>
            </w:pPr>
            <w:r w:rsidRPr="00184617">
              <w:rPr>
                <w:rFonts w:cs="Times New Roman"/>
              </w:rPr>
              <w:t>Pas de montant minimum</w:t>
            </w:r>
          </w:p>
        </w:tc>
        <w:tc>
          <w:tcPr>
            <w:tcW w:w="1985" w:type="dxa"/>
            <w:vAlign w:val="center"/>
          </w:tcPr>
          <w:p w14:paraId="279ECC30" w14:textId="77777777" w:rsidR="00184617" w:rsidRPr="00184617" w:rsidRDefault="00184617" w:rsidP="00184617">
            <w:r>
              <w:t>15 000</w:t>
            </w:r>
          </w:p>
        </w:tc>
      </w:tr>
    </w:tbl>
    <w:p w14:paraId="72F052A4" w14:textId="77777777" w:rsidR="006D4DE4" w:rsidRDefault="006D4DE4" w:rsidP="006D4DE4">
      <w:r>
        <w:t>Les candidats qui le souhaitent ont la possibilité de soumissionner sur l’ensemble des lots. Le cas échéant, les soumissionnaires établiront une offre technique et financière distincte par lot.</w:t>
      </w:r>
    </w:p>
    <w:p w14:paraId="089F510C" w14:textId="77777777" w:rsidR="00B80A63" w:rsidRPr="00B80A63" w:rsidRDefault="006D4DE4" w:rsidP="006D4DE4">
      <w:r>
        <w:t>La remise d’une offre optimisée financièrement en cas de réponse à deux lots, n’est pas autorisée.</w:t>
      </w:r>
      <w:r w:rsidR="0026577E" w:rsidRPr="008504FB">
        <w:t xml:space="preserve"> </w:t>
      </w:r>
    </w:p>
    <w:p w14:paraId="62F4E963" w14:textId="77777777" w:rsidR="0026577E" w:rsidRPr="007671B4" w:rsidRDefault="007671B4" w:rsidP="007671B4">
      <w:pPr>
        <w:pStyle w:val="Titre2"/>
        <w:rPr>
          <w:rFonts w:ascii="Times New Roman" w:hAnsi="Times New Roman"/>
        </w:rPr>
      </w:pPr>
      <w:r w:rsidRPr="007671B4">
        <w:rPr>
          <w:rFonts w:ascii="Times New Roman" w:hAnsi="Times New Roman"/>
        </w:rPr>
        <w:lastRenderedPageBreak/>
        <w:t>Durée du marché</w:t>
      </w:r>
    </w:p>
    <w:p w14:paraId="68AA655C" w14:textId="77777777" w:rsidR="00B80A63" w:rsidRPr="009B2836" w:rsidRDefault="009B2836" w:rsidP="00B80A63">
      <w:r w:rsidRPr="009B2836">
        <w:t xml:space="preserve">Pour le lot 1, le </w:t>
      </w:r>
      <w:r w:rsidR="00B80A63" w:rsidRPr="009B2836">
        <w:t xml:space="preserve">marché est conclu pour une durée d’un an à compter du </w:t>
      </w:r>
      <w:r w:rsidRPr="009B2836">
        <w:t xml:space="preserve">20 janvier 2025 </w:t>
      </w:r>
      <w:r w:rsidR="003C2027" w:rsidRPr="009B2836">
        <w:t>ou de sa notification au titulaire si celle-ci est postérieure.</w:t>
      </w:r>
      <w:r w:rsidRPr="009B2836">
        <w:t xml:space="preserve"> Pour le lot 2, le marché est conclu pour une durée d’un an à compter du 26 janvier 2025 ou de sa notification au titulaire si celle-ci est postérieure.</w:t>
      </w:r>
    </w:p>
    <w:p w14:paraId="6BFF77ED" w14:textId="77777777" w:rsidR="00B80A63" w:rsidRPr="009B2836" w:rsidRDefault="00B80A63" w:rsidP="00B80A63">
      <w:r w:rsidRPr="009B2836">
        <w:t xml:space="preserve">Ensuite, le marché est reconductible tacitement </w:t>
      </w:r>
      <w:r w:rsidR="00471848" w:rsidRPr="009B2836">
        <w:t>trois</w:t>
      </w:r>
      <w:r w:rsidRPr="009B2836">
        <w:t xml:space="preserve"> fois maximum pour une période de douze mois. Trois mois avant la fin de la période concernée, la BnF informera le cas échéant le titulaire de sa décision de ne pas reconduire le marché par lettre recommandée avec accusé de réception.</w:t>
      </w:r>
    </w:p>
    <w:p w14:paraId="42A8A274" w14:textId="77777777" w:rsidR="007671B4" w:rsidRPr="00B80A63" w:rsidRDefault="00B80A63" w:rsidP="00B80A63">
      <w:r w:rsidRPr="009B2836">
        <w:t>Le titulaire du marché ne peut pas refuser la reconduction et ne peut se prévaloir d’aucune indemnité en cas d’absence de reconduction.</w:t>
      </w:r>
      <w:r>
        <w:t xml:space="preserve"> </w:t>
      </w:r>
    </w:p>
    <w:p w14:paraId="5A6D1095"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2522192B"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282C55D2"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47E532E7"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3EDEAB0C"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7F54D11C" w14:textId="77777777" w:rsidR="003C2027" w:rsidRDefault="0026577E" w:rsidP="0026577E">
      <w:r w:rsidRPr="008504FB">
        <w:t xml:space="preserve">L’un des membres du groupement devra être désigné comme mandataire du groupement. </w:t>
      </w:r>
    </w:p>
    <w:p w14:paraId="73E712A2"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02C2CD9C"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06569DC9"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43EFDFC5" w14:textId="77777777" w:rsidR="0026577E" w:rsidRPr="003C2027" w:rsidRDefault="0026577E" w:rsidP="0026577E">
      <w:pPr>
        <w:rPr>
          <w:color w:val="000000" w:themeColor="text1"/>
        </w:rPr>
      </w:pPr>
      <w:r w:rsidRPr="003C2027">
        <w:rPr>
          <w:color w:val="000000" w:themeColor="text1"/>
        </w:rPr>
        <w:t>Au stade de l’attribution, le groupement devra impérativement être conjoint avec solidarité du mandataire ou solidaire.</w:t>
      </w:r>
    </w:p>
    <w:p w14:paraId="6468586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121556A5" w14:textId="77777777" w:rsidR="0026577E" w:rsidRPr="008504FB" w:rsidRDefault="0026577E" w:rsidP="0026577E">
      <w:r w:rsidRPr="008504FB">
        <w:t>Le pouvoir adjudicateur responsable de l'organisation de la procédure est :</w:t>
      </w:r>
    </w:p>
    <w:p w14:paraId="57A9B3E2" w14:textId="77777777" w:rsidR="0026577E" w:rsidRPr="008504FB" w:rsidRDefault="0026577E" w:rsidP="00AB2A53">
      <w:pPr>
        <w:spacing w:before="0" w:after="0"/>
        <w:jc w:val="center"/>
      </w:pPr>
      <w:r w:rsidRPr="008504FB">
        <w:t>La Bibliothèque nationale de France (BnF)</w:t>
      </w:r>
    </w:p>
    <w:p w14:paraId="2466CAEE"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1683E089" w14:textId="77777777" w:rsidR="0026577E" w:rsidRPr="008504FB" w:rsidRDefault="0026577E" w:rsidP="00AB2A53">
      <w:pPr>
        <w:spacing w:before="0" w:after="0"/>
        <w:jc w:val="center"/>
      </w:pPr>
      <w:r w:rsidRPr="008504FB">
        <w:t>75706 PARIS Cedex 13</w:t>
      </w:r>
    </w:p>
    <w:p w14:paraId="5C49939A" w14:textId="77777777" w:rsidR="0026577E" w:rsidRPr="008504FB" w:rsidRDefault="0026577E" w:rsidP="00AB2A53">
      <w:pPr>
        <w:spacing w:before="0" w:after="0"/>
        <w:jc w:val="center"/>
        <w:rPr>
          <w:b/>
        </w:rPr>
      </w:pPr>
      <w:r w:rsidRPr="008504FB">
        <w:t>Téléphone. : 01.53.79.42.37</w:t>
      </w:r>
    </w:p>
    <w:p w14:paraId="0DB05EC1"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422FC37E" w14:textId="77777777" w:rsidR="0026577E" w:rsidRDefault="0026577E" w:rsidP="0026577E">
      <w:r w:rsidRPr="008504FB">
        <w:t>Le délai de validité des offres est fixé à cinq (5) mois à compter de la date limite de remise des propositions</w:t>
      </w:r>
      <w:r w:rsidR="00AA2F23">
        <w:t>.</w:t>
      </w:r>
      <w:r w:rsidR="00467E6D" w:rsidRPr="008504FB">
        <w:t xml:space="preserve"> </w:t>
      </w:r>
    </w:p>
    <w:p w14:paraId="3D6B8726"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612C967E" w14:textId="77777777" w:rsidR="00DD629B" w:rsidRDefault="007D3827" w:rsidP="00AA2F23">
      <w:r w:rsidRPr="007D3827">
        <w:t xml:space="preserve">Numéro de nomenclature CPV </w:t>
      </w:r>
      <w:r w:rsidR="00AA2F23">
        <w:t xml:space="preserve">: </w:t>
      </w:r>
      <w:r w:rsidR="009F542B" w:rsidRPr="009F542B">
        <w:t>22110000-4 (Livres imprimés)</w:t>
      </w:r>
      <w:r>
        <w:t>.</w:t>
      </w:r>
    </w:p>
    <w:p w14:paraId="069649E0"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lastRenderedPageBreak/>
        <w:t>GESTION DE LA CONSULTATION</w:t>
      </w:r>
    </w:p>
    <w:p w14:paraId="4E9CD1A5"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7123746A" w14:textId="77777777" w:rsidR="0025733D" w:rsidRDefault="0025733D" w:rsidP="0025733D">
      <w:r>
        <w:t xml:space="preserve">L’ensemble du dossier permettant de répondre à la présente consultation est téléchargeable gratuitement par chaque candidat. </w:t>
      </w:r>
    </w:p>
    <w:p w14:paraId="7835FFAA"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4A9E1205"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2D262DFF"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2CBF63DC"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4566A8B1"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0E6269D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70841BC6" w14:textId="77777777" w:rsidR="0025733D" w:rsidRPr="008504FB" w:rsidRDefault="0025733D" w:rsidP="0025733D">
      <w:r w:rsidRPr="008504FB">
        <w:t>Le dossier de consultation des entreprises comprend les pièces suivantes :</w:t>
      </w:r>
    </w:p>
    <w:p w14:paraId="172A68A1" w14:textId="77777777" w:rsidR="0025733D" w:rsidRPr="006D70A5" w:rsidRDefault="0025733D" w:rsidP="0025733D">
      <w:pPr>
        <w:numPr>
          <w:ilvl w:val="0"/>
          <w:numId w:val="10"/>
        </w:numPr>
        <w:pBdr>
          <w:top w:val="nil"/>
          <w:left w:val="nil"/>
          <w:bottom w:val="nil"/>
          <w:right w:val="nil"/>
          <w:between w:val="nil"/>
        </w:pBdr>
        <w:rPr>
          <w:color w:val="000000" w:themeColor="text1"/>
        </w:rPr>
      </w:pPr>
      <w:r w:rsidRPr="006D70A5">
        <w:rPr>
          <w:rFonts w:eastAsia="Arimo"/>
          <w:color w:val="000000" w:themeColor="text1"/>
        </w:rPr>
        <w:t>Le règlement particulier de la consultation (RPC) et ses annexes :</w:t>
      </w:r>
    </w:p>
    <w:p w14:paraId="50FC98F7" w14:textId="77777777" w:rsidR="0025733D" w:rsidRPr="006D70A5" w:rsidRDefault="0025733D" w:rsidP="0025733D">
      <w:pPr>
        <w:numPr>
          <w:ilvl w:val="1"/>
          <w:numId w:val="10"/>
        </w:numPr>
        <w:pBdr>
          <w:top w:val="nil"/>
          <w:left w:val="nil"/>
          <w:bottom w:val="nil"/>
          <w:right w:val="nil"/>
          <w:between w:val="nil"/>
        </w:pBdr>
        <w:rPr>
          <w:color w:val="000000" w:themeColor="text1"/>
        </w:rPr>
      </w:pPr>
      <w:r w:rsidRPr="006D70A5">
        <w:rPr>
          <w:rFonts w:eastAsia="Arimo"/>
          <w:color w:val="000000" w:themeColor="text1"/>
        </w:rPr>
        <w:t>Annexe 1 : La fiche de synthèse ;</w:t>
      </w:r>
    </w:p>
    <w:p w14:paraId="05852994" w14:textId="77777777" w:rsidR="0025733D" w:rsidRPr="006D70A5" w:rsidRDefault="0025733D" w:rsidP="0025733D">
      <w:pPr>
        <w:numPr>
          <w:ilvl w:val="1"/>
          <w:numId w:val="10"/>
        </w:numPr>
        <w:pBdr>
          <w:top w:val="nil"/>
          <w:left w:val="nil"/>
          <w:bottom w:val="nil"/>
          <w:right w:val="nil"/>
          <w:between w:val="nil"/>
        </w:pBdr>
        <w:rPr>
          <w:rFonts w:eastAsia="Arimo"/>
          <w:color w:val="000000" w:themeColor="text1"/>
        </w:rPr>
      </w:pPr>
      <w:r w:rsidRPr="006D70A5">
        <w:rPr>
          <w:rFonts w:eastAsia="Arimo"/>
          <w:color w:val="000000" w:themeColor="text1"/>
        </w:rPr>
        <w:t>Annexe 2 : Le questionnaire Mixité/Diversité</w:t>
      </w:r>
      <w:r w:rsidR="00C608D5" w:rsidRPr="006D70A5">
        <w:rPr>
          <w:rFonts w:eastAsia="Arimo"/>
          <w:color w:val="000000" w:themeColor="text1"/>
        </w:rPr>
        <w:t xml:space="preserve"> (cf. article </w:t>
      </w:r>
      <w:r w:rsidR="006D70A5" w:rsidRPr="006D70A5">
        <w:rPr>
          <w:rFonts w:eastAsia="Arimo"/>
          <w:color w:val="000000" w:themeColor="text1"/>
        </w:rPr>
        <w:t>10</w:t>
      </w:r>
      <w:r w:rsidR="00C608D5" w:rsidRPr="006D70A5">
        <w:rPr>
          <w:rFonts w:eastAsia="Arimo"/>
          <w:color w:val="000000" w:themeColor="text1"/>
        </w:rPr>
        <w:t xml:space="preserve"> du présent document)</w:t>
      </w:r>
      <w:r w:rsidR="00471848">
        <w:rPr>
          <w:rFonts w:eastAsia="Arimo"/>
          <w:color w:val="000000" w:themeColor="text1"/>
        </w:rPr>
        <w:t> ;</w:t>
      </w:r>
    </w:p>
    <w:p w14:paraId="6098D12E" w14:textId="77777777" w:rsidR="0025733D" w:rsidRPr="006D70A5" w:rsidRDefault="0025733D" w:rsidP="0025733D">
      <w:pPr>
        <w:numPr>
          <w:ilvl w:val="1"/>
          <w:numId w:val="10"/>
        </w:numPr>
        <w:pBdr>
          <w:top w:val="nil"/>
          <w:left w:val="nil"/>
          <w:bottom w:val="nil"/>
          <w:right w:val="nil"/>
          <w:between w:val="nil"/>
        </w:pBdr>
        <w:rPr>
          <w:rFonts w:eastAsia="Arimo"/>
          <w:color w:val="000000" w:themeColor="text1"/>
        </w:rPr>
      </w:pPr>
      <w:r w:rsidRPr="006D70A5">
        <w:rPr>
          <w:rFonts w:eastAsia="Arimo"/>
          <w:color w:val="000000" w:themeColor="text1"/>
        </w:rPr>
        <w:t xml:space="preserve">Annexe </w:t>
      </w:r>
      <w:r w:rsidR="006D70A5" w:rsidRPr="006D70A5">
        <w:rPr>
          <w:rFonts w:eastAsia="Arimo"/>
          <w:color w:val="000000" w:themeColor="text1"/>
        </w:rPr>
        <w:t>3</w:t>
      </w:r>
      <w:r w:rsidRPr="006D70A5">
        <w:rPr>
          <w:rFonts w:eastAsia="Arimo"/>
          <w:color w:val="000000" w:themeColor="text1"/>
        </w:rPr>
        <w:t> : Le cadre de mémoire technique ;</w:t>
      </w:r>
    </w:p>
    <w:p w14:paraId="619DB750"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7A8E5D96"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et s</w:t>
      </w:r>
      <w:r w:rsidR="009B2836">
        <w:rPr>
          <w:rFonts w:eastAsia="Arimo"/>
          <w:color w:val="000000"/>
        </w:rPr>
        <w:t xml:space="preserve">on annexe </w:t>
      </w:r>
      <w:r w:rsidR="0025733D" w:rsidRPr="008504FB">
        <w:rPr>
          <w:rFonts w:eastAsia="Arimo"/>
          <w:color w:val="000000"/>
        </w:rPr>
        <w:t xml:space="preserve">: </w:t>
      </w:r>
    </w:p>
    <w:p w14:paraId="42A9486A" w14:textId="77777777" w:rsidR="0025733D" w:rsidRPr="009B2836" w:rsidRDefault="0025733D" w:rsidP="0025733D">
      <w:pPr>
        <w:numPr>
          <w:ilvl w:val="1"/>
          <w:numId w:val="10"/>
        </w:numPr>
        <w:pBdr>
          <w:top w:val="nil"/>
          <w:left w:val="nil"/>
          <w:bottom w:val="nil"/>
          <w:right w:val="nil"/>
          <w:between w:val="nil"/>
        </w:pBdr>
        <w:rPr>
          <w:color w:val="000000" w:themeColor="text1"/>
        </w:rPr>
      </w:pPr>
      <w:r w:rsidRPr="009B2836">
        <w:rPr>
          <w:rFonts w:eastAsia="Arimo"/>
          <w:color w:val="000000"/>
        </w:rPr>
        <w:t>Annexe 1 : La déclaration de sous-traitance et d’agrément des conditions de paiement (</w:t>
      </w:r>
      <w:r w:rsidRPr="009B2836">
        <w:rPr>
          <w:rFonts w:eastAsia="Arimo"/>
          <w:color w:val="000000" w:themeColor="text1"/>
        </w:rPr>
        <w:t>le cas échéant) ;</w:t>
      </w:r>
    </w:p>
    <w:p w14:paraId="734BED56" w14:textId="77777777" w:rsidR="0025733D" w:rsidRPr="007D3827" w:rsidRDefault="0025733D" w:rsidP="0025733D">
      <w:pPr>
        <w:numPr>
          <w:ilvl w:val="0"/>
          <w:numId w:val="10"/>
        </w:numPr>
        <w:pBdr>
          <w:top w:val="nil"/>
          <w:left w:val="nil"/>
          <w:bottom w:val="nil"/>
          <w:right w:val="nil"/>
          <w:between w:val="nil"/>
        </w:pBdr>
        <w:rPr>
          <w:color w:val="000000" w:themeColor="text1"/>
        </w:rPr>
      </w:pPr>
      <w:r w:rsidRPr="007D3827">
        <w:rPr>
          <w:rFonts w:eastAsia="Arimo"/>
          <w:color w:val="000000" w:themeColor="text1"/>
        </w:rPr>
        <w:t>Le cahier des clauses particulières (CCP) </w:t>
      </w:r>
      <w:r w:rsidR="008167C2">
        <w:rPr>
          <w:rFonts w:eastAsia="Arimo"/>
          <w:color w:val="000000" w:themeColor="text1"/>
        </w:rPr>
        <w:t xml:space="preserve">et son annexe </w:t>
      </w:r>
      <w:r w:rsidRPr="007D3827">
        <w:rPr>
          <w:rFonts w:eastAsia="Arimo"/>
          <w:color w:val="000000" w:themeColor="text1"/>
        </w:rPr>
        <w:t>;</w:t>
      </w:r>
    </w:p>
    <w:p w14:paraId="42DCEC7C" w14:textId="77777777" w:rsidR="007D3827" w:rsidRPr="007D3827" w:rsidRDefault="0025733D" w:rsidP="007D3827">
      <w:pPr>
        <w:numPr>
          <w:ilvl w:val="1"/>
          <w:numId w:val="10"/>
        </w:numPr>
        <w:pBdr>
          <w:top w:val="nil"/>
          <w:left w:val="nil"/>
          <w:bottom w:val="nil"/>
          <w:right w:val="nil"/>
          <w:between w:val="nil"/>
        </w:pBdr>
        <w:rPr>
          <w:color w:val="000000" w:themeColor="text1"/>
        </w:rPr>
      </w:pPr>
      <w:r w:rsidRPr="007D3827">
        <w:rPr>
          <w:color w:val="000000" w:themeColor="text1"/>
        </w:rPr>
        <w:t xml:space="preserve">Annexe 1 : </w:t>
      </w:r>
      <w:r w:rsidR="008167C2">
        <w:rPr>
          <w:color w:val="000000" w:themeColor="text1"/>
        </w:rPr>
        <w:t>Modèle de devis</w:t>
      </w:r>
      <w:r w:rsidR="007D3827" w:rsidRPr="007D3827">
        <w:rPr>
          <w:color w:val="000000" w:themeColor="text1"/>
        </w:rPr>
        <w:t xml:space="preserve"> ;</w:t>
      </w:r>
    </w:p>
    <w:p w14:paraId="30692EC9"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4E349169"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51BB526B"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1A55B495"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4FD6635"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6846F44A"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 xml:space="preserve">Questions techniques </w:t>
      </w:r>
    </w:p>
    <w:p w14:paraId="0516B073"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527BDF07" w14:textId="77777777" w:rsidR="0025733D" w:rsidRDefault="0025733D" w:rsidP="002F0C3E">
      <w:pPr>
        <w:rPr>
          <w:b/>
        </w:rPr>
      </w:pPr>
      <w:r w:rsidRPr="008504FB">
        <w:rPr>
          <w:b/>
        </w:rPr>
        <w:t>Toute question qui serait posée et transmise autrement que par la plateforme PLACE ne sera pas prise en compte</w:t>
      </w:r>
    </w:p>
    <w:p w14:paraId="7527F2AC"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1895963D"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3DB16F69"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5B0BF366" w14:textId="77777777" w:rsidR="002F0C3E" w:rsidRPr="008504FB" w:rsidRDefault="002F0C3E" w:rsidP="002F0C3E">
      <w:pPr>
        <w:rPr>
          <w:b/>
        </w:rPr>
      </w:pPr>
      <w:r w:rsidRPr="008504FB">
        <w:t>Il ne sera répondu à aucune question oralement : les questions doivent être posées par écrit.</w:t>
      </w:r>
    </w:p>
    <w:p w14:paraId="74856B3D"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3D700589" w14:textId="77777777" w:rsidR="00CE7C8F" w:rsidRDefault="0026577E" w:rsidP="0026577E">
      <w:r w:rsidRPr="008504FB">
        <w:t xml:space="preserve">Chaque candidat </w:t>
      </w:r>
      <w:r w:rsidR="00CE7C8F">
        <w:t xml:space="preserve">aura à produire un dossier complet comprenant : </w:t>
      </w:r>
    </w:p>
    <w:p w14:paraId="0D9134B6"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169FD8BA"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0D4A0A4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6C79DE52"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7B29B0E1" w14:textId="77777777" w:rsidTr="00BB3AC8">
        <w:tc>
          <w:tcPr>
            <w:tcW w:w="0" w:type="auto"/>
            <w:gridSpan w:val="2"/>
            <w:shd w:val="clear" w:color="auto" w:fill="auto"/>
            <w:vAlign w:val="center"/>
          </w:tcPr>
          <w:p w14:paraId="1A52F264"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5316D6" w14:paraId="22C66AD2" w14:textId="77777777" w:rsidTr="00BB3AC8">
        <w:tc>
          <w:tcPr>
            <w:tcW w:w="0" w:type="auto"/>
            <w:shd w:val="clear" w:color="auto" w:fill="BFBFBF"/>
            <w:vAlign w:val="center"/>
          </w:tcPr>
          <w:p w14:paraId="09739DAE" w14:textId="77777777" w:rsidR="00CE7C8F" w:rsidRDefault="00CE7C8F" w:rsidP="00BB3AC8">
            <w:pPr>
              <w:spacing w:before="0" w:after="0"/>
              <w:jc w:val="left"/>
            </w:pPr>
          </w:p>
        </w:tc>
        <w:tc>
          <w:tcPr>
            <w:tcW w:w="0" w:type="auto"/>
            <w:shd w:val="clear" w:color="auto" w:fill="CCC0D9"/>
            <w:vAlign w:val="center"/>
          </w:tcPr>
          <w:p w14:paraId="3374CC17"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5316D6" w14:paraId="32194BAD" w14:textId="77777777" w:rsidTr="00566041">
        <w:tc>
          <w:tcPr>
            <w:tcW w:w="0" w:type="auto"/>
            <w:shd w:val="clear" w:color="auto" w:fill="auto"/>
            <w:vAlign w:val="center"/>
          </w:tcPr>
          <w:p w14:paraId="30FCB350"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6977C04D"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5316D6" w14:paraId="13AC1A8A" w14:textId="77777777" w:rsidTr="00566041">
        <w:tc>
          <w:tcPr>
            <w:tcW w:w="0" w:type="auto"/>
            <w:shd w:val="clear" w:color="auto" w:fill="auto"/>
            <w:vAlign w:val="center"/>
          </w:tcPr>
          <w:p w14:paraId="0F78EF70"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2D864905" w14:textId="77777777" w:rsidR="00CE7C8F" w:rsidRDefault="00CE7C8F" w:rsidP="007C3C21">
            <w:pPr>
              <w:pStyle w:val="Paragraphedeliste"/>
              <w:numPr>
                <w:ilvl w:val="0"/>
                <w:numId w:val="40"/>
              </w:numPr>
              <w:spacing w:before="0" w:after="0"/>
              <w:jc w:val="left"/>
            </w:pPr>
            <w:r>
              <w:t>K-bis</w:t>
            </w:r>
          </w:p>
        </w:tc>
      </w:tr>
      <w:tr w:rsidR="005316D6" w14:paraId="6A6F56AE" w14:textId="77777777" w:rsidTr="00566041">
        <w:trPr>
          <w:trHeight w:val="828"/>
        </w:trPr>
        <w:tc>
          <w:tcPr>
            <w:tcW w:w="0" w:type="auto"/>
            <w:shd w:val="clear" w:color="auto" w:fill="auto"/>
            <w:vAlign w:val="center"/>
          </w:tcPr>
          <w:p w14:paraId="4C82CBD1"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50D1E6CB" w14:textId="77777777" w:rsidR="00566041" w:rsidRDefault="00566041" w:rsidP="00566041">
            <w:pPr>
              <w:pStyle w:val="Paragraphedeliste"/>
              <w:numPr>
                <w:ilvl w:val="0"/>
                <w:numId w:val="14"/>
              </w:numPr>
              <w:spacing w:before="0" w:after="0"/>
              <w:jc w:val="left"/>
            </w:pPr>
            <w:r>
              <w:t>K-bis</w:t>
            </w:r>
            <w:r w:rsidR="001916F7">
              <w:t xml:space="preserve"> </w:t>
            </w:r>
          </w:p>
          <w:p w14:paraId="1F8FD9BB"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6CA0A88F"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029424A" w14:textId="77777777" w:rsidTr="00BB3AC8">
        <w:tc>
          <w:tcPr>
            <w:tcW w:w="0" w:type="auto"/>
            <w:gridSpan w:val="2"/>
            <w:shd w:val="clear" w:color="auto" w:fill="auto"/>
            <w:vAlign w:val="center"/>
          </w:tcPr>
          <w:p w14:paraId="4C5D3E3B" w14:textId="77777777" w:rsidR="00CE7C8F" w:rsidRPr="002064CB" w:rsidRDefault="00CE7C8F" w:rsidP="00435E79">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p>
        </w:tc>
      </w:tr>
      <w:tr w:rsidR="005316D6" w14:paraId="35AE0DC6" w14:textId="77777777" w:rsidTr="00BB3AC8">
        <w:tc>
          <w:tcPr>
            <w:tcW w:w="0" w:type="auto"/>
            <w:shd w:val="clear" w:color="auto" w:fill="BFBFBF"/>
            <w:vAlign w:val="center"/>
          </w:tcPr>
          <w:p w14:paraId="39E0D717" w14:textId="77777777" w:rsidR="00CE7C8F" w:rsidRDefault="00CE7C8F" w:rsidP="00BB3AC8">
            <w:pPr>
              <w:spacing w:before="0" w:after="0"/>
              <w:jc w:val="left"/>
            </w:pPr>
          </w:p>
        </w:tc>
        <w:tc>
          <w:tcPr>
            <w:tcW w:w="0" w:type="auto"/>
            <w:shd w:val="clear" w:color="auto" w:fill="CCC0D9"/>
            <w:vAlign w:val="center"/>
          </w:tcPr>
          <w:p w14:paraId="01A86EC4" w14:textId="77777777" w:rsidR="00CE7C8F" w:rsidRPr="002064CB" w:rsidRDefault="00CE7C8F" w:rsidP="00BB3AC8">
            <w:pPr>
              <w:spacing w:before="0" w:after="0"/>
              <w:jc w:val="center"/>
              <w:rPr>
                <w:b/>
              </w:rPr>
            </w:pPr>
            <w:r w:rsidRPr="002064CB">
              <w:rPr>
                <w:b/>
              </w:rPr>
              <w:t>Types de document à produire</w:t>
            </w:r>
          </w:p>
        </w:tc>
      </w:tr>
      <w:tr w:rsidR="005316D6" w14:paraId="2981A39B" w14:textId="77777777" w:rsidTr="00566041">
        <w:tc>
          <w:tcPr>
            <w:tcW w:w="0" w:type="auto"/>
            <w:shd w:val="clear" w:color="auto" w:fill="auto"/>
            <w:vAlign w:val="center"/>
          </w:tcPr>
          <w:p w14:paraId="71534416" w14:textId="77777777" w:rsidR="00CE7C8F" w:rsidRDefault="00CE7C8F" w:rsidP="00CE7C8F">
            <w:pPr>
              <w:numPr>
                <w:ilvl w:val="0"/>
                <w:numId w:val="14"/>
              </w:numPr>
              <w:spacing w:before="0" w:after="0"/>
              <w:ind w:left="426" w:hanging="284"/>
              <w:jc w:val="left"/>
            </w:pPr>
            <w:r>
              <w:t>Déclaration du chiffre d’affaire</w:t>
            </w:r>
            <w:r w:rsidR="00435E79">
              <w:t>s</w:t>
            </w:r>
            <w:r>
              <w:t xml:space="preserve"> global sur les 3 dernières années</w:t>
            </w:r>
          </w:p>
          <w:p w14:paraId="2267FF86" w14:textId="77777777" w:rsidR="00CE7C8F" w:rsidRDefault="00CE7C8F" w:rsidP="00CE7C8F">
            <w:pPr>
              <w:numPr>
                <w:ilvl w:val="0"/>
                <w:numId w:val="14"/>
              </w:numPr>
              <w:spacing w:before="0" w:after="0"/>
              <w:ind w:left="426" w:hanging="284"/>
              <w:jc w:val="left"/>
            </w:pPr>
            <w:r>
              <w:t>Déclaration du chiffre d’affaire</w:t>
            </w:r>
            <w:r w:rsidR="00435E79">
              <w:t>s</w:t>
            </w:r>
            <w:r>
              <w:t xml:space="preserve"> du domaine d’activité, objet du marché sur les 3 dernières années</w:t>
            </w:r>
          </w:p>
          <w:p w14:paraId="0AC27127" w14:textId="77777777" w:rsidR="00CE7C8F" w:rsidRDefault="00CE7C8F" w:rsidP="001916F7">
            <w:pPr>
              <w:spacing w:after="240"/>
            </w:pPr>
            <w:r w:rsidRPr="00D16037">
              <w:lastRenderedPageBreak/>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07BA4DB" w14:textId="77777777" w:rsidR="00566041" w:rsidRDefault="00566041" w:rsidP="00566041">
            <w:pPr>
              <w:pStyle w:val="Paragraphedeliste"/>
              <w:numPr>
                <w:ilvl w:val="0"/>
                <w:numId w:val="14"/>
              </w:numPr>
              <w:spacing w:before="0" w:after="0"/>
              <w:jc w:val="left"/>
            </w:pPr>
            <w:r>
              <w:lastRenderedPageBreak/>
              <w:t>Fiche de synthèse</w:t>
            </w:r>
          </w:p>
          <w:p w14:paraId="02704E8A" w14:textId="77777777" w:rsidR="00CE7C8F" w:rsidRDefault="00CE7C8F" w:rsidP="00566041">
            <w:pPr>
              <w:pStyle w:val="Paragraphedeliste"/>
              <w:numPr>
                <w:ilvl w:val="0"/>
                <w:numId w:val="14"/>
              </w:numPr>
              <w:spacing w:before="0" w:after="0"/>
              <w:jc w:val="left"/>
            </w:pPr>
            <w:r>
              <w:t>DC2 ou DUME</w:t>
            </w:r>
          </w:p>
        </w:tc>
      </w:tr>
      <w:tr w:rsidR="005316D6" w14:paraId="359683E2" w14:textId="77777777" w:rsidTr="00BB3AC8">
        <w:tc>
          <w:tcPr>
            <w:tcW w:w="0" w:type="auto"/>
            <w:shd w:val="clear" w:color="auto" w:fill="auto"/>
            <w:vAlign w:val="center"/>
          </w:tcPr>
          <w:p w14:paraId="6D6E2FE0" w14:textId="77777777" w:rsidR="00CE7C8F" w:rsidRDefault="00CE7C8F" w:rsidP="00BB3AC8">
            <w:pPr>
              <w:spacing w:before="0" w:after="0"/>
              <w:jc w:val="left"/>
            </w:pPr>
            <w:r>
              <w:t>Déclaration appropriée de banque</w:t>
            </w:r>
          </w:p>
        </w:tc>
        <w:tc>
          <w:tcPr>
            <w:tcW w:w="0" w:type="auto"/>
            <w:shd w:val="clear" w:color="auto" w:fill="auto"/>
            <w:vAlign w:val="center"/>
          </w:tcPr>
          <w:p w14:paraId="372F888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5574508C" w14:textId="77777777" w:rsidTr="00BB3AC8">
        <w:tc>
          <w:tcPr>
            <w:tcW w:w="0" w:type="auto"/>
            <w:gridSpan w:val="2"/>
            <w:shd w:val="clear" w:color="auto" w:fill="auto"/>
            <w:vAlign w:val="center"/>
          </w:tcPr>
          <w:p w14:paraId="6A4E35D6" w14:textId="77777777" w:rsidR="00CE7C8F" w:rsidRDefault="00CE7C8F" w:rsidP="00435E79">
            <w:pPr>
              <w:spacing w:before="0" w:after="0"/>
              <w:jc w:val="center"/>
            </w:pPr>
            <w:r w:rsidRPr="002064CB">
              <w:rPr>
                <w:b/>
              </w:rPr>
              <w:t>DOCUMENTS RELATIF</w:t>
            </w:r>
            <w:r>
              <w:rPr>
                <w:b/>
              </w:rPr>
              <w:t>S A LA CAPACITE TECHNIQUE</w:t>
            </w:r>
          </w:p>
        </w:tc>
      </w:tr>
      <w:tr w:rsidR="005316D6" w14:paraId="2E2BE3D7" w14:textId="77777777" w:rsidTr="00BB3AC8">
        <w:tc>
          <w:tcPr>
            <w:tcW w:w="0" w:type="auto"/>
            <w:shd w:val="clear" w:color="auto" w:fill="BFBFBF"/>
            <w:vAlign w:val="center"/>
          </w:tcPr>
          <w:p w14:paraId="6A42E3B9" w14:textId="77777777" w:rsidR="00CE7C8F" w:rsidRDefault="00CE7C8F" w:rsidP="00BB3AC8">
            <w:pPr>
              <w:spacing w:before="0" w:after="0"/>
              <w:jc w:val="left"/>
            </w:pPr>
          </w:p>
        </w:tc>
        <w:tc>
          <w:tcPr>
            <w:tcW w:w="0" w:type="auto"/>
            <w:shd w:val="clear" w:color="auto" w:fill="CCC0D9"/>
            <w:vAlign w:val="center"/>
          </w:tcPr>
          <w:p w14:paraId="23271A62" w14:textId="77777777" w:rsidR="00CE7C8F" w:rsidRPr="002064CB" w:rsidRDefault="00CE7C8F" w:rsidP="00BB3AC8">
            <w:pPr>
              <w:spacing w:before="0" w:after="0"/>
              <w:jc w:val="center"/>
              <w:rPr>
                <w:b/>
              </w:rPr>
            </w:pPr>
            <w:r w:rsidRPr="002064CB">
              <w:rPr>
                <w:b/>
              </w:rPr>
              <w:t>Types de document à produire</w:t>
            </w:r>
          </w:p>
        </w:tc>
      </w:tr>
      <w:tr w:rsidR="005316D6" w14:paraId="1B1E0BB8" w14:textId="77777777" w:rsidTr="001916F7">
        <w:trPr>
          <w:trHeight w:val="1010"/>
        </w:trPr>
        <w:tc>
          <w:tcPr>
            <w:tcW w:w="0" w:type="auto"/>
            <w:shd w:val="clear" w:color="auto" w:fill="auto"/>
            <w:vAlign w:val="center"/>
          </w:tcPr>
          <w:p w14:paraId="64D07875"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2CAA1A0A"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14B5BCF0"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316D6" w14:paraId="2B59E5E6" w14:textId="77777777" w:rsidTr="00BB3AC8">
        <w:tc>
          <w:tcPr>
            <w:tcW w:w="0" w:type="auto"/>
            <w:shd w:val="clear" w:color="auto" w:fill="auto"/>
            <w:vAlign w:val="center"/>
          </w:tcPr>
          <w:p w14:paraId="6AB46516" w14:textId="77777777" w:rsidR="00566041" w:rsidRPr="007277B7" w:rsidRDefault="00566041" w:rsidP="00BB3AC8">
            <w:pPr>
              <w:spacing w:before="0" w:after="0"/>
              <w:jc w:val="left"/>
              <w:rPr>
                <w:b/>
              </w:rPr>
            </w:pPr>
            <w:r w:rsidRPr="007277B7">
              <w:rPr>
                <w:b/>
              </w:rPr>
              <w:t xml:space="preserve">Qualification </w:t>
            </w:r>
          </w:p>
        </w:tc>
        <w:tc>
          <w:tcPr>
            <w:tcW w:w="0" w:type="auto"/>
            <w:shd w:val="clear" w:color="auto" w:fill="auto"/>
            <w:vAlign w:val="center"/>
          </w:tcPr>
          <w:p w14:paraId="2596F5A1" w14:textId="77777777" w:rsidR="00566041" w:rsidRPr="005316D6" w:rsidRDefault="005316D6" w:rsidP="005316D6">
            <w:pPr>
              <w:spacing w:before="0" w:after="0"/>
              <w:jc w:val="left"/>
              <w:rPr>
                <w:b/>
                <w:i/>
              </w:rPr>
            </w:pPr>
            <w:r w:rsidRPr="005316D6">
              <w:t>A</w:t>
            </w:r>
            <w:r>
              <w:t xml:space="preserve">ucune qualification n’est requise </w:t>
            </w:r>
          </w:p>
        </w:tc>
      </w:tr>
      <w:tr w:rsidR="00566041" w14:paraId="43099919" w14:textId="77777777" w:rsidTr="00BB3AC8">
        <w:tc>
          <w:tcPr>
            <w:tcW w:w="0" w:type="auto"/>
            <w:gridSpan w:val="2"/>
            <w:shd w:val="clear" w:color="auto" w:fill="auto"/>
            <w:vAlign w:val="center"/>
          </w:tcPr>
          <w:p w14:paraId="32D57C2D" w14:textId="77777777" w:rsidR="00566041" w:rsidRDefault="00566041" w:rsidP="00435E79">
            <w:pPr>
              <w:spacing w:before="0" w:after="0"/>
              <w:jc w:val="center"/>
            </w:pPr>
            <w:r w:rsidRPr="002064CB">
              <w:rPr>
                <w:b/>
              </w:rPr>
              <w:t>DOCUMENTS RELATIF</w:t>
            </w:r>
            <w:r>
              <w:rPr>
                <w:b/>
              </w:rPr>
              <w:t>S A LA CAPACITE PROFESSIONNELLE</w:t>
            </w:r>
          </w:p>
        </w:tc>
      </w:tr>
      <w:tr w:rsidR="005316D6" w14:paraId="59149287" w14:textId="77777777" w:rsidTr="00BB3AC8">
        <w:tc>
          <w:tcPr>
            <w:tcW w:w="0" w:type="auto"/>
            <w:shd w:val="clear" w:color="auto" w:fill="BFBFBF"/>
            <w:vAlign w:val="center"/>
          </w:tcPr>
          <w:p w14:paraId="62432A3F" w14:textId="77777777" w:rsidR="00566041" w:rsidRDefault="00566041" w:rsidP="00BB3AC8">
            <w:pPr>
              <w:spacing w:before="0" w:after="0"/>
              <w:jc w:val="left"/>
            </w:pPr>
          </w:p>
        </w:tc>
        <w:tc>
          <w:tcPr>
            <w:tcW w:w="0" w:type="auto"/>
            <w:shd w:val="clear" w:color="auto" w:fill="CCC0D9"/>
            <w:vAlign w:val="center"/>
          </w:tcPr>
          <w:p w14:paraId="45B8AEBE" w14:textId="77777777" w:rsidR="00566041" w:rsidRPr="002064CB" w:rsidRDefault="00566041" w:rsidP="00BB3AC8">
            <w:pPr>
              <w:spacing w:before="0" w:after="0"/>
              <w:jc w:val="center"/>
              <w:rPr>
                <w:b/>
              </w:rPr>
            </w:pPr>
            <w:r w:rsidRPr="002064CB">
              <w:rPr>
                <w:b/>
              </w:rPr>
              <w:t>Types de document à produire</w:t>
            </w:r>
          </w:p>
        </w:tc>
      </w:tr>
      <w:tr w:rsidR="005316D6" w14:paraId="36557CCD" w14:textId="77777777" w:rsidTr="00BB3AC8">
        <w:trPr>
          <w:trHeight w:val="902"/>
        </w:trPr>
        <w:tc>
          <w:tcPr>
            <w:tcW w:w="0" w:type="auto"/>
            <w:shd w:val="clear" w:color="auto" w:fill="auto"/>
            <w:vAlign w:val="center"/>
          </w:tcPr>
          <w:p w14:paraId="05462747" w14:textId="77777777" w:rsidR="00566041" w:rsidRPr="00EC0F7C" w:rsidRDefault="00566041" w:rsidP="00CE7C8F">
            <w:pPr>
              <w:numPr>
                <w:ilvl w:val="0"/>
                <w:numId w:val="26"/>
              </w:numPr>
              <w:spacing w:before="0" w:after="0"/>
            </w:pPr>
            <w:r w:rsidRPr="00EC0F7C">
              <w:t>Effectifs annuels du candidat sur les 3 dernières années</w:t>
            </w:r>
          </w:p>
          <w:p w14:paraId="6F5D8749" w14:textId="77777777" w:rsidR="00566041" w:rsidRPr="00EC0F7C" w:rsidRDefault="00566041" w:rsidP="00CE7C8F">
            <w:pPr>
              <w:numPr>
                <w:ilvl w:val="0"/>
                <w:numId w:val="26"/>
              </w:numPr>
              <w:spacing w:before="0" w:after="0"/>
            </w:pPr>
            <w:r w:rsidRPr="00EC0F7C">
              <w:t>Effectifs mis à disposition sur les 3 dernières années</w:t>
            </w:r>
          </w:p>
        </w:tc>
        <w:tc>
          <w:tcPr>
            <w:tcW w:w="0" w:type="auto"/>
            <w:vMerge w:val="restart"/>
            <w:shd w:val="clear" w:color="auto" w:fill="auto"/>
            <w:vAlign w:val="center"/>
          </w:tcPr>
          <w:p w14:paraId="721BFA12" w14:textId="77777777" w:rsidR="00566041" w:rsidRDefault="00566041" w:rsidP="00BB3AC8">
            <w:pPr>
              <w:spacing w:before="0" w:after="0"/>
              <w:jc w:val="center"/>
            </w:pPr>
            <w:r>
              <w:t>Fiche de synthèse</w:t>
            </w:r>
          </w:p>
        </w:tc>
      </w:tr>
      <w:tr w:rsidR="005316D6" w14:paraId="16D477B6" w14:textId="77777777" w:rsidTr="00BB3AC8">
        <w:trPr>
          <w:trHeight w:val="864"/>
        </w:trPr>
        <w:tc>
          <w:tcPr>
            <w:tcW w:w="0" w:type="auto"/>
            <w:shd w:val="clear" w:color="auto" w:fill="auto"/>
            <w:vAlign w:val="center"/>
          </w:tcPr>
          <w:p w14:paraId="08A18C7C" w14:textId="77777777" w:rsidR="00566041" w:rsidRPr="00EC0F7C" w:rsidRDefault="00566041" w:rsidP="00CE7C8F">
            <w:pPr>
              <w:numPr>
                <w:ilvl w:val="0"/>
                <w:numId w:val="14"/>
              </w:numPr>
              <w:spacing w:before="0" w:after="0"/>
              <w:jc w:val="left"/>
            </w:pPr>
            <w:r w:rsidRPr="00EC0F7C">
              <w:t>liste des principales prestations similaires sur les 3 dernières années et leur montant</w:t>
            </w:r>
          </w:p>
        </w:tc>
        <w:tc>
          <w:tcPr>
            <w:tcW w:w="0" w:type="auto"/>
            <w:vMerge/>
            <w:shd w:val="clear" w:color="auto" w:fill="auto"/>
            <w:vAlign w:val="center"/>
          </w:tcPr>
          <w:p w14:paraId="38971384" w14:textId="77777777" w:rsidR="00566041" w:rsidRDefault="00566041" w:rsidP="00BB3AC8">
            <w:pPr>
              <w:spacing w:before="0" w:after="0"/>
              <w:jc w:val="center"/>
            </w:pPr>
          </w:p>
        </w:tc>
      </w:tr>
    </w:tbl>
    <w:p w14:paraId="700142E7"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7B70843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268C1169" w14:textId="77777777" w:rsidR="0026577E" w:rsidRPr="008504FB" w:rsidRDefault="0026577E" w:rsidP="0026577E">
      <w:r w:rsidRPr="008504FB">
        <w:t>Le soumissionnaire fournit obligatoirement les éléments suivants dans son offre, sous peine d’irrégularité de celle-ci :</w:t>
      </w:r>
    </w:p>
    <w:p w14:paraId="6684B93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00ED2025">
        <w:rPr>
          <w:rFonts w:eastAsia="Arimo"/>
          <w:b/>
          <w:color w:val="000000"/>
          <w:u w:val="single"/>
        </w:rPr>
        <w:t xml:space="preserve"> </w:t>
      </w:r>
      <w:r w:rsidR="00ED2025" w:rsidRPr="00ED2025">
        <w:rPr>
          <w:rFonts w:eastAsia="Arimo"/>
          <w:color w:val="000000"/>
        </w:rPr>
        <w:t>(un par lot)</w:t>
      </w:r>
      <w:r w:rsidRPr="00ED2025">
        <w:rPr>
          <w:rFonts w:eastAsia="Arimo"/>
          <w:color w:val="000000"/>
        </w:rPr>
        <w:t>,</w:t>
      </w:r>
      <w:r w:rsidRPr="008504FB">
        <w:rPr>
          <w:rFonts w:eastAsia="Arimo"/>
          <w:color w:val="000000"/>
        </w:rPr>
        <w:t xml:space="preserve"> </w:t>
      </w:r>
    </w:p>
    <w:p w14:paraId="0CC36009"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r w:rsidR="006D70A5">
        <w:rPr>
          <w:rFonts w:eastAsia="Arimo"/>
          <w:color w:val="000000"/>
        </w:rPr>
        <w:t>,</w:t>
      </w:r>
    </w:p>
    <w:p w14:paraId="3E47EAF3"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r w:rsidR="00ED2025">
        <w:rPr>
          <w:rFonts w:eastAsia="Arimo"/>
          <w:color w:val="000000"/>
        </w:rPr>
        <w:t xml:space="preserve"> (un par lot)</w:t>
      </w:r>
      <w:r w:rsidR="0045292C">
        <w:rPr>
          <w:rFonts w:eastAsia="Arimo"/>
          <w:color w:val="000000"/>
        </w:rPr>
        <w:t>,</w:t>
      </w:r>
    </w:p>
    <w:p w14:paraId="680D3029" w14:textId="77777777" w:rsidR="00AB2A53" w:rsidRPr="006D70A5" w:rsidRDefault="006F3B8A" w:rsidP="00106660">
      <w:pPr>
        <w:spacing w:before="240" w:after="240"/>
        <w:rPr>
          <w:color w:val="000000" w:themeColor="text1"/>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5CFD8476"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04CF8E78" w14:textId="77777777" w:rsidR="00055B27" w:rsidRDefault="00055B27" w:rsidP="0026577E">
      <w:r>
        <w:t xml:space="preserve">Ces pièces sont demandées ultérieurement au(x) seul(s) attributaire(s) du marché. </w:t>
      </w:r>
    </w:p>
    <w:p w14:paraId="29993EC7"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w:t>
      </w:r>
      <w:r w:rsidRPr="007849AE">
        <w:lastRenderedPageBreak/>
        <w:t xml:space="preserve">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770A2012"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4475"/>
      </w:tblGrid>
      <w:tr w:rsidR="00055B27" w:rsidRPr="00055B27" w14:paraId="14ED53FF" w14:textId="77777777" w:rsidTr="00BB3AC8">
        <w:tc>
          <w:tcPr>
            <w:tcW w:w="0" w:type="auto"/>
            <w:gridSpan w:val="2"/>
            <w:shd w:val="clear" w:color="auto" w:fill="E5DFEC"/>
            <w:vAlign w:val="center"/>
          </w:tcPr>
          <w:p w14:paraId="5A7D5331"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1FEE946C" w14:textId="77777777" w:rsidTr="00BB3AC8">
        <w:tc>
          <w:tcPr>
            <w:tcW w:w="0" w:type="auto"/>
            <w:gridSpan w:val="2"/>
            <w:shd w:val="clear" w:color="auto" w:fill="auto"/>
            <w:vAlign w:val="center"/>
          </w:tcPr>
          <w:p w14:paraId="6FBC254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60525F94" w14:textId="77777777" w:rsidTr="00BB3AC8">
        <w:tc>
          <w:tcPr>
            <w:tcW w:w="0" w:type="auto"/>
            <w:gridSpan w:val="2"/>
            <w:shd w:val="clear" w:color="auto" w:fill="auto"/>
            <w:vAlign w:val="center"/>
          </w:tcPr>
          <w:p w14:paraId="1EC0AA4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007FB6E4" w14:textId="77777777" w:rsidTr="00BB3AC8">
        <w:tc>
          <w:tcPr>
            <w:tcW w:w="0" w:type="auto"/>
            <w:gridSpan w:val="2"/>
            <w:shd w:val="clear" w:color="auto" w:fill="auto"/>
            <w:vAlign w:val="center"/>
          </w:tcPr>
          <w:p w14:paraId="5329AA8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68D83CDB" w14:textId="77777777" w:rsidTr="00BB3AC8">
        <w:tc>
          <w:tcPr>
            <w:tcW w:w="0" w:type="auto"/>
            <w:gridSpan w:val="2"/>
            <w:shd w:val="clear" w:color="auto" w:fill="auto"/>
            <w:vAlign w:val="center"/>
          </w:tcPr>
          <w:p w14:paraId="3E9804FF"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69047F01" w14:textId="77777777" w:rsidR="00055B27" w:rsidRPr="00055B27" w:rsidRDefault="00055B27" w:rsidP="00055B27">
            <w:pPr>
              <w:ind w:left="170"/>
              <w:jc w:val="left"/>
              <w:rPr>
                <w:shd w:val="clear" w:color="auto" w:fill="auto"/>
              </w:rPr>
            </w:pPr>
            <w:r w:rsidRPr="00055B27">
              <w:rPr>
                <w:shd w:val="clear" w:color="auto" w:fill="auto"/>
              </w:rPr>
              <w:t>OU</w:t>
            </w:r>
          </w:p>
          <w:p w14:paraId="6C8942E5"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2BFE3F21" w14:textId="77777777" w:rsidTr="00BB3AC8">
        <w:tc>
          <w:tcPr>
            <w:tcW w:w="0" w:type="auto"/>
            <w:gridSpan w:val="2"/>
            <w:shd w:val="clear" w:color="auto" w:fill="auto"/>
            <w:vAlign w:val="center"/>
          </w:tcPr>
          <w:p w14:paraId="4AA38C87"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7F52F141"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3EA083F1" w14:textId="77777777" w:rsidTr="00BB3AC8">
        <w:tc>
          <w:tcPr>
            <w:tcW w:w="0" w:type="auto"/>
            <w:gridSpan w:val="2"/>
            <w:shd w:val="clear" w:color="auto" w:fill="auto"/>
            <w:vAlign w:val="center"/>
          </w:tcPr>
          <w:p w14:paraId="53C899D9"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51C2F0E6"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2A16C675" w14:textId="77777777" w:rsidTr="00BB3AC8">
        <w:tc>
          <w:tcPr>
            <w:tcW w:w="0" w:type="auto"/>
            <w:gridSpan w:val="2"/>
            <w:shd w:val="clear" w:color="auto" w:fill="E5DFEC"/>
            <w:vAlign w:val="center"/>
          </w:tcPr>
          <w:p w14:paraId="2EF28CF8"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6C34CE53" w14:textId="77777777" w:rsidTr="00055B27">
        <w:tc>
          <w:tcPr>
            <w:tcW w:w="4726" w:type="dxa"/>
            <w:shd w:val="clear" w:color="auto" w:fill="CCC0D9"/>
            <w:vAlign w:val="center"/>
          </w:tcPr>
          <w:p w14:paraId="46C85177"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0DEA2FB4"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19FC1F1" w14:textId="77777777" w:rsidTr="00055B27">
        <w:tc>
          <w:tcPr>
            <w:tcW w:w="4726" w:type="dxa"/>
            <w:shd w:val="clear" w:color="auto" w:fill="auto"/>
            <w:vAlign w:val="center"/>
          </w:tcPr>
          <w:p w14:paraId="40DC405C"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5C9DED26"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0079DA1C" w14:textId="77777777" w:rsidTr="00055B27">
        <w:tc>
          <w:tcPr>
            <w:tcW w:w="4726" w:type="dxa"/>
            <w:shd w:val="clear" w:color="auto" w:fill="auto"/>
            <w:vAlign w:val="center"/>
          </w:tcPr>
          <w:p w14:paraId="58E00D0C" w14:textId="77777777" w:rsidR="00055B27" w:rsidRPr="00055B27" w:rsidRDefault="00055B27" w:rsidP="00EC0F7C">
            <w:pPr>
              <w:numPr>
                <w:ilvl w:val="0"/>
                <w:numId w:val="14"/>
              </w:numPr>
              <w:ind w:left="530"/>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26615EAD"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3C9AB437" w14:textId="77777777" w:rsidTr="00055B27">
        <w:tc>
          <w:tcPr>
            <w:tcW w:w="4726" w:type="dxa"/>
            <w:shd w:val="clear" w:color="auto" w:fill="auto"/>
            <w:vAlign w:val="center"/>
          </w:tcPr>
          <w:p w14:paraId="5DB10DAE"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6C66BE2D"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00854EE5" w14:textId="77777777" w:rsidTr="00055B27">
        <w:tc>
          <w:tcPr>
            <w:tcW w:w="4726" w:type="dxa"/>
            <w:shd w:val="clear" w:color="auto" w:fill="auto"/>
            <w:vAlign w:val="center"/>
          </w:tcPr>
          <w:p w14:paraId="1600832A"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2CB4AC4A" w14:textId="77777777" w:rsidR="00055B27" w:rsidRPr="00055B27" w:rsidRDefault="00055B27" w:rsidP="00055B27">
            <w:pPr>
              <w:ind w:left="170"/>
              <w:jc w:val="left"/>
              <w:rPr>
                <w:shd w:val="clear" w:color="auto" w:fill="auto"/>
              </w:rPr>
            </w:pPr>
            <w:r w:rsidRPr="00055B27">
              <w:rPr>
                <w:shd w:val="clear" w:color="auto" w:fill="auto"/>
              </w:rPr>
              <w:t>OU</w:t>
            </w:r>
          </w:p>
          <w:p w14:paraId="2A42580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4E386A93"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655D554E" w14:textId="77777777" w:rsidR="00055B27" w:rsidRPr="00055B27" w:rsidRDefault="00055B27" w:rsidP="00055B27">
            <w:pPr>
              <w:ind w:left="170"/>
              <w:jc w:val="left"/>
              <w:rPr>
                <w:shd w:val="clear" w:color="auto" w:fill="auto"/>
              </w:rPr>
            </w:pPr>
            <w:r w:rsidRPr="00055B27">
              <w:rPr>
                <w:shd w:val="clear" w:color="auto" w:fill="auto"/>
              </w:rPr>
              <w:t>OU</w:t>
            </w:r>
          </w:p>
          <w:p w14:paraId="489E6B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6189CC4E" w14:textId="77777777" w:rsidTr="00055B27">
        <w:tc>
          <w:tcPr>
            <w:tcW w:w="4726" w:type="dxa"/>
            <w:shd w:val="clear" w:color="auto" w:fill="auto"/>
            <w:vAlign w:val="center"/>
          </w:tcPr>
          <w:p w14:paraId="1530561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7A63CBAE"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39F6D43E" w14:textId="77777777" w:rsidTr="00055B27">
        <w:tc>
          <w:tcPr>
            <w:tcW w:w="4726" w:type="dxa"/>
            <w:shd w:val="clear" w:color="auto" w:fill="auto"/>
            <w:vAlign w:val="center"/>
          </w:tcPr>
          <w:p w14:paraId="7E6FB8C1"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1F0FBDF3"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4D391482"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21D48BBB"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720149DD"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367BA7AF"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40DCBCEA"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6F483CC3" w14:textId="77777777" w:rsidR="00055B27" w:rsidRDefault="00055B27" w:rsidP="007B40F1">
      <w:pPr>
        <w:autoSpaceDE w:val="0"/>
        <w:autoSpaceDN w:val="0"/>
        <w:adjustRightInd w:val="0"/>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1500A4A" w14:textId="77777777" w:rsidR="00055B27" w:rsidRDefault="00055B27" w:rsidP="007B40F1">
      <w:pPr>
        <w:autoSpaceDE w:val="0"/>
        <w:autoSpaceDN w:val="0"/>
        <w:adjustRightInd w:val="0"/>
        <w:rPr>
          <w:rFonts w:eastAsiaTheme="minorHAnsi" w:cs="ArialMT"/>
          <w:lang w:eastAsia="en-US"/>
        </w:rPr>
      </w:pPr>
      <w:r>
        <w:rPr>
          <w:rFonts w:eastAsiaTheme="minorHAnsi" w:cs="ArialMT"/>
          <w:lang w:eastAsia="en-US"/>
        </w:rPr>
        <w:t>La sous-traitance des fournitures est interdite.</w:t>
      </w:r>
    </w:p>
    <w:p w14:paraId="36A77FB1" w14:textId="77777777" w:rsidR="00055B27" w:rsidRDefault="00055B27" w:rsidP="007B40F1">
      <w:pPr>
        <w:autoSpaceDE w:val="0"/>
        <w:autoSpaceDN w:val="0"/>
        <w:adjustRightInd w:val="0"/>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006C4EED" w:rsidRPr="00426573">
          <w:rPr>
            <w:rStyle w:val="Lienhypertexte"/>
            <w:rFonts w:eastAsiaTheme="minorHAnsi" w:cs="ArialMT"/>
            <w:lang w:eastAsia="en-US"/>
          </w:rPr>
          <w:t>https://www.economie.gouv.fr/daj/formulaires-declaration-du-candidat</w:t>
        </w:r>
      </w:hyperlink>
    </w:p>
    <w:p w14:paraId="52DA75BA" w14:textId="77777777" w:rsidR="00055B27" w:rsidRDefault="00055B27" w:rsidP="007B40F1">
      <w:pPr>
        <w:autoSpaceDE w:val="0"/>
        <w:autoSpaceDN w:val="0"/>
        <w:adjustRightInd w:val="0"/>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1E344E7"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26D70DB6"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2335D703"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63864409" w14:textId="77777777" w:rsidR="003B35C3" w:rsidRDefault="00027BE3" w:rsidP="0026577E">
      <w:r>
        <w:t>Si la BnF constate, avant de procéder à l’examen des candidatures, que les pièces dont la production était réclamée</w:t>
      </w:r>
      <w:r w:rsidR="0098192E">
        <w:t xml:space="preserve"> à l’article </w:t>
      </w:r>
      <w:r w:rsidR="0045292C">
        <w:t>5</w:t>
      </w:r>
      <w:r>
        <w:t xml:space="preserve"> sont </w:t>
      </w:r>
      <w:r w:rsidR="003B35C3">
        <w:t xml:space="preserve">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30ED0515"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0FE8BB1E" w14:textId="77777777" w:rsidR="003B35C3" w:rsidRDefault="003B35C3" w:rsidP="0026577E">
      <w:r>
        <w:t>Les candidatures sont appréciées au regard de la capacité professionnelle</w:t>
      </w:r>
      <w:r w:rsidR="000E4D84">
        <w:t>,</w:t>
      </w:r>
      <w:r>
        <w:t xml:space="preserve"> technique et financière du candidat.</w:t>
      </w:r>
    </w:p>
    <w:p w14:paraId="6E5F221F" w14:textId="77777777" w:rsidR="005316D6" w:rsidRPr="005316D6" w:rsidRDefault="0026577E" w:rsidP="005316D6">
      <w:pPr>
        <w:rPr>
          <w:color w:val="FF0000"/>
        </w:rPr>
      </w:pPr>
      <w:r w:rsidRPr="008504FB">
        <w:t>Ne seront pas admises les candidatures qui ne présentent pas les capacités professionnelles, techniques et financières suffisantes au regard des capacités nécessaires pour la réalisation des prestations demandées.</w:t>
      </w:r>
      <w:r w:rsidR="005316D6">
        <w:t xml:space="preserve"> </w:t>
      </w:r>
    </w:p>
    <w:p w14:paraId="52ACF041"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4F89C428" w14:textId="77777777" w:rsidR="0026577E" w:rsidRDefault="00101396" w:rsidP="0026577E">
      <w:r>
        <w:t xml:space="preserve">Pour les deux lots, le </w:t>
      </w:r>
      <w:r w:rsidR="0026577E" w:rsidRPr="008504FB">
        <w:t>jugement des offres sera effectué sur la base des critères mentionnés ci-après. La BnF retiendra l’offre économiquement la plus avantageuse présentant le meilleur rapport qualité-prix.</w:t>
      </w:r>
    </w:p>
    <w:p w14:paraId="73370480" w14:textId="0DD2819D" w:rsidR="008420FE" w:rsidRDefault="008420FE">
      <w:pPr>
        <w:spacing w:before="0" w:after="200" w:line="276" w:lineRule="auto"/>
        <w:jc w:val="left"/>
      </w:pPr>
      <w:r>
        <w:br w:type="page"/>
      </w:r>
    </w:p>
    <w:p w14:paraId="5FC32020" w14:textId="77777777" w:rsidR="00ED2025" w:rsidRDefault="00ED2025" w:rsidP="0026577E"/>
    <w:tbl>
      <w:tblPr>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080"/>
      </w:tblGrid>
      <w:tr w:rsidR="0026577E" w:rsidRPr="008504FB" w14:paraId="2FEDB567" w14:textId="77777777" w:rsidTr="007B40F1">
        <w:tc>
          <w:tcPr>
            <w:tcW w:w="8080" w:type="dxa"/>
            <w:shd w:val="clear" w:color="auto" w:fill="DAEEF3" w:themeFill="accent5" w:themeFillTint="33"/>
          </w:tcPr>
          <w:p w14:paraId="63EDAC09"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Pr="0045292C">
              <w:rPr>
                <w:rFonts w:eastAsia="Arimo"/>
                <w:b/>
                <w:color w:val="000000" w:themeColor="text1"/>
              </w:rPr>
              <w:t>50%</w:t>
            </w:r>
            <w:r w:rsidRPr="008504FB">
              <w:rPr>
                <w:rFonts w:eastAsia="Arimo"/>
                <w:b/>
                <w:color w:val="000000"/>
              </w:rPr>
              <w:t xml:space="preserve"> de la note globale)</w:t>
            </w:r>
          </w:p>
        </w:tc>
      </w:tr>
    </w:tbl>
    <w:p w14:paraId="4D550BFB" w14:textId="77777777" w:rsidR="0026577E" w:rsidRPr="008504FB" w:rsidRDefault="0053391D" w:rsidP="0026577E">
      <w:pPr>
        <w:jc w:val="left"/>
      </w:pPr>
      <w:r>
        <w:t>Pour le lot 1 et le lot 2, les critères sont les suivants :</w:t>
      </w:r>
    </w:p>
    <w:tbl>
      <w:tblPr>
        <w:tblW w:w="8080" w:type="dxa"/>
        <w:tblInd w:w="2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54"/>
        <w:gridCol w:w="2126"/>
      </w:tblGrid>
      <w:tr w:rsidR="0026577E" w:rsidRPr="008504FB" w14:paraId="211B338E" w14:textId="77777777" w:rsidTr="007B40F1">
        <w:tc>
          <w:tcPr>
            <w:tcW w:w="5954" w:type="dxa"/>
            <w:shd w:val="clear" w:color="auto" w:fill="auto"/>
            <w:tcMar>
              <w:top w:w="100" w:type="dxa"/>
              <w:left w:w="100" w:type="dxa"/>
              <w:bottom w:w="100" w:type="dxa"/>
              <w:right w:w="100" w:type="dxa"/>
            </w:tcMar>
          </w:tcPr>
          <w:p w14:paraId="52B974AC"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126" w:type="dxa"/>
            <w:shd w:val="clear" w:color="auto" w:fill="auto"/>
            <w:tcMar>
              <w:top w:w="100" w:type="dxa"/>
              <w:left w:w="100" w:type="dxa"/>
              <w:bottom w:w="100" w:type="dxa"/>
              <w:right w:w="100" w:type="dxa"/>
            </w:tcMar>
          </w:tcPr>
          <w:p w14:paraId="2FBDD82E" w14:textId="77777777" w:rsidR="0026577E" w:rsidRPr="008504FB" w:rsidRDefault="00467E6D" w:rsidP="00842B4A">
            <w:pPr>
              <w:widowControl w:val="0"/>
              <w:pBdr>
                <w:top w:val="nil"/>
                <w:left w:val="nil"/>
                <w:bottom w:val="nil"/>
                <w:right w:val="nil"/>
                <w:between w:val="nil"/>
              </w:pBdr>
              <w:jc w:val="center"/>
              <w:rPr>
                <w:b/>
              </w:rPr>
            </w:pPr>
            <w:r w:rsidRPr="008504FB">
              <w:rPr>
                <w:b/>
              </w:rPr>
              <w:t>Pondération</w:t>
            </w:r>
            <w:r w:rsidR="00A92CE1">
              <w:rPr>
                <w:b/>
              </w:rPr>
              <w:t xml:space="preserve"> sur</w:t>
            </w:r>
            <w:r w:rsidR="00014F0D">
              <w:rPr>
                <w:b/>
              </w:rPr>
              <w:t xml:space="preserve"> </w:t>
            </w:r>
            <w:r w:rsidR="00A92CE1">
              <w:rPr>
                <w:b/>
              </w:rPr>
              <w:t>100</w:t>
            </w:r>
          </w:p>
        </w:tc>
      </w:tr>
      <w:tr w:rsidR="0026577E" w:rsidRPr="008504FB" w14:paraId="617CEC0D" w14:textId="77777777" w:rsidTr="007B40F1">
        <w:tc>
          <w:tcPr>
            <w:tcW w:w="5954" w:type="dxa"/>
            <w:shd w:val="clear" w:color="auto" w:fill="auto"/>
            <w:tcMar>
              <w:top w:w="100" w:type="dxa"/>
              <w:left w:w="100" w:type="dxa"/>
              <w:bottom w:w="100" w:type="dxa"/>
              <w:right w:w="100" w:type="dxa"/>
            </w:tcMar>
            <w:vAlign w:val="center"/>
          </w:tcPr>
          <w:p w14:paraId="2B959612" w14:textId="77777777" w:rsidR="00101396" w:rsidRPr="00101396" w:rsidRDefault="0026577E" w:rsidP="00101396">
            <w:pPr>
              <w:widowControl w:val="0"/>
              <w:pBdr>
                <w:top w:val="nil"/>
                <w:left w:val="nil"/>
                <w:bottom w:val="nil"/>
                <w:right w:val="nil"/>
                <w:between w:val="nil"/>
              </w:pBdr>
              <w:jc w:val="left"/>
              <w:rPr>
                <w:rFonts w:ascii="Arial" w:hAnsi="Arial"/>
                <w:b/>
                <w:sz w:val="20"/>
                <w:shd w:val="clear" w:color="auto" w:fill="auto"/>
              </w:rPr>
            </w:pPr>
            <w:r w:rsidRPr="00101396">
              <w:rPr>
                <w:b/>
              </w:rPr>
              <w:t>Sous-critère n°1</w:t>
            </w:r>
            <w:r w:rsidR="00106660" w:rsidRPr="00101396">
              <w:rPr>
                <w:b/>
              </w:rPr>
              <w:t> : La couverture éditoriale</w:t>
            </w:r>
            <w:r w:rsidR="00101396" w:rsidRPr="00101396">
              <w:rPr>
                <w:rFonts w:ascii="Arial" w:hAnsi="Arial"/>
                <w:b/>
                <w:sz w:val="20"/>
                <w:shd w:val="clear" w:color="auto" w:fill="auto"/>
              </w:rPr>
              <w:t> </w:t>
            </w:r>
          </w:p>
          <w:p w14:paraId="24AAEEF5" w14:textId="77777777" w:rsidR="0026577E" w:rsidRPr="008504FB" w:rsidRDefault="00101396" w:rsidP="00101396">
            <w:pPr>
              <w:widowControl w:val="0"/>
              <w:pBdr>
                <w:top w:val="nil"/>
                <w:left w:val="nil"/>
                <w:bottom w:val="nil"/>
                <w:right w:val="nil"/>
                <w:between w:val="nil"/>
              </w:pBdr>
              <w:jc w:val="left"/>
            </w:pPr>
            <w:r w:rsidRPr="00101396">
              <w:rPr>
                <w:rFonts w:cs="Times New Roman"/>
                <w:szCs w:val="22"/>
                <w:shd w:val="clear" w:color="auto" w:fill="auto"/>
              </w:rPr>
              <w:t>Le candidat devra indiquer ses r</w:t>
            </w:r>
            <w:r w:rsidRPr="00101396">
              <w:rPr>
                <w:rFonts w:cs="Times New Roman"/>
                <w:szCs w:val="22"/>
              </w:rPr>
              <w:t>elations avec les éditeurs, le  nombre de comptes ouverts, les spécialisations éventuelles</w:t>
            </w:r>
            <w:r w:rsidRPr="00101396">
              <w:t>…</w:t>
            </w:r>
            <w:r>
              <w:t xml:space="preserve"> </w:t>
            </w:r>
          </w:p>
        </w:tc>
        <w:tc>
          <w:tcPr>
            <w:tcW w:w="2126" w:type="dxa"/>
            <w:shd w:val="clear" w:color="auto" w:fill="auto"/>
            <w:tcMar>
              <w:top w:w="100" w:type="dxa"/>
              <w:left w:w="100" w:type="dxa"/>
              <w:bottom w:w="100" w:type="dxa"/>
              <w:right w:w="100" w:type="dxa"/>
            </w:tcMar>
            <w:vAlign w:val="center"/>
          </w:tcPr>
          <w:p w14:paraId="4C9DEC3E" w14:textId="77777777" w:rsidR="0026577E" w:rsidRPr="008504FB" w:rsidRDefault="00106660" w:rsidP="00106660">
            <w:pPr>
              <w:widowControl w:val="0"/>
              <w:pBdr>
                <w:top w:val="nil"/>
                <w:left w:val="nil"/>
                <w:bottom w:val="nil"/>
                <w:right w:val="nil"/>
                <w:between w:val="nil"/>
              </w:pBdr>
              <w:jc w:val="center"/>
            </w:pPr>
            <w:r>
              <w:t>25</w:t>
            </w:r>
            <w:r w:rsidR="00A85903" w:rsidRPr="00A85903">
              <w:t>%</w:t>
            </w:r>
          </w:p>
        </w:tc>
      </w:tr>
      <w:tr w:rsidR="0026577E" w:rsidRPr="008504FB" w14:paraId="13603329" w14:textId="77777777" w:rsidTr="007B40F1">
        <w:tc>
          <w:tcPr>
            <w:tcW w:w="5954" w:type="dxa"/>
            <w:shd w:val="clear" w:color="auto" w:fill="auto"/>
            <w:tcMar>
              <w:top w:w="100" w:type="dxa"/>
              <w:left w:w="100" w:type="dxa"/>
              <w:bottom w:w="100" w:type="dxa"/>
              <w:right w:w="100" w:type="dxa"/>
            </w:tcMar>
            <w:vAlign w:val="center"/>
          </w:tcPr>
          <w:p w14:paraId="10788D49" w14:textId="77777777" w:rsidR="00101396" w:rsidRPr="00101396" w:rsidRDefault="0026577E" w:rsidP="00101396">
            <w:pPr>
              <w:widowControl w:val="0"/>
              <w:jc w:val="left"/>
              <w:rPr>
                <w:b/>
              </w:rPr>
            </w:pPr>
            <w:r w:rsidRPr="00101396">
              <w:rPr>
                <w:b/>
              </w:rPr>
              <w:t xml:space="preserve">Sous-critère n°2 : </w:t>
            </w:r>
            <w:r w:rsidR="00106660" w:rsidRPr="00101396">
              <w:rPr>
                <w:b/>
              </w:rPr>
              <w:t xml:space="preserve">Le </w:t>
            </w:r>
            <w:r w:rsidR="00101396" w:rsidRPr="00101396">
              <w:rPr>
                <w:b/>
              </w:rPr>
              <w:t xml:space="preserve">processus de </w:t>
            </w:r>
            <w:r w:rsidR="00106660" w:rsidRPr="00101396">
              <w:rPr>
                <w:b/>
              </w:rPr>
              <w:t>traitement des commandes</w:t>
            </w:r>
          </w:p>
          <w:p w14:paraId="7BD0E5D5" w14:textId="77777777" w:rsidR="00101396" w:rsidRPr="00101396" w:rsidRDefault="00101396" w:rsidP="00101396">
            <w:pPr>
              <w:widowControl w:val="0"/>
              <w:jc w:val="left"/>
            </w:pPr>
            <w:r w:rsidRPr="00101396">
              <w:t>Le candidat devra décrire avec précision les moyens mis à disposition de la BnF pour préparer et suivre une commande :</w:t>
            </w:r>
          </w:p>
          <w:p w14:paraId="180E250D" w14:textId="77777777" w:rsidR="00101396" w:rsidRPr="00101396" w:rsidRDefault="00101396" w:rsidP="00101396">
            <w:pPr>
              <w:widowControl w:val="0"/>
              <w:jc w:val="left"/>
            </w:pPr>
            <w:r w:rsidRPr="00101396">
              <w:t>•</w:t>
            </w:r>
            <w:r w:rsidRPr="00101396">
              <w:tab/>
              <w:t>outils bibliographiques : bases de données, notamment en ligne (en les citant), catalogues de libraires et d’éditeurs ;</w:t>
            </w:r>
          </w:p>
          <w:p w14:paraId="71B0232F" w14:textId="77777777" w:rsidR="00101396" w:rsidRPr="00101396" w:rsidRDefault="00101396" w:rsidP="00101396">
            <w:pPr>
              <w:widowControl w:val="0"/>
              <w:jc w:val="left"/>
            </w:pPr>
            <w:r w:rsidRPr="00101396">
              <w:t>•</w:t>
            </w:r>
            <w:r w:rsidRPr="00101396">
              <w:tab/>
              <w:t>fourniture d’informations bibliographiques (nouveautés, thématiques…) ;</w:t>
            </w:r>
          </w:p>
          <w:p w14:paraId="0D42BC83" w14:textId="77777777" w:rsidR="00101396" w:rsidRPr="00101396" w:rsidRDefault="00101396" w:rsidP="00101396">
            <w:pPr>
              <w:widowControl w:val="0"/>
              <w:jc w:val="left"/>
            </w:pPr>
            <w:r w:rsidRPr="00101396">
              <w:t>•</w:t>
            </w:r>
            <w:r w:rsidRPr="00101396">
              <w:tab/>
              <w:t>recherche spécifique ;</w:t>
            </w:r>
          </w:p>
          <w:p w14:paraId="54469992" w14:textId="77777777" w:rsidR="0026577E" w:rsidRPr="008504FB" w:rsidRDefault="00101396" w:rsidP="00101396">
            <w:pPr>
              <w:widowControl w:val="0"/>
              <w:jc w:val="left"/>
            </w:pPr>
            <w:r w:rsidRPr="00101396">
              <w:t>•</w:t>
            </w:r>
            <w:r w:rsidRPr="00101396">
              <w:tab/>
              <w:t xml:space="preserve">outils de gestion consultables à distance (état d’avancement de la commande, état des indisponibilités). </w:t>
            </w:r>
          </w:p>
        </w:tc>
        <w:tc>
          <w:tcPr>
            <w:tcW w:w="2126" w:type="dxa"/>
            <w:shd w:val="clear" w:color="auto" w:fill="auto"/>
            <w:tcMar>
              <w:top w:w="100" w:type="dxa"/>
              <w:left w:w="100" w:type="dxa"/>
              <w:bottom w:w="100" w:type="dxa"/>
              <w:right w:w="100" w:type="dxa"/>
            </w:tcMar>
            <w:vAlign w:val="center"/>
          </w:tcPr>
          <w:p w14:paraId="337E67C8" w14:textId="77777777" w:rsidR="0026577E" w:rsidRPr="008504FB" w:rsidRDefault="00106660" w:rsidP="00106660">
            <w:pPr>
              <w:widowControl w:val="0"/>
              <w:pBdr>
                <w:top w:val="nil"/>
                <w:left w:val="nil"/>
                <w:bottom w:val="nil"/>
                <w:right w:val="nil"/>
                <w:between w:val="nil"/>
              </w:pBdr>
              <w:jc w:val="center"/>
            </w:pPr>
            <w:r>
              <w:t>25</w:t>
            </w:r>
            <w:r w:rsidR="00A85903" w:rsidRPr="00A85903">
              <w:t>%</w:t>
            </w:r>
          </w:p>
        </w:tc>
      </w:tr>
      <w:tr w:rsidR="0026577E" w:rsidRPr="008504FB" w14:paraId="4A7FE9C0" w14:textId="77777777" w:rsidTr="007B40F1">
        <w:tc>
          <w:tcPr>
            <w:tcW w:w="5954" w:type="dxa"/>
            <w:shd w:val="clear" w:color="auto" w:fill="auto"/>
            <w:tcMar>
              <w:top w:w="100" w:type="dxa"/>
              <w:left w:w="100" w:type="dxa"/>
              <w:bottom w:w="100" w:type="dxa"/>
              <w:right w:w="100" w:type="dxa"/>
            </w:tcMar>
            <w:vAlign w:val="center"/>
          </w:tcPr>
          <w:p w14:paraId="6C9754A7" w14:textId="77777777" w:rsidR="00101396" w:rsidRPr="00101396" w:rsidRDefault="0026577E" w:rsidP="00106660">
            <w:pPr>
              <w:widowControl w:val="0"/>
              <w:jc w:val="left"/>
              <w:rPr>
                <w:b/>
              </w:rPr>
            </w:pPr>
            <w:bookmarkStart w:id="2" w:name="_Hlk183191215"/>
            <w:r w:rsidRPr="00101396">
              <w:rPr>
                <w:b/>
              </w:rPr>
              <w:t xml:space="preserve">Sous-critère n°3 : </w:t>
            </w:r>
            <w:r w:rsidR="00106660" w:rsidRPr="00101396">
              <w:rPr>
                <w:b/>
              </w:rPr>
              <w:t>La livraison des ouvrages</w:t>
            </w:r>
          </w:p>
          <w:p w14:paraId="049783AE" w14:textId="671D9DC2" w:rsidR="00101396" w:rsidRPr="00101396" w:rsidRDefault="00101396" w:rsidP="00101396">
            <w:pPr>
              <w:widowControl w:val="0"/>
              <w:jc w:val="left"/>
            </w:pPr>
            <w:r>
              <w:t xml:space="preserve">Le </w:t>
            </w:r>
            <w:r w:rsidRPr="00101396">
              <w:t>candidat devra donner les éléments de son organisation relative à la livraison</w:t>
            </w:r>
            <w:r w:rsidR="008420FE">
              <w:t>, notamment</w:t>
            </w:r>
            <w:r w:rsidRPr="00101396">
              <w:t xml:space="preserve"> :</w:t>
            </w:r>
          </w:p>
          <w:p w14:paraId="43A36B2D" w14:textId="77777777" w:rsidR="00101396" w:rsidRPr="00101396" w:rsidRDefault="00101396" w:rsidP="00101396">
            <w:pPr>
              <w:widowControl w:val="0"/>
              <w:jc w:val="left"/>
            </w:pPr>
            <w:r w:rsidRPr="00101396">
              <w:t>•</w:t>
            </w:r>
            <w:r w:rsidRPr="00101396">
              <w:tab/>
              <w:t>rythme prévu pour les livraisons ;</w:t>
            </w:r>
          </w:p>
          <w:p w14:paraId="6F536354" w14:textId="77777777" w:rsidR="00101396" w:rsidRPr="00101396" w:rsidRDefault="00101396" w:rsidP="00101396">
            <w:pPr>
              <w:widowControl w:val="0"/>
              <w:jc w:val="left"/>
            </w:pPr>
            <w:r w:rsidRPr="00101396">
              <w:t>•</w:t>
            </w:r>
            <w:r w:rsidRPr="00101396">
              <w:tab/>
              <w:t>description des méthodes de conditionnement des ouvrages (poids des colis, emballage…) ;</w:t>
            </w:r>
          </w:p>
          <w:p w14:paraId="6D168061" w14:textId="77777777" w:rsidR="0026577E" w:rsidRPr="008504FB" w:rsidRDefault="00101396" w:rsidP="00101396">
            <w:pPr>
              <w:widowControl w:val="0"/>
              <w:jc w:val="left"/>
            </w:pPr>
            <w:r w:rsidRPr="00101396">
              <w:t>•</w:t>
            </w:r>
            <w:r w:rsidRPr="00101396">
              <w:tab/>
              <w:t>modalités de transmission des fichiers numériques (courriel, serveur FTP…).</w:t>
            </w:r>
          </w:p>
        </w:tc>
        <w:tc>
          <w:tcPr>
            <w:tcW w:w="2126" w:type="dxa"/>
            <w:shd w:val="clear" w:color="auto" w:fill="auto"/>
            <w:tcMar>
              <w:top w:w="100" w:type="dxa"/>
              <w:left w:w="100" w:type="dxa"/>
              <w:bottom w:w="100" w:type="dxa"/>
              <w:right w:w="100" w:type="dxa"/>
            </w:tcMar>
            <w:vAlign w:val="center"/>
          </w:tcPr>
          <w:p w14:paraId="1347F49D" w14:textId="77777777" w:rsidR="0026577E" w:rsidRPr="008504FB" w:rsidRDefault="0045292C" w:rsidP="00106660">
            <w:pPr>
              <w:widowControl w:val="0"/>
              <w:pBdr>
                <w:top w:val="nil"/>
                <w:left w:val="nil"/>
                <w:bottom w:val="nil"/>
                <w:right w:val="nil"/>
                <w:between w:val="nil"/>
              </w:pBdr>
              <w:jc w:val="center"/>
            </w:pPr>
            <w:r>
              <w:t>1</w:t>
            </w:r>
            <w:r w:rsidR="00106660">
              <w:t>5</w:t>
            </w:r>
            <w:r w:rsidR="00A85903" w:rsidRPr="00A85903">
              <w:t>%</w:t>
            </w:r>
          </w:p>
        </w:tc>
      </w:tr>
      <w:tr w:rsidR="0026577E" w:rsidRPr="008504FB" w14:paraId="29201BFE" w14:textId="77777777" w:rsidTr="007B40F1">
        <w:tc>
          <w:tcPr>
            <w:tcW w:w="5954" w:type="dxa"/>
            <w:shd w:val="clear" w:color="auto" w:fill="auto"/>
            <w:tcMar>
              <w:top w:w="100" w:type="dxa"/>
              <w:left w:w="100" w:type="dxa"/>
              <w:bottom w:w="100" w:type="dxa"/>
              <w:right w:w="100" w:type="dxa"/>
            </w:tcMar>
            <w:vAlign w:val="center"/>
          </w:tcPr>
          <w:p w14:paraId="283745DD" w14:textId="77777777" w:rsidR="0026577E" w:rsidRPr="00101396" w:rsidRDefault="0026577E" w:rsidP="00106660">
            <w:pPr>
              <w:widowControl w:val="0"/>
              <w:jc w:val="left"/>
              <w:rPr>
                <w:b/>
              </w:rPr>
            </w:pPr>
            <w:r w:rsidRPr="00101396">
              <w:rPr>
                <w:b/>
              </w:rPr>
              <w:t xml:space="preserve">Sous-critère n°4 : </w:t>
            </w:r>
            <w:r w:rsidR="00106660" w:rsidRPr="00101396">
              <w:rPr>
                <w:b/>
              </w:rPr>
              <w:t>Les réclamations</w:t>
            </w:r>
          </w:p>
          <w:p w14:paraId="6B800454" w14:textId="77777777" w:rsidR="00101396" w:rsidRPr="00101396" w:rsidRDefault="00101396" w:rsidP="00101396">
            <w:pPr>
              <w:widowControl w:val="0"/>
              <w:jc w:val="left"/>
            </w:pPr>
            <w:r w:rsidRPr="00101396">
              <w:t xml:space="preserve">Le candidat devra préciser les moyens mis en place pour le suivi des réclamations (courrier, téléphone, messagerie électronique, accès à un outil de gestion) et ses délais de réaction. </w:t>
            </w:r>
          </w:p>
          <w:p w14:paraId="2932EA93" w14:textId="77777777" w:rsidR="00101396" w:rsidRPr="008504FB" w:rsidRDefault="00101396" w:rsidP="00101396">
            <w:pPr>
              <w:widowControl w:val="0"/>
              <w:jc w:val="left"/>
            </w:pPr>
            <w:r w:rsidRPr="00101396">
              <w:t>Le candidat devra également préciser les modalités de retour des ouvrages défectueux ou non-conformes à la commande.</w:t>
            </w:r>
          </w:p>
        </w:tc>
        <w:tc>
          <w:tcPr>
            <w:tcW w:w="2126" w:type="dxa"/>
            <w:shd w:val="clear" w:color="auto" w:fill="auto"/>
            <w:tcMar>
              <w:top w:w="100" w:type="dxa"/>
              <w:left w:w="100" w:type="dxa"/>
              <w:bottom w:w="100" w:type="dxa"/>
              <w:right w:w="100" w:type="dxa"/>
            </w:tcMar>
            <w:vAlign w:val="center"/>
          </w:tcPr>
          <w:p w14:paraId="215DDE26" w14:textId="77777777" w:rsidR="0026577E" w:rsidRPr="008504FB" w:rsidRDefault="0045292C" w:rsidP="00106660">
            <w:pPr>
              <w:widowControl w:val="0"/>
              <w:pBdr>
                <w:top w:val="nil"/>
                <w:left w:val="nil"/>
                <w:bottom w:val="nil"/>
                <w:right w:val="nil"/>
                <w:between w:val="nil"/>
              </w:pBdr>
              <w:jc w:val="center"/>
            </w:pPr>
            <w:r>
              <w:t>1</w:t>
            </w:r>
            <w:r w:rsidR="00106660">
              <w:t>5</w:t>
            </w:r>
            <w:r w:rsidR="00A85903" w:rsidRPr="00A85903">
              <w:t>%</w:t>
            </w:r>
          </w:p>
        </w:tc>
      </w:tr>
      <w:bookmarkEnd w:id="2"/>
      <w:tr w:rsidR="00106660" w:rsidRPr="008504FB" w14:paraId="2B2317C4" w14:textId="77777777" w:rsidTr="007B40F1">
        <w:tc>
          <w:tcPr>
            <w:tcW w:w="5954" w:type="dxa"/>
            <w:shd w:val="clear" w:color="auto" w:fill="auto"/>
            <w:tcMar>
              <w:top w:w="100" w:type="dxa"/>
              <w:left w:w="100" w:type="dxa"/>
              <w:bottom w:w="100" w:type="dxa"/>
              <w:right w:w="100" w:type="dxa"/>
            </w:tcMar>
            <w:vAlign w:val="center"/>
          </w:tcPr>
          <w:p w14:paraId="4FDE9DFD" w14:textId="77777777" w:rsidR="00106660" w:rsidRDefault="00106660" w:rsidP="00106660">
            <w:pPr>
              <w:widowControl w:val="0"/>
              <w:jc w:val="left"/>
              <w:rPr>
                <w:b/>
              </w:rPr>
            </w:pPr>
            <w:r w:rsidRPr="00101396">
              <w:rPr>
                <w:b/>
              </w:rPr>
              <w:t>Sous-critère n°5 : La facturation</w:t>
            </w:r>
          </w:p>
          <w:p w14:paraId="2A5FCE06" w14:textId="77777777" w:rsidR="00101396" w:rsidRPr="00101396" w:rsidRDefault="00101396" w:rsidP="00101396">
            <w:pPr>
              <w:widowControl w:val="0"/>
              <w:jc w:val="left"/>
            </w:pPr>
            <w:r w:rsidRPr="00101396">
              <w:t xml:space="preserve">Le candidat devra fournir le détail de la procédure de facturation </w:t>
            </w:r>
            <w:r w:rsidRPr="00101396">
              <w:lastRenderedPageBreak/>
              <w:t>et les moyens mis en œuvre pour satisfaire les demandes de la BnF relatives à la production de justificatifs (prix, motifs de non livraison</w:t>
            </w:r>
            <w:r>
              <w:t>).</w:t>
            </w:r>
          </w:p>
        </w:tc>
        <w:tc>
          <w:tcPr>
            <w:tcW w:w="2126" w:type="dxa"/>
            <w:shd w:val="clear" w:color="auto" w:fill="auto"/>
            <w:tcMar>
              <w:top w:w="100" w:type="dxa"/>
              <w:left w:w="100" w:type="dxa"/>
              <w:bottom w:w="100" w:type="dxa"/>
              <w:right w:w="100" w:type="dxa"/>
            </w:tcMar>
            <w:vAlign w:val="center"/>
          </w:tcPr>
          <w:p w14:paraId="386F9139" w14:textId="77777777" w:rsidR="00106660" w:rsidRDefault="00106660" w:rsidP="00106660">
            <w:pPr>
              <w:widowControl w:val="0"/>
              <w:pBdr>
                <w:top w:val="nil"/>
                <w:left w:val="nil"/>
                <w:bottom w:val="nil"/>
                <w:right w:val="nil"/>
                <w:between w:val="nil"/>
              </w:pBdr>
              <w:jc w:val="center"/>
            </w:pPr>
            <w:r>
              <w:lastRenderedPageBreak/>
              <w:t>10%</w:t>
            </w:r>
          </w:p>
        </w:tc>
      </w:tr>
      <w:tr w:rsidR="00106660" w:rsidRPr="008504FB" w14:paraId="31AAC99F" w14:textId="77777777" w:rsidTr="007B40F1">
        <w:tc>
          <w:tcPr>
            <w:tcW w:w="5954" w:type="dxa"/>
            <w:shd w:val="clear" w:color="auto" w:fill="auto"/>
            <w:tcMar>
              <w:top w:w="100" w:type="dxa"/>
              <w:left w:w="100" w:type="dxa"/>
              <w:bottom w:w="100" w:type="dxa"/>
              <w:right w:w="100" w:type="dxa"/>
            </w:tcMar>
            <w:vAlign w:val="center"/>
          </w:tcPr>
          <w:p w14:paraId="7C538ECB" w14:textId="77777777" w:rsidR="00106660" w:rsidRPr="00101396" w:rsidRDefault="00106660" w:rsidP="00106660">
            <w:pPr>
              <w:widowControl w:val="0"/>
              <w:jc w:val="left"/>
              <w:rPr>
                <w:b/>
              </w:rPr>
            </w:pPr>
            <w:r w:rsidRPr="00101396">
              <w:rPr>
                <w:b/>
              </w:rPr>
              <w:t>Sous-critère n°6 : Le développement durable</w:t>
            </w:r>
          </w:p>
          <w:p w14:paraId="2C9A04B9" w14:textId="2DB7DA39" w:rsidR="00802DF0" w:rsidRPr="00106660" w:rsidRDefault="00101396" w:rsidP="00331827">
            <w:pPr>
              <w:widowControl w:val="0"/>
              <w:jc w:val="left"/>
            </w:pPr>
            <w:r w:rsidRPr="00015CA0">
              <w:rPr>
                <w:color w:val="000000" w:themeColor="text1"/>
              </w:rPr>
              <w:t>Le candidat devra préciser les moyens qu’il compte mettre en œuvre dans le cadre d’une démarche écoresponsable</w:t>
            </w:r>
            <w:r w:rsidR="00015CA0" w:rsidRPr="00015CA0">
              <w:rPr>
                <w:color w:val="000000" w:themeColor="text1"/>
              </w:rPr>
              <w:t xml:space="preserve"> notamment l’emballage et le conditionnement des ouvrages livrés. Ainsi, i</w:t>
            </w:r>
            <w:r w:rsidR="0053391D" w:rsidRPr="00015CA0">
              <w:rPr>
                <w:color w:val="000000" w:themeColor="text1"/>
              </w:rPr>
              <w:t xml:space="preserve">l </w:t>
            </w:r>
            <w:r w:rsidR="00202173" w:rsidRPr="00015CA0">
              <w:rPr>
                <w:color w:val="000000" w:themeColor="text1"/>
              </w:rPr>
              <w:t>sera évalué sur l’utilisation de matériaux recyclés</w:t>
            </w:r>
            <w:r w:rsidR="002E2D3B">
              <w:rPr>
                <w:color w:val="000000" w:themeColor="text1"/>
              </w:rPr>
              <w:t>, recyclables</w:t>
            </w:r>
            <w:r w:rsidR="00202173" w:rsidRPr="00015CA0">
              <w:rPr>
                <w:color w:val="000000" w:themeColor="text1"/>
              </w:rPr>
              <w:t xml:space="preserve"> </w:t>
            </w:r>
            <w:r w:rsidR="002E2D3B">
              <w:rPr>
                <w:color w:val="000000" w:themeColor="text1"/>
              </w:rPr>
              <w:t xml:space="preserve">ou de remploi </w:t>
            </w:r>
            <w:r w:rsidR="00202173" w:rsidRPr="00015CA0">
              <w:rPr>
                <w:color w:val="000000" w:themeColor="text1"/>
              </w:rPr>
              <w:t xml:space="preserve">pour le bourrage, l’utilisation de caisses </w:t>
            </w:r>
            <w:r w:rsidR="002E2D3B">
              <w:rPr>
                <w:color w:val="000000" w:themeColor="text1"/>
              </w:rPr>
              <w:t>réutilisables</w:t>
            </w:r>
            <w:r w:rsidR="002E2D3B" w:rsidRPr="00015CA0">
              <w:rPr>
                <w:color w:val="000000" w:themeColor="text1"/>
              </w:rPr>
              <w:t xml:space="preserve"> </w:t>
            </w:r>
            <w:r w:rsidR="00202173" w:rsidRPr="00015CA0">
              <w:rPr>
                <w:color w:val="000000" w:themeColor="text1"/>
              </w:rPr>
              <w:t xml:space="preserve">ou de cartons en </w:t>
            </w:r>
            <w:r w:rsidR="00015CA0" w:rsidRPr="00015CA0">
              <w:rPr>
                <w:color w:val="000000" w:themeColor="text1"/>
              </w:rPr>
              <w:t>matière</w:t>
            </w:r>
            <w:r w:rsidR="00202173" w:rsidRPr="00015CA0">
              <w:rPr>
                <w:color w:val="000000" w:themeColor="text1"/>
              </w:rPr>
              <w:t xml:space="preserve"> </w:t>
            </w:r>
            <w:r w:rsidR="00015CA0" w:rsidRPr="00015CA0">
              <w:rPr>
                <w:color w:val="000000" w:themeColor="text1"/>
              </w:rPr>
              <w:t>recyclable.</w:t>
            </w:r>
            <w:r w:rsidR="00202173" w:rsidRPr="00015CA0">
              <w:rPr>
                <w:color w:val="000000" w:themeColor="text1"/>
              </w:rPr>
              <w:t xml:space="preserve"> </w:t>
            </w:r>
            <w:r w:rsidR="00186664" w:rsidRPr="00186664">
              <w:rPr>
                <w:color w:val="000000" w:themeColor="text1"/>
              </w:rPr>
              <w:t>Il sera également évalué sur ses efforts pour limiter l’impact environnemental du transport des ouvrages</w:t>
            </w:r>
            <w:r w:rsidR="00186664">
              <w:rPr>
                <w:color w:val="000000" w:themeColor="text1"/>
              </w:rPr>
              <w:t>.</w:t>
            </w:r>
          </w:p>
        </w:tc>
        <w:tc>
          <w:tcPr>
            <w:tcW w:w="2126" w:type="dxa"/>
            <w:shd w:val="clear" w:color="auto" w:fill="auto"/>
            <w:tcMar>
              <w:top w:w="100" w:type="dxa"/>
              <w:left w:w="100" w:type="dxa"/>
              <w:bottom w:w="100" w:type="dxa"/>
              <w:right w:w="100" w:type="dxa"/>
            </w:tcMar>
            <w:vAlign w:val="center"/>
          </w:tcPr>
          <w:p w14:paraId="2BB3F42A" w14:textId="77777777" w:rsidR="00106660" w:rsidRDefault="00106660" w:rsidP="00106660">
            <w:pPr>
              <w:widowControl w:val="0"/>
              <w:pBdr>
                <w:top w:val="nil"/>
                <w:left w:val="nil"/>
                <w:bottom w:val="nil"/>
                <w:right w:val="nil"/>
                <w:between w:val="nil"/>
              </w:pBdr>
              <w:jc w:val="center"/>
            </w:pPr>
            <w:r>
              <w:t>10%</w:t>
            </w:r>
          </w:p>
        </w:tc>
      </w:tr>
    </w:tbl>
    <w:p w14:paraId="0005B4DA" w14:textId="77777777" w:rsidR="0026577E" w:rsidRPr="008504FB" w:rsidRDefault="0026577E" w:rsidP="0026577E">
      <w:pPr>
        <w:jc w:val="left"/>
      </w:pPr>
    </w:p>
    <w:tbl>
      <w:tblPr>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080"/>
      </w:tblGrid>
      <w:tr w:rsidR="0026577E" w:rsidRPr="00363203" w14:paraId="3E4FE282" w14:textId="77777777" w:rsidTr="007B40F1">
        <w:tc>
          <w:tcPr>
            <w:tcW w:w="8080" w:type="dxa"/>
            <w:shd w:val="clear" w:color="auto" w:fill="DAEEF3" w:themeFill="accent5" w:themeFillTint="33"/>
          </w:tcPr>
          <w:p w14:paraId="75F7CBBC" w14:textId="77777777" w:rsidR="0026577E" w:rsidRPr="00824FB3"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24FB3">
              <w:rPr>
                <w:rFonts w:eastAsia="Arimo"/>
                <w:b/>
                <w:color w:val="000000"/>
              </w:rPr>
              <w:t>CRITERE 2 : PRIX (</w:t>
            </w:r>
            <w:r w:rsidRPr="00824FB3">
              <w:rPr>
                <w:rFonts w:eastAsia="Arimo"/>
                <w:b/>
                <w:color w:val="000000" w:themeColor="text1"/>
              </w:rPr>
              <w:t>50</w:t>
            </w:r>
            <w:r w:rsidRPr="00824FB3">
              <w:rPr>
                <w:rFonts w:eastAsia="Arimo"/>
                <w:b/>
                <w:color w:val="000000"/>
              </w:rPr>
              <w:t>% de la note globale)</w:t>
            </w:r>
          </w:p>
        </w:tc>
      </w:tr>
    </w:tbl>
    <w:p w14:paraId="19B17C8E" w14:textId="77777777" w:rsidR="00106660" w:rsidRDefault="0053391D" w:rsidP="00106660">
      <w:pPr>
        <w:rPr>
          <w:color w:val="000000" w:themeColor="text1"/>
        </w:rPr>
      </w:pPr>
      <w:r>
        <w:rPr>
          <w:color w:val="000000" w:themeColor="text1"/>
        </w:rPr>
        <w:t xml:space="preserve">Pour le lot 1, </w:t>
      </w:r>
      <w:bookmarkStart w:id="3" w:name="_Hlk183191354"/>
      <w:r>
        <w:rPr>
          <w:color w:val="000000" w:themeColor="text1"/>
        </w:rPr>
        <w:t>l</w:t>
      </w:r>
      <w:r w:rsidR="00106660" w:rsidRPr="00101396">
        <w:rPr>
          <w:color w:val="000000" w:themeColor="text1"/>
        </w:rPr>
        <w:t>e prix sera apprécié au regard du taux de remise unique ou du coefficient de majoration mentionné dans l’acte d’engagement</w:t>
      </w:r>
      <w:r>
        <w:rPr>
          <w:color w:val="000000" w:themeColor="text1"/>
        </w:rPr>
        <w:t>.</w:t>
      </w:r>
    </w:p>
    <w:bookmarkEnd w:id="3"/>
    <w:p w14:paraId="49041992" w14:textId="77777777" w:rsidR="0053391D" w:rsidRDefault="0053391D" w:rsidP="00106660">
      <w:pPr>
        <w:rPr>
          <w:color w:val="000000" w:themeColor="text1"/>
        </w:rPr>
      </w:pPr>
    </w:p>
    <w:p w14:paraId="3D55C28B" w14:textId="6B90FE64" w:rsidR="0053391D" w:rsidRDefault="0053391D" w:rsidP="00106660">
      <w:pPr>
        <w:rPr>
          <w:color w:val="000000" w:themeColor="text1"/>
        </w:rPr>
      </w:pPr>
      <w:r>
        <w:rPr>
          <w:color w:val="000000" w:themeColor="text1"/>
        </w:rPr>
        <w:t xml:space="preserve">Pour le lot 2, </w:t>
      </w:r>
      <w:r w:rsidRPr="0053391D">
        <w:rPr>
          <w:color w:val="000000" w:themeColor="text1"/>
        </w:rPr>
        <w:t>le prix sera apprécié au regard du taux de remise</w:t>
      </w:r>
      <w:r w:rsidR="008420FE">
        <w:rPr>
          <w:color w:val="000000" w:themeColor="text1"/>
        </w:rPr>
        <w:t xml:space="preserve"> </w:t>
      </w:r>
      <w:r w:rsidR="00186664">
        <w:rPr>
          <w:color w:val="000000" w:themeColor="text1"/>
        </w:rPr>
        <w:t>unique</w:t>
      </w:r>
      <w:r w:rsidRPr="0053391D">
        <w:rPr>
          <w:color w:val="000000" w:themeColor="text1"/>
        </w:rPr>
        <w:t xml:space="preserve"> </w:t>
      </w:r>
      <w:r>
        <w:rPr>
          <w:color w:val="000000" w:themeColor="text1"/>
        </w:rPr>
        <w:t xml:space="preserve">et </w:t>
      </w:r>
      <w:r w:rsidRPr="0053391D">
        <w:rPr>
          <w:color w:val="000000" w:themeColor="text1"/>
        </w:rPr>
        <w:t>du coefficient de majoration</w:t>
      </w:r>
      <w:r w:rsidR="00F77F5B">
        <w:rPr>
          <w:color w:val="000000" w:themeColor="text1"/>
        </w:rPr>
        <w:t xml:space="preserve"> pour les ouvrages et documents ne pouvant donner lieu à l’application d’une remise,</w:t>
      </w:r>
      <w:r w:rsidRPr="0053391D">
        <w:rPr>
          <w:color w:val="000000" w:themeColor="text1"/>
        </w:rPr>
        <w:t xml:space="preserve"> mentionné</w:t>
      </w:r>
      <w:r>
        <w:rPr>
          <w:color w:val="000000" w:themeColor="text1"/>
        </w:rPr>
        <w:t>s</w:t>
      </w:r>
      <w:r w:rsidRPr="0053391D">
        <w:rPr>
          <w:color w:val="000000" w:themeColor="text1"/>
        </w:rPr>
        <w:t xml:space="preserve"> dans l’acte d’engagement</w:t>
      </w:r>
      <w:r w:rsidR="00F77F5B">
        <w:rPr>
          <w:color w:val="000000" w:themeColor="text1"/>
        </w:rPr>
        <w:t>,</w:t>
      </w:r>
      <w:r>
        <w:rPr>
          <w:color w:val="000000" w:themeColor="text1"/>
        </w:rPr>
        <w:t xml:space="preserve"> selon la pondération suivante :  </w:t>
      </w:r>
    </w:p>
    <w:p w14:paraId="347C3738" w14:textId="77777777" w:rsidR="00C707F1" w:rsidRDefault="00C707F1" w:rsidP="00106660">
      <w:pPr>
        <w:rPr>
          <w:color w:val="000000" w:themeColor="text1"/>
        </w:rPr>
      </w:pPr>
    </w:p>
    <w:tbl>
      <w:tblPr>
        <w:tblW w:w="8080" w:type="dxa"/>
        <w:tblInd w:w="2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54"/>
        <w:gridCol w:w="2126"/>
      </w:tblGrid>
      <w:tr w:rsidR="0053391D" w:rsidRPr="0053391D" w14:paraId="2AA54EE7" w14:textId="77777777" w:rsidTr="00CB0108">
        <w:tc>
          <w:tcPr>
            <w:tcW w:w="5954" w:type="dxa"/>
            <w:shd w:val="clear" w:color="auto" w:fill="auto"/>
            <w:tcMar>
              <w:top w:w="100" w:type="dxa"/>
              <w:left w:w="100" w:type="dxa"/>
              <w:bottom w:w="100" w:type="dxa"/>
              <w:right w:w="100" w:type="dxa"/>
            </w:tcMar>
            <w:vAlign w:val="center"/>
          </w:tcPr>
          <w:p w14:paraId="1E15136F" w14:textId="77777777" w:rsidR="0053391D" w:rsidRPr="0053391D" w:rsidRDefault="0053391D" w:rsidP="0053391D">
            <w:pPr>
              <w:rPr>
                <w:color w:val="000000" w:themeColor="text1"/>
              </w:rPr>
            </w:pPr>
            <w:r>
              <w:rPr>
                <w:color w:val="000000" w:themeColor="text1"/>
              </w:rPr>
              <w:t xml:space="preserve">Taux de remise </w:t>
            </w:r>
          </w:p>
        </w:tc>
        <w:tc>
          <w:tcPr>
            <w:tcW w:w="2126" w:type="dxa"/>
            <w:shd w:val="clear" w:color="auto" w:fill="auto"/>
            <w:tcMar>
              <w:top w:w="100" w:type="dxa"/>
              <w:left w:w="100" w:type="dxa"/>
              <w:bottom w:w="100" w:type="dxa"/>
              <w:right w:w="100" w:type="dxa"/>
            </w:tcMar>
            <w:vAlign w:val="center"/>
          </w:tcPr>
          <w:p w14:paraId="299740FF" w14:textId="77777777" w:rsidR="0053391D" w:rsidRPr="0053391D" w:rsidRDefault="0053391D" w:rsidP="0053391D">
            <w:pPr>
              <w:jc w:val="center"/>
              <w:rPr>
                <w:color w:val="000000" w:themeColor="text1"/>
              </w:rPr>
            </w:pPr>
            <w:r>
              <w:rPr>
                <w:color w:val="000000" w:themeColor="text1"/>
              </w:rPr>
              <w:t>80</w:t>
            </w:r>
            <w:r w:rsidRPr="0053391D">
              <w:rPr>
                <w:color w:val="000000" w:themeColor="text1"/>
              </w:rPr>
              <w:t>%</w:t>
            </w:r>
          </w:p>
        </w:tc>
      </w:tr>
      <w:tr w:rsidR="0053391D" w:rsidRPr="0053391D" w14:paraId="199289BA" w14:textId="77777777" w:rsidTr="00CB0108">
        <w:tc>
          <w:tcPr>
            <w:tcW w:w="5954" w:type="dxa"/>
            <w:shd w:val="clear" w:color="auto" w:fill="auto"/>
            <w:tcMar>
              <w:top w:w="100" w:type="dxa"/>
              <w:left w:w="100" w:type="dxa"/>
              <w:bottom w:w="100" w:type="dxa"/>
              <w:right w:w="100" w:type="dxa"/>
            </w:tcMar>
            <w:vAlign w:val="center"/>
          </w:tcPr>
          <w:p w14:paraId="22D0CCB6" w14:textId="77777777" w:rsidR="0053391D" w:rsidRPr="0053391D" w:rsidRDefault="0053391D" w:rsidP="0053391D">
            <w:pPr>
              <w:rPr>
                <w:color w:val="000000" w:themeColor="text1"/>
              </w:rPr>
            </w:pPr>
            <w:r>
              <w:rPr>
                <w:color w:val="000000" w:themeColor="text1"/>
              </w:rPr>
              <w:t xml:space="preserve">Coefficient de majoration </w:t>
            </w:r>
          </w:p>
        </w:tc>
        <w:tc>
          <w:tcPr>
            <w:tcW w:w="2126" w:type="dxa"/>
            <w:shd w:val="clear" w:color="auto" w:fill="auto"/>
            <w:tcMar>
              <w:top w:w="100" w:type="dxa"/>
              <w:left w:w="100" w:type="dxa"/>
              <w:bottom w:w="100" w:type="dxa"/>
              <w:right w:w="100" w:type="dxa"/>
            </w:tcMar>
            <w:vAlign w:val="center"/>
          </w:tcPr>
          <w:p w14:paraId="3F4A1EF6" w14:textId="77777777" w:rsidR="0053391D" w:rsidRPr="0053391D" w:rsidRDefault="0053391D" w:rsidP="0053391D">
            <w:pPr>
              <w:jc w:val="center"/>
              <w:rPr>
                <w:color w:val="000000" w:themeColor="text1"/>
              </w:rPr>
            </w:pPr>
            <w:r>
              <w:rPr>
                <w:color w:val="000000" w:themeColor="text1"/>
              </w:rPr>
              <w:t>20</w:t>
            </w:r>
            <w:r w:rsidRPr="0053391D">
              <w:rPr>
                <w:color w:val="000000" w:themeColor="text1"/>
              </w:rPr>
              <w:t>%</w:t>
            </w:r>
          </w:p>
        </w:tc>
      </w:tr>
    </w:tbl>
    <w:p w14:paraId="25BA6D8D"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7C0990E9" w14:textId="77777777" w:rsidR="00082903" w:rsidRDefault="00082903" w:rsidP="00082903">
      <w:pPr>
        <w:pStyle w:val="Titre2"/>
        <w:rPr>
          <w:rFonts w:ascii="Times New Roman" w:hAnsi="Times New Roman"/>
        </w:rPr>
      </w:pPr>
      <w:bookmarkStart w:id="4" w:name="_heading=h.30j0zll" w:colFirst="0" w:colLast="0"/>
      <w:bookmarkEnd w:id="4"/>
      <w:r>
        <w:rPr>
          <w:rFonts w:ascii="Times New Roman" w:hAnsi="Times New Roman"/>
        </w:rPr>
        <w:t>Modalités de signature de l’offre</w:t>
      </w:r>
    </w:p>
    <w:p w14:paraId="160940EB" w14:textId="77777777" w:rsidR="00082903" w:rsidRDefault="00082903" w:rsidP="00082903">
      <w:pPr>
        <w:pStyle w:val="Titre3"/>
      </w:pPr>
      <w:r>
        <w:t xml:space="preserve">Signature électronique de l’offre </w:t>
      </w:r>
      <w:r w:rsidR="001C0E2D">
        <w:t>par l’attributaire</w:t>
      </w:r>
    </w:p>
    <w:p w14:paraId="7C0C3E06" w14:textId="77777777" w:rsidR="00082903" w:rsidRPr="00E44600" w:rsidRDefault="00082903" w:rsidP="003D7C3A">
      <w:pPr>
        <w:pBdr>
          <w:top w:val="nil"/>
          <w:left w:val="nil"/>
          <w:bottom w:val="nil"/>
          <w:right w:val="nil"/>
          <w:between w:val="nil"/>
        </w:pBdr>
        <w:spacing w:line="288" w:lineRule="auto"/>
      </w:pPr>
      <w:r>
        <w:t xml:space="preserve">Au sein de la BnF, les marchés seront désormais signés électroniquement. L’établissement s’est doté d’une solution de signature électronique qu’elle mettra à la disposition de l’attributaire du marché. </w:t>
      </w:r>
    </w:p>
    <w:p w14:paraId="7CB47765" w14:textId="77777777" w:rsidR="00082903" w:rsidRDefault="00082903" w:rsidP="003D7C3A">
      <w:pPr>
        <w:pBdr>
          <w:top w:val="nil"/>
          <w:left w:val="nil"/>
          <w:bottom w:val="nil"/>
          <w:right w:val="nil"/>
          <w:between w:val="nil"/>
        </w:pBdr>
        <w:spacing w:line="288" w:lineRule="auto"/>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32554A6A" w14:textId="77777777" w:rsidR="00082903" w:rsidRDefault="001C0E2D" w:rsidP="003D7C3A">
      <w:pPr>
        <w:pStyle w:val="Titre3"/>
      </w:pPr>
      <w:r>
        <w:t>Signature électronique du marché par la BnF</w:t>
      </w:r>
    </w:p>
    <w:p w14:paraId="0D148D91" w14:textId="77777777" w:rsidR="00082903" w:rsidRDefault="00082903" w:rsidP="003D7C3A">
      <w:pPr>
        <w:pBdr>
          <w:top w:val="nil"/>
          <w:left w:val="nil"/>
          <w:bottom w:val="nil"/>
          <w:right w:val="nil"/>
          <w:between w:val="nil"/>
        </w:pBdr>
        <w:spacing w:line="288" w:lineRule="auto"/>
      </w:pPr>
      <w:r>
        <w:t>Le délai minimal observé par la BnF pour signer les marchés passés selon la procédure formalisée est de 11 jours à compter de l’envoi du courrier de rejet.</w:t>
      </w:r>
    </w:p>
    <w:p w14:paraId="6887AAF9" w14:textId="77777777" w:rsidR="002F0C3E" w:rsidRPr="008504FB" w:rsidRDefault="002F0C3E" w:rsidP="002F0C3E">
      <w:pPr>
        <w:pStyle w:val="Titre2"/>
        <w:rPr>
          <w:rFonts w:ascii="Times New Roman" w:hAnsi="Times New Roman"/>
        </w:rPr>
      </w:pPr>
      <w:r w:rsidRPr="008504FB">
        <w:rPr>
          <w:rFonts w:ascii="Times New Roman" w:hAnsi="Times New Roman"/>
        </w:rPr>
        <w:lastRenderedPageBreak/>
        <w:t>Modalités de remise des plis par voie électronique</w:t>
      </w:r>
    </w:p>
    <w:p w14:paraId="37B6EE3F" w14:textId="77777777" w:rsidR="002F0C3E" w:rsidRPr="008504FB" w:rsidRDefault="002F0C3E" w:rsidP="001B7621">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7FDEADEA" w14:textId="77777777" w:rsidR="002F0C3E" w:rsidRPr="008504FB" w:rsidRDefault="002F0C3E" w:rsidP="001B7621">
      <w:pPr>
        <w:spacing w:line="288" w:lineRule="auto"/>
        <w:ind w:right="-2"/>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1CC2F1B5" w14:textId="77777777" w:rsidR="009E22C8" w:rsidRDefault="002F0C3E" w:rsidP="001B7621">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7DBF5E6E" w14:textId="77777777" w:rsidR="009E22C8" w:rsidRDefault="002F0C3E" w:rsidP="001B7621">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31968C36" w14:textId="77777777" w:rsidR="009E22C8" w:rsidRDefault="002F0C3E" w:rsidP="001B7621">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778DBCF8" w14:textId="77777777" w:rsidR="005D5E66" w:rsidRDefault="005D5E66" w:rsidP="001B7621">
      <w:pPr>
        <w:pBdr>
          <w:top w:val="nil"/>
          <w:left w:val="nil"/>
          <w:bottom w:val="nil"/>
          <w:right w:val="nil"/>
          <w:between w:val="nil"/>
        </w:pBdr>
        <w:spacing w:line="288" w:lineRule="auto"/>
        <w:ind w:right="-2"/>
      </w:pPr>
      <w:r>
        <w:t>En cas de difficultés, l</w:t>
      </w:r>
      <w:r w:rsidR="009E22C8">
        <w:t>es candidats trouveront sur l</w:t>
      </w:r>
      <w:r>
        <w:t>a plateforme PLACE</w:t>
      </w:r>
    </w:p>
    <w:p w14:paraId="13976FA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33A23EF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72557A04"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5436DCD2"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57C23762" w14:textId="77777777" w:rsidR="002F0C3E" w:rsidRPr="008504FB" w:rsidRDefault="002F0C3E" w:rsidP="001B7621">
      <w:pPr>
        <w:pBdr>
          <w:top w:val="nil"/>
          <w:left w:val="nil"/>
          <w:bottom w:val="nil"/>
          <w:right w:val="nil"/>
          <w:between w:val="nil"/>
        </w:pBdr>
        <w:spacing w:line="288" w:lineRule="auto"/>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50D3954C" w14:textId="77777777" w:rsidR="002F0C3E" w:rsidRPr="008504FB" w:rsidRDefault="002F0C3E" w:rsidP="001B7621">
      <w:pPr>
        <w:numPr>
          <w:ilvl w:val="0"/>
          <w:numId w:val="17"/>
        </w:numPr>
        <w:pBdr>
          <w:top w:val="nil"/>
          <w:left w:val="nil"/>
          <w:bottom w:val="nil"/>
          <w:right w:val="nil"/>
          <w:between w:val="nil"/>
        </w:pBdr>
        <w:spacing w:line="288" w:lineRule="auto"/>
        <w:ind w:hanging="357"/>
        <w:rPr>
          <w:color w:val="000000"/>
        </w:rPr>
      </w:pPr>
      <w:r w:rsidRPr="008504FB">
        <w:rPr>
          <w:color w:val="000000"/>
        </w:rPr>
        <w:t>les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6013779F" w14:textId="77777777" w:rsidR="002F0C3E" w:rsidRPr="008504FB" w:rsidRDefault="002F0C3E" w:rsidP="001B7621">
      <w:pPr>
        <w:numPr>
          <w:ilvl w:val="0"/>
          <w:numId w:val="17"/>
        </w:numPr>
        <w:pBdr>
          <w:top w:val="nil"/>
          <w:left w:val="nil"/>
          <w:bottom w:val="nil"/>
          <w:right w:val="nil"/>
          <w:between w:val="nil"/>
        </w:pBdr>
        <w:spacing w:line="288" w:lineRule="auto"/>
        <w:ind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65E107FE" w14:textId="77777777" w:rsidR="002F0C3E" w:rsidRPr="008504FB" w:rsidRDefault="002F0C3E" w:rsidP="001B7621">
      <w:pPr>
        <w:numPr>
          <w:ilvl w:val="0"/>
          <w:numId w:val="17"/>
        </w:numPr>
        <w:pBdr>
          <w:top w:val="nil"/>
          <w:left w:val="nil"/>
          <w:bottom w:val="nil"/>
          <w:right w:val="nil"/>
          <w:between w:val="nil"/>
        </w:pBdr>
        <w:spacing w:line="288" w:lineRule="auto"/>
        <w:ind w:hanging="357"/>
        <w:rPr>
          <w:color w:val="000000"/>
        </w:rPr>
      </w:pPr>
      <w:r w:rsidRPr="008504FB">
        <w:rPr>
          <w:color w:val="000000"/>
        </w:rPr>
        <w:t>ne pas utiliser certains outils, notamment les “macros” ;</w:t>
      </w:r>
    </w:p>
    <w:p w14:paraId="04FC976F" w14:textId="77777777" w:rsidR="002F0C3E" w:rsidRPr="008504FB" w:rsidRDefault="002F0C3E" w:rsidP="001B7621">
      <w:pPr>
        <w:numPr>
          <w:ilvl w:val="0"/>
          <w:numId w:val="17"/>
        </w:numPr>
        <w:pBdr>
          <w:top w:val="nil"/>
          <w:left w:val="nil"/>
          <w:bottom w:val="nil"/>
          <w:right w:val="nil"/>
          <w:between w:val="nil"/>
        </w:pBdr>
        <w:spacing w:line="288" w:lineRule="auto"/>
        <w:ind w:hanging="357"/>
        <w:rPr>
          <w:color w:val="000000"/>
        </w:rPr>
      </w:pPr>
      <w:r w:rsidRPr="008504FB">
        <w:rPr>
          <w:color w:val="000000"/>
        </w:rPr>
        <w:t>faire en sorte que l’offre ne soit pas trop volumineuse ;</w:t>
      </w:r>
    </w:p>
    <w:p w14:paraId="694A2FF9" w14:textId="77777777" w:rsidR="002F0C3E" w:rsidRPr="008504FB" w:rsidRDefault="00E44600" w:rsidP="001B7621">
      <w:pPr>
        <w:pBdr>
          <w:top w:val="nil"/>
          <w:left w:val="nil"/>
          <w:bottom w:val="nil"/>
          <w:right w:val="nil"/>
          <w:between w:val="nil"/>
        </w:pBdr>
        <w:spacing w:line="288" w:lineRule="auto"/>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5E1F5B91"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7408AA08" w14:textId="77777777" w:rsidR="0026577E" w:rsidRPr="008504FB" w:rsidRDefault="0026577E" w:rsidP="0026577E">
      <w:bookmarkStart w:id="5" w:name="_heading=h.1fob9te" w:colFirst="0" w:colLast="0"/>
      <w:bookmarkEnd w:id="5"/>
      <w:r w:rsidRPr="008504FB">
        <w:t>Le candidat peut envoyer une copie de sauvegarde sur support physique électronique (Clé USB).</w:t>
      </w:r>
    </w:p>
    <w:p w14:paraId="0B6FE561"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67355358" w14:textId="77777777" w:rsidTr="00467E6D">
        <w:tc>
          <w:tcPr>
            <w:tcW w:w="8714" w:type="dxa"/>
          </w:tcPr>
          <w:p w14:paraId="5EBF6013" w14:textId="77777777" w:rsidR="0026577E" w:rsidRPr="008504FB" w:rsidRDefault="0026577E" w:rsidP="00467E6D">
            <w:pPr>
              <w:jc w:val="center"/>
            </w:pPr>
            <w:r w:rsidRPr="008504FB">
              <w:t>COPIE DE SAUVEGARDE D’UNE OFFRE ELECTRONIQUE</w:t>
            </w:r>
          </w:p>
          <w:p w14:paraId="6ED5AEB0" w14:textId="77777777" w:rsidR="0026577E" w:rsidRPr="00EA3953" w:rsidRDefault="00106660" w:rsidP="00106660">
            <w:pPr>
              <w:jc w:val="center"/>
              <w:rPr>
                <w:color w:val="000000" w:themeColor="text1"/>
              </w:rPr>
            </w:pPr>
            <w:r w:rsidRPr="00106660">
              <w:rPr>
                <w:color w:val="000000" w:themeColor="text1"/>
              </w:rPr>
              <w:t>Fourniture de documentations professionnelles</w:t>
            </w:r>
            <w:r>
              <w:rPr>
                <w:color w:val="000000" w:themeColor="text1"/>
              </w:rPr>
              <w:t xml:space="preserve"> </w:t>
            </w:r>
            <w:r w:rsidRPr="00106660">
              <w:rPr>
                <w:color w:val="000000" w:themeColor="text1"/>
              </w:rPr>
              <w:t xml:space="preserve">à la Bibliothèque nationale de France </w:t>
            </w:r>
            <w:r w:rsidR="001B7621" w:rsidRPr="00106660">
              <w:rPr>
                <w:color w:val="000000" w:themeColor="text1"/>
              </w:rPr>
              <w:t>-</w:t>
            </w:r>
            <w:r w:rsidR="001B7621" w:rsidRPr="00EA3953">
              <w:rPr>
                <w:color w:val="000000" w:themeColor="text1"/>
              </w:rPr>
              <w:t xml:space="preserve"> CK </w:t>
            </w:r>
          </w:p>
          <w:p w14:paraId="169B8476" w14:textId="77777777" w:rsidR="0026577E" w:rsidRPr="008504FB" w:rsidRDefault="0026577E" w:rsidP="00467E6D">
            <w:pPr>
              <w:jc w:val="center"/>
              <w:rPr>
                <w:b/>
              </w:rPr>
            </w:pPr>
            <w:r w:rsidRPr="008504FB">
              <w:t>« NE PAS OUVRIR PAR LE SERVICE COURRIER »</w:t>
            </w:r>
          </w:p>
        </w:tc>
      </w:tr>
    </w:tbl>
    <w:p w14:paraId="03CB44D1" w14:textId="77777777" w:rsidR="0026577E" w:rsidRPr="008504FB" w:rsidRDefault="0026577E" w:rsidP="0026577E">
      <w:r w:rsidRPr="008504FB">
        <w:t>L’offre sera remise sous enveloppe portant l'adresse suivante :</w:t>
      </w:r>
    </w:p>
    <w:p w14:paraId="281BC458" w14:textId="77777777" w:rsidR="0026577E" w:rsidRPr="008504FB" w:rsidRDefault="0026577E" w:rsidP="001C0E2D">
      <w:pPr>
        <w:spacing w:after="0"/>
        <w:jc w:val="center"/>
      </w:pPr>
      <w:r w:rsidRPr="008504FB">
        <w:lastRenderedPageBreak/>
        <w:t>Bibliothèque nationale de France</w:t>
      </w:r>
    </w:p>
    <w:p w14:paraId="4C482335" w14:textId="77777777" w:rsidR="0026577E" w:rsidRPr="008504FB" w:rsidRDefault="0026577E" w:rsidP="001C0E2D">
      <w:pPr>
        <w:spacing w:before="0" w:after="0"/>
        <w:jc w:val="center"/>
      </w:pPr>
      <w:r w:rsidRPr="008504FB">
        <w:t>Direction de l’administration et du personnel</w:t>
      </w:r>
    </w:p>
    <w:p w14:paraId="067B8DC9" w14:textId="77777777" w:rsidR="0026577E" w:rsidRPr="008504FB" w:rsidRDefault="0026577E" w:rsidP="001C0E2D">
      <w:pPr>
        <w:spacing w:before="0" w:after="0"/>
        <w:jc w:val="center"/>
      </w:pPr>
      <w:r w:rsidRPr="008504FB">
        <w:t>Service des marchés -Tour des lettres T4 (niveau 6) Bureau 06.131</w:t>
      </w:r>
    </w:p>
    <w:p w14:paraId="4CFB1037" w14:textId="77777777" w:rsidR="0026577E" w:rsidRPr="008504FB" w:rsidRDefault="0026577E" w:rsidP="001C0E2D">
      <w:pPr>
        <w:spacing w:before="0" w:after="0"/>
        <w:jc w:val="center"/>
      </w:pPr>
      <w:r w:rsidRPr="008504FB">
        <w:t>Quai François Mauriac</w:t>
      </w:r>
    </w:p>
    <w:p w14:paraId="56A9F0A9" w14:textId="77777777" w:rsidR="0026577E" w:rsidRPr="008504FB" w:rsidRDefault="0026577E" w:rsidP="001C0E2D">
      <w:pPr>
        <w:spacing w:before="0" w:after="0"/>
        <w:jc w:val="center"/>
      </w:pPr>
      <w:r w:rsidRPr="008504FB">
        <w:t>75706 Paris cedex 13</w:t>
      </w:r>
    </w:p>
    <w:p w14:paraId="508265B3"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358469D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33DDCAA1"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5EB354AF"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20C4A162" w14:textId="77777777" w:rsidR="003B35C3" w:rsidRPr="008504FB" w:rsidRDefault="003B35C3" w:rsidP="003B35C3">
      <w:r w:rsidRPr="008504FB">
        <w:t>Vis-à-vis des traitements de données à caractère personnel précités, la BnF a la qualité de responsable de traitement au sens du RGPD.</w:t>
      </w:r>
    </w:p>
    <w:p w14:paraId="326FDDFB"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08A3B490"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0B52ABA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7D8F764F"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03BABCB3"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2DE5C637"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62F205BE" w14:textId="77777777" w:rsidR="00D313D8" w:rsidRDefault="00D313D8" w:rsidP="00D313D8">
      <w:r>
        <w:t>L’instance chargée des procédures de recours et auprès de laquelle des renseignements peuvent être obtenus est :</w:t>
      </w:r>
    </w:p>
    <w:p w14:paraId="79D33B16" w14:textId="77777777" w:rsidR="00D313D8" w:rsidRDefault="00D313D8" w:rsidP="00D313D8">
      <w:pPr>
        <w:spacing w:before="0" w:after="0"/>
        <w:jc w:val="center"/>
      </w:pPr>
      <w:r>
        <w:t>Tribunal administratif de Paris</w:t>
      </w:r>
    </w:p>
    <w:p w14:paraId="378EBEDE" w14:textId="77777777" w:rsidR="00D313D8" w:rsidRDefault="00D313D8" w:rsidP="00D313D8">
      <w:pPr>
        <w:spacing w:before="0" w:after="0"/>
        <w:jc w:val="center"/>
      </w:pPr>
      <w:r>
        <w:t>7, rue de Jouy, 75004 Paris.</w:t>
      </w:r>
    </w:p>
    <w:p w14:paraId="7A3D187F" w14:textId="77777777" w:rsidR="00D313D8" w:rsidRDefault="00D313D8" w:rsidP="00D313D8">
      <w:pPr>
        <w:spacing w:before="0" w:after="0"/>
        <w:jc w:val="center"/>
      </w:pPr>
      <w:r>
        <w:t>Tel : +33 14 45 94 400</w:t>
      </w:r>
    </w:p>
    <w:p w14:paraId="14E1B5C7" w14:textId="77777777" w:rsidR="00D313D8" w:rsidRPr="00D313D8" w:rsidRDefault="00D313D8" w:rsidP="00D313D8">
      <w:pPr>
        <w:spacing w:before="0" w:after="0"/>
        <w:jc w:val="center"/>
      </w:pPr>
      <w:r>
        <w:t>Adresse courriel : greffe.taparis@juradm.fr</w:t>
      </w:r>
    </w:p>
    <w:p w14:paraId="32074DAA" w14:textId="77777777" w:rsidR="00D313D8" w:rsidRPr="00D313D8" w:rsidRDefault="00D313D8" w:rsidP="00FC0EB7">
      <w:pPr>
        <w:pStyle w:val="Titre1"/>
        <w:ind w:left="431" w:hanging="431"/>
      </w:pPr>
      <w:r w:rsidRPr="00D313D8">
        <w:rPr>
          <w:rFonts w:ascii="Times New Roman" w:hAnsi="Times New Roman"/>
        </w:rPr>
        <w:lastRenderedPageBreak/>
        <w:t>DEMARCHE LABELISATION</w:t>
      </w:r>
    </w:p>
    <w:p w14:paraId="5D3B3957"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44139C7E"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3F67581A"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7AABBE79" w14:textId="77777777" w:rsidR="001C0E2D" w:rsidRDefault="001C0E2D" w:rsidP="0026577E"/>
    <w:p w14:paraId="29B730C7" w14:textId="77777777" w:rsidR="001C0E2D" w:rsidRDefault="001C0E2D" w:rsidP="0026577E">
      <w:pPr>
        <w:sectPr w:rsidR="001C0E2D">
          <w:headerReference w:type="default" r:id="rId19"/>
          <w:footerReference w:type="default" r:id="rId20"/>
          <w:pgSz w:w="11906" w:h="16838"/>
          <w:pgMar w:top="1417" w:right="1417" w:bottom="1417" w:left="1417" w:header="708" w:footer="708" w:gutter="0"/>
          <w:cols w:space="708"/>
          <w:docGrid w:linePitch="360"/>
        </w:sectPr>
      </w:pPr>
    </w:p>
    <w:p w14:paraId="73D70FD7" w14:textId="77777777" w:rsidR="00EA0ACA" w:rsidRDefault="00EA0ACA" w:rsidP="00D15A2D">
      <w:pPr>
        <w:jc w:val="center"/>
        <w:rPr>
          <w:b/>
        </w:rPr>
      </w:pPr>
      <w:r>
        <w:rPr>
          <w:b/>
        </w:rPr>
        <w:lastRenderedPageBreak/>
        <w:t xml:space="preserve">ANNEXE 1 : </w:t>
      </w:r>
    </w:p>
    <w:p w14:paraId="1C87AB3C" w14:textId="77777777" w:rsidR="0026577E" w:rsidRPr="008504FB" w:rsidRDefault="0026577E" w:rsidP="00D15A2D">
      <w:pPr>
        <w:jc w:val="center"/>
        <w:rPr>
          <w:b/>
        </w:rPr>
      </w:pPr>
      <w:r w:rsidRPr="008504FB">
        <w:rPr>
          <w:b/>
        </w:rPr>
        <w:t>FICHE DE SYNTHESE</w:t>
      </w:r>
    </w:p>
    <w:p w14:paraId="1BC0E7A7" w14:textId="77777777" w:rsidR="0026577E" w:rsidRPr="008504FB" w:rsidRDefault="0026577E" w:rsidP="0026577E">
      <w:pPr>
        <w:jc w:val="center"/>
        <w:rPr>
          <w:u w:val="single"/>
        </w:rPr>
      </w:pPr>
    </w:p>
    <w:p w14:paraId="5283B6C0"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2206CFB9" w14:textId="77777777" w:rsidR="0026577E" w:rsidRPr="008504FB" w:rsidRDefault="0026577E" w:rsidP="001C0E2D">
      <w:pPr>
        <w:spacing w:before="240"/>
      </w:pPr>
      <w:r w:rsidRPr="008504FB">
        <w:t>INFORMATIONS GÉNÉRALES :</w:t>
      </w:r>
    </w:p>
    <w:p w14:paraId="7A5BBC3A"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2C50FCF9"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3A05B8B2" w14:textId="77777777" w:rsidR="0026577E" w:rsidRPr="008504FB" w:rsidRDefault="00C06AD5"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088B4F26" w14:textId="77777777" w:rsidR="0026577E" w:rsidRPr="008504FB" w:rsidRDefault="00C06AD5"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6368070C" w14:textId="77777777" w:rsidR="0026577E" w:rsidRPr="008504FB" w:rsidRDefault="00C06AD5"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28E33193" w14:textId="77777777" w:rsidR="0026577E" w:rsidRPr="008504FB" w:rsidRDefault="00C06AD5"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2EF1A28E"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06F5E660" w14:textId="77777777" w:rsidR="00FC0EB7" w:rsidRDefault="00FC0EB7" w:rsidP="00FC0EB7">
      <w:pPr>
        <w:pBdr>
          <w:top w:val="nil"/>
          <w:left w:val="nil"/>
          <w:bottom w:val="nil"/>
          <w:right w:val="nil"/>
          <w:between w:val="nil"/>
        </w:pBdr>
        <w:rPr>
          <w:rFonts w:eastAsia="Arimo"/>
          <w:color w:val="000000"/>
        </w:rPr>
      </w:pPr>
    </w:p>
    <w:p w14:paraId="22939A9D"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139F332F"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5D7B43C0"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5CE306FF"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0C905435"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17FB3A7E"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1BFFA0F5" w14:textId="77777777" w:rsidR="0026577E" w:rsidRPr="008504FB" w:rsidRDefault="0026577E" w:rsidP="00D15A2D">
      <w:pPr>
        <w:pStyle w:val="Paragraphedeliste"/>
        <w:numPr>
          <w:ilvl w:val="0"/>
          <w:numId w:val="41"/>
        </w:numPr>
        <w:spacing w:before="360" w:after="240"/>
        <w:ind w:left="0" w:firstLine="0"/>
        <w:contextualSpacing w:val="0"/>
      </w:pPr>
      <w:r w:rsidRPr="008504FB">
        <w:lastRenderedPageBreak/>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69AE5F4E" w14:textId="77777777" w:rsidTr="00EA0ACA">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38CE9EC9" w14:textId="77777777" w:rsidR="0026577E" w:rsidRPr="008504FB" w:rsidRDefault="0026577E" w:rsidP="00EA0ACA">
            <w:pPr>
              <w:jc w:val="center"/>
            </w:pPr>
            <w:r w:rsidRPr="008504FB">
              <w:t>Chiffre d'affaires global</w:t>
            </w:r>
          </w:p>
        </w:tc>
      </w:tr>
      <w:tr w:rsidR="0026577E" w:rsidRPr="008504FB" w14:paraId="211F5086" w14:textId="77777777" w:rsidTr="00EA0ACA">
        <w:trPr>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18B2ED1" w14:textId="77777777" w:rsidR="0026577E" w:rsidRPr="008504FB" w:rsidRDefault="002F0C3E" w:rsidP="00EA0ACA">
            <w:pPr>
              <w:jc w:val="center"/>
            </w:pPr>
            <w:r w:rsidRPr="008504FB">
              <w:t>2021</w:t>
            </w:r>
          </w:p>
        </w:tc>
        <w:tc>
          <w:tcPr>
            <w:tcW w:w="2770" w:type="dxa"/>
            <w:tcBorders>
              <w:top w:val="single" w:sz="4" w:space="0" w:color="000000"/>
              <w:left w:val="single" w:sz="4" w:space="0" w:color="000000"/>
              <w:bottom w:val="single" w:sz="4" w:space="0" w:color="000000"/>
              <w:right w:val="single" w:sz="4" w:space="0" w:color="000000"/>
            </w:tcBorders>
            <w:vAlign w:val="center"/>
          </w:tcPr>
          <w:p w14:paraId="338FEEF4" w14:textId="77777777" w:rsidR="0026577E" w:rsidRPr="008504FB" w:rsidRDefault="002F0C3E" w:rsidP="00EA0ACA">
            <w:pPr>
              <w:jc w:val="center"/>
            </w:pPr>
            <w:r w:rsidRPr="008504FB">
              <w:t>2022</w:t>
            </w:r>
          </w:p>
        </w:tc>
        <w:tc>
          <w:tcPr>
            <w:tcW w:w="2966" w:type="dxa"/>
            <w:tcBorders>
              <w:top w:val="single" w:sz="4" w:space="0" w:color="000000"/>
              <w:left w:val="single" w:sz="4" w:space="0" w:color="000000"/>
              <w:bottom w:val="single" w:sz="4" w:space="0" w:color="000000"/>
              <w:right w:val="single" w:sz="4" w:space="0" w:color="000000"/>
            </w:tcBorders>
            <w:vAlign w:val="center"/>
          </w:tcPr>
          <w:p w14:paraId="33CED71D" w14:textId="77777777" w:rsidR="0026577E" w:rsidRPr="008504FB" w:rsidRDefault="002F0C3E" w:rsidP="00EA0ACA">
            <w:pPr>
              <w:jc w:val="center"/>
            </w:pPr>
            <w:r w:rsidRPr="008504FB">
              <w:t>2023</w:t>
            </w:r>
          </w:p>
        </w:tc>
      </w:tr>
      <w:tr w:rsidR="0026577E" w:rsidRPr="008504FB" w14:paraId="35676F92"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4960E81D"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25B58CA9"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40E1E6FE" w14:textId="77777777" w:rsidR="0026577E" w:rsidRPr="008504FB" w:rsidRDefault="0026577E" w:rsidP="00467E6D"/>
        </w:tc>
      </w:tr>
    </w:tbl>
    <w:p w14:paraId="5C3010F3" w14:textId="77777777" w:rsidR="0026577E" w:rsidRPr="008504FB" w:rsidRDefault="0026577E" w:rsidP="0026577E"/>
    <w:p w14:paraId="3B071D1C"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31A1214F" w14:textId="77777777" w:rsidTr="00EA0ACA">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1AF4850E" w14:textId="77777777" w:rsidR="0026577E" w:rsidRPr="008504FB" w:rsidRDefault="0026577E" w:rsidP="00EA0ACA">
            <w:pPr>
              <w:jc w:val="center"/>
            </w:pPr>
            <w:r w:rsidRPr="008504FB">
              <w:t>Chiffre d’affaires pour des prestations similaires</w:t>
            </w:r>
          </w:p>
        </w:tc>
      </w:tr>
      <w:tr w:rsidR="002F0C3E" w:rsidRPr="008504FB" w14:paraId="3D2C71B6" w14:textId="77777777" w:rsidTr="00EA0ACA">
        <w:trPr>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D87A885" w14:textId="77777777" w:rsidR="002F0C3E" w:rsidRPr="008504FB" w:rsidRDefault="002F0C3E" w:rsidP="00EA0ACA">
            <w:pPr>
              <w:jc w:val="center"/>
            </w:pPr>
            <w:r w:rsidRPr="008504FB">
              <w:t>2021</w:t>
            </w:r>
          </w:p>
        </w:tc>
        <w:tc>
          <w:tcPr>
            <w:tcW w:w="2771" w:type="dxa"/>
            <w:tcBorders>
              <w:top w:val="single" w:sz="4" w:space="0" w:color="000000"/>
              <w:left w:val="single" w:sz="4" w:space="0" w:color="000000"/>
              <w:bottom w:val="single" w:sz="4" w:space="0" w:color="000000"/>
              <w:right w:val="single" w:sz="4" w:space="0" w:color="000000"/>
            </w:tcBorders>
            <w:vAlign w:val="center"/>
          </w:tcPr>
          <w:p w14:paraId="2858C179" w14:textId="77777777" w:rsidR="002F0C3E" w:rsidRPr="008504FB" w:rsidRDefault="002F0C3E" w:rsidP="00EA0ACA">
            <w:pPr>
              <w:jc w:val="center"/>
            </w:pPr>
            <w:r w:rsidRPr="008504FB">
              <w:t>2022</w:t>
            </w:r>
          </w:p>
        </w:tc>
        <w:tc>
          <w:tcPr>
            <w:tcW w:w="2967" w:type="dxa"/>
            <w:tcBorders>
              <w:top w:val="single" w:sz="4" w:space="0" w:color="000000"/>
              <w:left w:val="single" w:sz="4" w:space="0" w:color="000000"/>
              <w:bottom w:val="single" w:sz="4" w:space="0" w:color="000000"/>
              <w:right w:val="single" w:sz="4" w:space="0" w:color="000000"/>
            </w:tcBorders>
            <w:vAlign w:val="center"/>
          </w:tcPr>
          <w:p w14:paraId="7002F98C" w14:textId="77777777" w:rsidR="002F0C3E" w:rsidRPr="008504FB" w:rsidRDefault="002F0C3E" w:rsidP="00EA0ACA">
            <w:pPr>
              <w:jc w:val="center"/>
            </w:pPr>
            <w:r w:rsidRPr="008504FB">
              <w:t>2023</w:t>
            </w:r>
          </w:p>
        </w:tc>
      </w:tr>
      <w:tr w:rsidR="0026577E" w:rsidRPr="008504FB" w14:paraId="11D10E16"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D1324B6"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127452E8"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139D3A44" w14:textId="77777777" w:rsidR="0026577E" w:rsidRPr="008504FB" w:rsidRDefault="0026577E" w:rsidP="00467E6D"/>
        </w:tc>
      </w:tr>
    </w:tbl>
    <w:p w14:paraId="1C160B21" w14:textId="77777777" w:rsidR="0026577E" w:rsidRPr="008504FB" w:rsidRDefault="0026577E" w:rsidP="0026577E"/>
    <w:p w14:paraId="14B5C01E"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2E262AF7" w14:textId="77777777" w:rsidTr="00EA0ACA">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1B97EB2F" w14:textId="77777777" w:rsidR="0026577E" w:rsidRPr="008504FB" w:rsidRDefault="0026577E" w:rsidP="00EA0ACA">
            <w:pPr>
              <w:jc w:val="center"/>
            </w:pPr>
            <w:r w:rsidRPr="008504FB">
              <w:t>Effectifs</w:t>
            </w:r>
          </w:p>
        </w:tc>
      </w:tr>
      <w:tr w:rsidR="002F0C3E" w:rsidRPr="008504FB" w14:paraId="75ECC0DC" w14:textId="77777777" w:rsidTr="00EA0ACA">
        <w:trPr>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94B04C0" w14:textId="77777777" w:rsidR="002F0C3E" w:rsidRPr="008504FB" w:rsidRDefault="002F0C3E" w:rsidP="00EA0ACA">
            <w:pPr>
              <w:jc w:val="center"/>
            </w:pPr>
            <w:r w:rsidRPr="008504FB">
              <w:t>2021</w:t>
            </w:r>
          </w:p>
        </w:tc>
        <w:tc>
          <w:tcPr>
            <w:tcW w:w="2771" w:type="dxa"/>
            <w:tcBorders>
              <w:top w:val="single" w:sz="4" w:space="0" w:color="000000"/>
              <w:left w:val="single" w:sz="4" w:space="0" w:color="000000"/>
              <w:bottom w:val="single" w:sz="4" w:space="0" w:color="000000"/>
              <w:right w:val="single" w:sz="4" w:space="0" w:color="000000"/>
            </w:tcBorders>
            <w:vAlign w:val="center"/>
          </w:tcPr>
          <w:p w14:paraId="1E01E403" w14:textId="77777777" w:rsidR="002F0C3E" w:rsidRPr="008504FB" w:rsidRDefault="002F0C3E" w:rsidP="00EA0ACA">
            <w:pPr>
              <w:jc w:val="center"/>
            </w:pPr>
            <w:r w:rsidRPr="008504FB">
              <w:t>2022</w:t>
            </w:r>
          </w:p>
        </w:tc>
        <w:tc>
          <w:tcPr>
            <w:tcW w:w="2967" w:type="dxa"/>
            <w:tcBorders>
              <w:top w:val="single" w:sz="4" w:space="0" w:color="000000"/>
              <w:left w:val="single" w:sz="4" w:space="0" w:color="000000"/>
              <w:bottom w:val="single" w:sz="4" w:space="0" w:color="000000"/>
              <w:right w:val="single" w:sz="4" w:space="0" w:color="000000"/>
            </w:tcBorders>
            <w:vAlign w:val="center"/>
          </w:tcPr>
          <w:p w14:paraId="49950BA6" w14:textId="77777777" w:rsidR="002F0C3E" w:rsidRPr="008504FB" w:rsidRDefault="002F0C3E" w:rsidP="00EA0ACA">
            <w:pPr>
              <w:jc w:val="center"/>
            </w:pPr>
            <w:r w:rsidRPr="008504FB">
              <w:t>2023</w:t>
            </w:r>
          </w:p>
        </w:tc>
      </w:tr>
      <w:tr w:rsidR="0026577E" w:rsidRPr="008504FB" w14:paraId="6D3269CD"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16AFA4CC"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6B51D6BC"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3DA7E614" w14:textId="77777777" w:rsidR="0026577E" w:rsidRPr="008504FB" w:rsidRDefault="0026577E" w:rsidP="00467E6D"/>
        </w:tc>
      </w:tr>
    </w:tbl>
    <w:p w14:paraId="4211C3D3"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520175CE" w14:textId="77777777" w:rsidTr="00BD701A">
        <w:trPr>
          <w:jc w:val="center"/>
        </w:trPr>
        <w:tc>
          <w:tcPr>
            <w:tcW w:w="4962" w:type="dxa"/>
            <w:shd w:val="clear" w:color="auto" w:fill="DBE5F1" w:themeFill="accent1" w:themeFillTint="33"/>
          </w:tcPr>
          <w:p w14:paraId="3E92544A"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0EB85E2C" w14:textId="77777777" w:rsidR="0026577E" w:rsidRPr="008504FB" w:rsidRDefault="0026577E" w:rsidP="00467E6D"/>
        </w:tc>
      </w:tr>
    </w:tbl>
    <w:p w14:paraId="1D11460A" w14:textId="77777777" w:rsidR="0026577E" w:rsidRPr="008504FB" w:rsidRDefault="0026577E" w:rsidP="0026577E">
      <w:r w:rsidRPr="008504FB">
        <w:br w:type="page"/>
      </w:r>
    </w:p>
    <w:p w14:paraId="3AB8BE2E"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505" w:type="dxa"/>
        <w:tblInd w:w="392" w:type="dxa"/>
        <w:tblLayout w:type="fixed"/>
        <w:tblLook w:val="0000" w:firstRow="0" w:lastRow="0" w:firstColumn="0" w:lastColumn="0" w:noHBand="0" w:noVBand="0"/>
      </w:tblPr>
      <w:tblGrid>
        <w:gridCol w:w="2551"/>
        <w:gridCol w:w="2835"/>
        <w:gridCol w:w="3119"/>
      </w:tblGrid>
      <w:tr w:rsidR="0026577E" w:rsidRPr="008504FB" w14:paraId="372885BA" w14:textId="77777777" w:rsidTr="00A31E76">
        <w:tc>
          <w:tcPr>
            <w:tcW w:w="2551"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C64CEAA" w14:textId="77777777" w:rsidR="0026577E" w:rsidRPr="008504FB" w:rsidRDefault="0026577E" w:rsidP="00EA0ACA">
            <w:pPr>
              <w:jc w:val="center"/>
            </w:pPr>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2593570" w14:textId="77777777" w:rsidR="0026577E" w:rsidRPr="008504FB" w:rsidRDefault="0026577E" w:rsidP="00EA0ACA">
            <w:pPr>
              <w:jc w:val="center"/>
            </w:pPr>
            <w:r w:rsidRPr="008504FB">
              <w:t>Objet de la prestation</w:t>
            </w:r>
            <w:r w:rsidR="00BD701A">
              <w:t xml:space="preserve"> similaire</w:t>
            </w:r>
            <w:r w:rsidRPr="008504FB">
              <w:t xml:space="preserve"> réalisée</w:t>
            </w:r>
          </w:p>
        </w:tc>
        <w:tc>
          <w:tcPr>
            <w:tcW w:w="311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363CFD2" w14:textId="77777777" w:rsidR="0026577E" w:rsidRPr="008504FB" w:rsidRDefault="0026577E" w:rsidP="00EA0ACA">
            <w:pPr>
              <w:jc w:val="center"/>
            </w:pPr>
            <w:r w:rsidRPr="008504FB">
              <w:t>Montant de l'opération en euros TTC</w:t>
            </w:r>
          </w:p>
        </w:tc>
      </w:tr>
      <w:tr w:rsidR="0026577E" w:rsidRPr="008504FB" w14:paraId="79C0BFE8" w14:textId="77777777" w:rsidTr="00A31E76">
        <w:tc>
          <w:tcPr>
            <w:tcW w:w="850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89F13A1" w14:textId="77777777" w:rsidR="0026577E" w:rsidRPr="008504FB" w:rsidRDefault="002F0C3E" w:rsidP="004F74F2">
            <w:r w:rsidRPr="008504FB">
              <w:t>202</w:t>
            </w:r>
            <w:r w:rsidR="004F74F2">
              <w:t>3</w:t>
            </w:r>
          </w:p>
        </w:tc>
      </w:tr>
      <w:tr w:rsidR="0026577E" w:rsidRPr="008504FB" w14:paraId="49C0B9A6" w14:textId="77777777" w:rsidTr="00A31E76">
        <w:trPr>
          <w:trHeight w:val="400"/>
        </w:trPr>
        <w:tc>
          <w:tcPr>
            <w:tcW w:w="2551" w:type="dxa"/>
            <w:tcBorders>
              <w:top w:val="single" w:sz="4" w:space="0" w:color="000000"/>
              <w:left w:val="single" w:sz="4" w:space="0" w:color="000000"/>
              <w:bottom w:val="single" w:sz="4" w:space="0" w:color="000000"/>
              <w:right w:val="single" w:sz="4" w:space="0" w:color="000000"/>
            </w:tcBorders>
            <w:vAlign w:val="center"/>
          </w:tcPr>
          <w:p w14:paraId="728F1ED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7A00097"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504387E2" w14:textId="77777777" w:rsidR="0026577E" w:rsidRPr="008504FB" w:rsidRDefault="0026577E" w:rsidP="00467E6D"/>
        </w:tc>
      </w:tr>
      <w:tr w:rsidR="0026577E" w:rsidRPr="008504FB" w14:paraId="1DDA262A"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019EF94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ACD3EA7"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3EE9792A" w14:textId="77777777" w:rsidR="0026577E" w:rsidRPr="008504FB" w:rsidRDefault="0026577E" w:rsidP="00467E6D"/>
        </w:tc>
      </w:tr>
      <w:tr w:rsidR="0026577E" w:rsidRPr="008504FB" w14:paraId="12AB1E85"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54F6CDE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B4717E7"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116CB6BD" w14:textId="77777777" w:rsidR="0026577E" w:rsidRPr="008504FB" w:rsidRDefault="0026577E" w:rsidP="00467E6D"/>
        </w:tc>
      </w:tr>
      <w:tr w:rsidR="0026577E" w:rsidRPr="008504FB" w14:paraId="2657CB99"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49BE8E1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E5DBD8E"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5D3DC913" w14:textId="77777777" w:rsidR="0026577E" w:rsidRPr="008504FB" w:rsidRDefault="0026577E" w:rsidP="00467E6D"/>
        </w:tc>
      </w:tr>
      <w:tr w:rsidR="0026577E" w:rsidRPr="008504FB" w14:paraId="3C1DB399"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112A836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700B415"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6109480B" w14:textId="77777777" w:rsidR="0026577E" w:rsidRPr="008504FB" w:rsidRDefault="0026577E" w:rsidP="00467E6D"/>
        </w:tc>
      </w:tr>
      <w:tr w:rsidR="0026577E" w:rsidRPr="008504FB" w14:paraId="75DF42BA" w14:textId="77777777" w:rsidTr="00A31E76">
        <w:tc>
          <w:tcPr>
            <w:tcW w:w="850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A7FDA1C" w14:textId="77777777" w:rsidR="0026577E" w:rsidRPr="008504FB" w:rsidRDefault="002F0C3E" w:rsidP="004F74F2">
            <w:r w:rsidRPr="008504FB">
              <w:t>202</w:t>
            </w:r>
            <w:r w:rsidR="004F74F2">
              <w:t>2</w:t>
            </w:r>
          </w:p>
        </w:tc>
      </w:tr>
      <w:tr w:rsidR="0026577E" w:rsidRPr="008504FB" w14:paraId="47448E49" w14:textId="77777777" w:rsidTr="00A31E76">
        <w:trPr>
          <w:trHeight w:val="400"/>
        </w:trPr>
        <w:tc>
          <w:tcPr>
            <w:tcW w:w="2551" w:type="dxa"/>
            <w:tcBorders>
              <w:top w:val="single" w:sz="4" w:space="0" w:color="000000"/>
              <w:left w:val="single" w:sz="4" w:space="0" w:color="000000"/>
              <w:bottom w:val="single" w:sz="4" w:space="0" w:color="000000"/>
              <w:right w:val="single" w:sz="4" w:space="0" w:color="000000"/>
            </w:tcBorders>
            <w:vAlign w:val="center"/>
          </w:tcPr>
          <w:p w14:paraId="110FE29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975836B"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1C3F664E" w14:textId="77777777" w:rsidR="0026577E" w:rsidRPr="008504FB" w:rsidRDefault="0026577E" w:rsidP="00467E6D"/>
        </w:tc>
      </w:tr>
      <w:tr w:rsidR="0026577E" w:rsidRPr="008504FB" w14:paraId="51BF99BA"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2C13591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D4DA7A3"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272501B7" w14:textId="77777777" w:rsidR="0026577E" w:rsidRPr="008504FB" w:rsidRDefault="0026577E" w:rsidP="00467E6D"/>
        </w:tc>
      </w:tr>
      <w:tr w:rsidR="0026577E" w:rsidRPr="008504FB" w14:paraId="6B52F369"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3E79630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1D86040"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74F1623F" w14:textId="77777777" w:rsidR="0026577E" w:rsidRPr="008504FB" w:rsidRDefault="0026577E" w:rsidP="00467E6D"/>
        </w:tc>
      </w:tr>
      <w:tr w:rsidR="0026577E" w:rsidRPr="008504FB" w14:paraId="01FF7EF8"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6850EBF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379676F"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6381B4BC" w14:textId="77777777" w:rsidR="0026577E" w:rsidRPr="008504FB" w:rsidRDefault="0026577E" w:rsidP="00467E6D"/>
        </w:tc>
      </w:tr>
      <w:tr w:rsidR="0026577E" w:rsidRPr="008504FB" w14:paraId="598A6326"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41B6AE6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84EB6F7"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1ECDD5A8" w14:textId="77777777" w:rsidR="0026577E" w:rsidRPr="008504FB" w:rsidRDefault="0026577E" w:rsidP="00467E6D"/>
        </w:tc>
      </w:tr>
      <w:tr w:rsidR="0026577E" w:rsidRPr="008504FB" w14:paraId="093CAEDB" w14:textId="77777777" w:rsidTr="00A31E76">
        <w:tc>
          <w:tcPr>
            <w:tcW w:w="850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D0A8FD5" w14:textId="77777777" w:rsidR="0026577E" w:rsidRPr="008504FB" w:rsidRDefault="002F0C3E" w:rsidP="004F74F2">
            <w:r w:rsidRPr="008504FB">
              <w:t>202</w:t>
            </w:r>
            <w:r w:rsidR="004F74F2">
              <w:t>1</w:t>
            </w:r>
          </w:p>
        </w:tc>
      </w:tr>
      <w:tr w:rsidR="0026577E" w:rsidRPr="008504FB" w14:paraId="3F7C134B" w14:textId="77777777" w:rsidTr="00A31E76">
        <w:trPr>
          <w:trHeight w:val="400"/>
        </w:trPr>
        <w:tc>
          <w:tcPr>
            <w:tcW w:w="2551" w:type="dxa"/>
            <w:tcBorders>
              <w:top w:val="single" w:sz="4" w:space="0" w:color="000000"/>
              <w:left w:val="single" w:sz="4" w:space="0" w:color="000000"/>
              <w:bottom w:val="single" w:sz="4" w:space="0" w:color="000000"/>
              <w:right w:val="single" w:sz="4" w:space="0" w:color="000000"/>
            </w:tcBorders>
            <w:vAlign w:val="center"/>
          </w:tcPr>
          <w:p w14:paraId="780CBE2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BE8D483"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4E2D6B59" w14:textId="77777777" w:rsidR="0026577E" w:rsidRPr="008504FB" w:rsidRDefault="0026577E" w:rsidP="00467E6D"/>
        </w:tc>
      </w:tr>
      <w:tr w:rsidR="0026577E" w:rsidRPr="008504FB" w14:paraId="66C5AAEA"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15FCF58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464B269"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461D229D" w14:textId="77777777" w:rsidR="0026577E" w:rsidRPr="008504FB" w:rsidRDefault="0026577E" w:rsidP="00467E6D"/>
        </w:tc>
      </w:tr>
      <w:tr w:rsidR="0026577E" w:rsidRPr="008504FB" w14:paraId="5E1ECDFA"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483AB09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E958C0A"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1A2A26CA" w14:textId="77777777" w:rsidR="0026577E" w:rsidRPr="008504FB" w:rsidRDefault="0026577E" w:rsidP="00467E6D"/>
        </w:tc>
      </w:tr>
      <w:tr w:rsidR="0026577E" w:rsidRPr="008504FB" w14:paraId="38A7185D"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5ED0CB4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B14673A"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28C8C129" w14:textId="77777777" w:rsidR="0026577E" w:rsidRPr="008504FB" w:rsidRDefault="0026577E" w:rsidP="00467E6D"/>
        </w:tc>
      </w:tr>
      <w:tr w:rsidR="0026577E" w:rsidRPr="008504FB" w14:paraId="6824BB93" w14:textId="77777777" w:rsidTr="00A31E76">
        <w:trPr>
          <w:trHeight w:val="401"/>
        </w:trPr>
        <w:tc>
          <w:tcPr>
            <w:tcW w:w="2551" w:type="dxa"/>
            <w:tcBorders>
              <w:top w:val="single" w:sz="4" w:space="0" w:color="000000"/>
              <w:left w:val="single" w:sz="4" w:space="0" w:color="000000"/>
              <w:bottom w:val="single" w:sz="4" w:space="0" w:color="000000"/>
              <w:right w:val="single" w:sz="4" w:space="0" w:color="000000"/>
            </w:tcBorders>
            <w:vAlign w:val="center"/>
          </w:tcPr>
          <w:p w14:paraId="7D5E72C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B668268" w14:textId="77777777" w:rsidR="0026577E" w:rsidRPr="008504FB" w:rsidRDefault="0026577E" w:rsidP="00467E6D"/>
        </w:tc>
        <w:tc>
          <w:tcPr>
            <w:tcW w:w="3119" w:type="dxa"/>
            <w:tcBorders>
              <w:top w:val="single" w:sz="4" w:space="0" w:color="000000"/>
              <w:left w:val="single" w:sz="4" w:space="0" w:color="000000"/>
              <w:bottom w:val="single" w:sz="4" w:space="0" w:color="000000"/>
              <w:right w:val="single" w:sz="4" w:space="0" w:color="000000"/>
            </w:tcBorders>
            <w:vAlign w:val="center"/>
          </w:tcPr>
          <w:p w14:paraId="16A58D26" w14:textId="77777777" w:rsidR="0026577E" w:rsidRPr="008504FB" w:rsidRDefault="0026577E" w:rsidP="00467E6D"/>
        </w:tc>
      </w:tr>
    </w:tbl>
    <w:p w14:paraId="643CEF43"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3BC65" w14:textId="77777777" w:rsidR="00AF7D55" w:rsidRDefault="00AF7D55" w:rsidP="00011492">
      <w:r>
        <w:separator/>
      </w:r>
    </w:p>
  </w:endnote>
  <w:endnote w:type="continuationSeparator" w:id="0">
    <w:p w14:paraId="634357F9" w14:textId="77777777" w:rsidR="00AF7D55" w:rsidRDefault="00AF7D55"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5FAB" w14:textId="77777777" w:rsidR="00AE0136" w:rsidRDefault="00AE0136">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220FF6F8" w14:textId="77777777" w:rsidR="00AE0136" w:rsidRDefault="00AE0136">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CB0C4" w14:textId="77777777" w:rsidR="00AE0136" w:rsidRDefault="00AE0136">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7D064C2E" w14:textId="77777777" w:rsidR="00AE0136" w:rsidRDefault="00AE0136">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073EA27" w14:textId="77777777" w:rsidR="00AE0136" w:rsidRDefault="00AE0136" w:rsidP="00AB2A53">
        <w:pPr>
          <w:pStyle w:val="Pieddepage"/>
          <w:jc w:val="right"/>
        </w:pPr>
        <w:r>
          <w:fldChar w:fldCharType="begin"/>
        </w:r>
        <w:r>
          <w:instrText>PAGE   \* MERGEFORMAT</w:instrText>
        </w:r>
        <w:r>
          <w:fldChar w:fldCharType="separate"/>
        </w:r>
        <w:r w:rsidR="00331827">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BAD50" w14:textId="77777777" w:rsidR="00AF7D55" w:rsidRDefault="00AF7D55" w:rsidP="00011492">
      <w:r>
        <w:separator/>
      </w:r>
    </w:p>
  </w:footnote>
  <w:footnote w:type="continuationSeparator" w:id="0">
    <w:p w14:paraId="3DC9FB89" w14:textId="77777777" w:rsidR="00AF7D55" w:rsidRDefault="00AF7D55" w:rsidP="00011492">
      <w:r>
        <w:continuationSeparator/>
      </w:r>
    </w:p>
  </w:footnote>
  <w:footnote w:id="1">
    <w:p w14:paraId="5F3F8E74" w14:textId="77777777" w:rsidR="00AE0136" w:rsidRDefault="00AE0136">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2448EEFB" w14:textId="77777777" w:rsidR="00AE0136" w:rsidRDefault="00AE0136"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1D04C9CF" w14:textId="77777777" w:rsidR="00AE0136" w:rsidRPr="00BD701A" w:rsidRDefault="00AE0136">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E6748" w14:textId="77777777" w:rsidR="00AE0136" w:rsidRDefault="00AE0136">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403D31C3" w14:textId="77777777" w:rsidR="00AE0136" w:rsidRDefault="00AE0136">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8835B" w14:textId="77777777" w:rsidR="00AE0136" w:rsidRDefault="00AE0136">
    <w:pPr>
      <w:pBdr>
        <w:top w:val="nil"/>
        <w:left w:val="nil"/>
        <w:bottom w:val="nil"/>
        <w:right w:val="nil"/>
        <w:between w:val="nil"/>
      </w:pBdr>
      <w:tabs>
        <w:tab w:val="center" w:pos="4536"/>
        <w:tab w:val="right" w:pos="9072"/>
      </w:tabs>
      <w:jc w:val="right"/>
      <w:rPr>
        <w:rFonts w:ascii="Arimo" w:eastAsia="Arimo" w:hAnsi="Arimo" w:cs="Arimo"/>
        <w:color w:val="000000"/>
      </w:rPr>
    </w:pPr>
  </w:p>
  <w:p w14:paraId="15941CAB" w14:textId="77777777" w:rsidR="00AE0136" w:rsidRDefault="00AE0136">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CE44E" w14:textId="77777777" w:rsidR="00AE0136" w:rsidRDefault="00AE0136">
    <w:pPr>
      <w:pStyle w:val="En-tte"/>
    </w:pPr>
    <w:r w:rsidRPr="007849AE">
      <w:rPr>
        <w:noProof/>
      </w:rPr>
      <w:drawing>
        <wp:anchor distT="0" distB="0" distL="114300" distR="114300" simplePos="0" relativeHeight="251659264" behindDoc="0" locked="0" layoutInCell="1" hidden="0" allowOverlap="1" wp14:anchorId="6997F9A5" wp14:editId="06511D17">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177F" w14:textId="77777777" w:rsidR="00AE0136" w:rsidRDefault="00AE0136" w:rsidP="00AB2A53">
    <w:pPr>
      <w:pStyle w:val="En-tte"/>
    </w:pPr>
    <w:r>
      <w:rPr>
        <w:noProof/>
      </w:rPr>
      <w:drawing>
        <wp:inline distT="0" distB="0" distL="0" distR="0" wp14:anchorId="70D5AF47" wp14:editId="50B23246">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0E690FE8"/>
    <w:multiLevelType w:val="hybridMultilevel"/>
    <w:tmpl w:val="D1368104"/>
    <w:lvl w:ilvl="0" w:tplc="7EA28A82">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CC04A3"/>
    <w:multiLevelType w:val="hybridMultilevel"/>
    <w:tmpl w:val="DB525890"/>
    <w:lvl w:ilvl="0" w:tplc="E43EA5EC">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2" w15:restartNumberingAfterBreak="0">
    <w:nsid w:val="349B5D47"/>
    <w:multiLevelType w:val="hybridMultilevel"/>
    <w:tmpl w:val="11566F42"/>
    <w:lvl w:ilvl="0" w:tplc="5F70EA6E">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4"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5"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7E91412"/>
    <w:multiLevelType w:val="hybridMultilevel"/>
    <w:tmpl w:val="783655D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9A62425"/>
    <w:multiLevelType w:val="hybridMultilevel"/>
    <w:tmpl w:val="A344F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2"/>
  </w:num>
  <w:num w:numId="4">
    <w:abstractNumId w:val="2"/>
  </w:num>
  <w:num w:numId="5">
    <w:abstractNumId w:val="26"/>
  </w:num>
  <w:num w:numId="6">
    <w:abstractNumId w:val="11"/>
  </w:num>
  <w:num w:numId="7">
    <w:abstractNumId w:val="7"/>
  </w:num>
  <w:num w:numId="8">
    <w:abstractNumId w:val="13"/>
  </w:num>
  <w:num w:numId="9">
    <w:abstractNumId w:val="14"/>
  </w:num>
  <w:num w:numId="10">
    <w:abstractNumId w:val="15"/>
  </w:num>
  <w:num w:numId="11">
    <w:abstractNumId w:val="8"/>
  </w:num>
  <w:num w:numId="12">
    <w:abstractNumId w:val="10"/>
  </w:num>
  <w:num w:numId="13">
    <w:abstractNumId w:val="19"/>
  </w:num>
  <w:num w:numId="14">
    <w:abstractNumId w:val="17"/>
  </w:num>
  <w:num w:numId="15">
    <w:abstractNumId w:val="23"/>
  </w:num>
  <w:num w:numId="16">
    <w:abstractNumId w:val="16"/>
  </w:num>
  <w:num w:numId="17">
    <w:abstractNumId w:val="3"/>
  </w:num>
  <w:num w:numId="18">
    <w:abstractNumId w:val="9"/>
  </w:num>
  <w:num w:numId="19">
    <w:abstractNumId w:val="9"/>
  </w:num>
  <w:num w:numId="20">
    <w:abstractNumId w:val="9"/>
  </w:num>
  <w:num w:numId="21">
    <w:abstractNumId w:val="28"/>
  </w:num>
  <w:num w:numId="22">
    <w:abstractNumId w:val="9"/>
  </w:num>
  <w:num w:numId="23">
    <w:abstractNumId w:val="9"/>
  </w:num>
  <w:num w:numId="24">
    <w:abstractNumId w:val="9"/>
  </w:num>
  <w:num w:numId="25">
    <w:abstractNumId w:val="9"/>
  </w:num>
  <w:num w:numId="26">
    <w:abstractNumId w:val="6"/>
  </w:num>
  <w:num w:numId="27">
    <w:abstractNumId w:val="18"/>
  </w:num>
  <w:num w:numId="28">
    <w:abstractNumId w:val="9"/>
  </w:num>
  <w:num w:numId="29">
    <w:abstractNumId w:val="9"/>
  </w:num>
  <w:num w:numId="30">
    <w:abstractNumId w:val="9"/>
  </w:num>
  <w:num w:numId="31">
    <w:abstractNumId w:val="0"/>
  </w:num>
  <w:num w:numId="32">
    <w:abstractNumId w:val="9"/>
  </w:num>
  <w:num w:numId="33">
    <w:abstractNumId w:val="9"/>
  </w:num>
  <w:num w:numId="34">
    <w:abstractNumId w:val="1"/>
  </w:num>
  <w:num w:numId="35">
    <w:abstractNumId w:val="9"/>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num>
  <w:num w:numId="40">
    <w:abstractNumId w:val="20"/>
  </w:num>
  <w:num w:numId="41">
    <w:abstractNumId w:val="21"/>
  </w:num>
  <w:num w:numId="42">
    <w:abstractNumId w:val="24"/>
  </w:num>
  <w:num w:numId="43">
    <w:abstractNumId w:val="4"/>
  </w:num>
  <w:num w:numId="44">
    <w:abstractNumId w:val="12"/>
  </w:num>
  <w:num w:numId="45">
    <w:abstractNumId w:val="25"/>
  </w:num>
  <w:num w:numId="46">
    <w:abstractNumId w:val="27"/>
  </w:num>
  <w:num w:numId="4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1BF1"/>
    <w:rsid w:val="00002872"/>
    <w:rsid w:val="00011492"/>
    <w:rsid w:val="00014F0D"/>
    <w:rsid w:val="00015CA0"/>
    <w:rsid w:val="00027BE3"/>
    <w:rsid w:val="0004107C"/>
    <w:rsid w:val="00044FE0"/>
    <w:rsid w:val="00054150"/>
    <w:rsid w:val="000546DE"/>
    <w:rsid w:val="00055B27"/>
    <w:rsid w:val="00067C68"/>
    <w:rsid w:val="000770DC"/>
    <w:rsid w:val="0007788F"/>
    <w:rsid w:val="00082903"/>
    <w:rsid w:val="00085378"/>
    <w:rsid w:val="00086C20"/>
    <w:rsid w:val="00097C3E"/>
    <w:rsid w:val="000A3551"/>
    <w:rsid w:val="000A7554"/>
    <w:rsid w:val="000C687C"/>
    <w:rsid w:val="000C7DE7"/>
    <w:rsid w:val="000D1B83"/>
    <w:rsid w:val="000D5C13"/>
    <w:rsid w:val="000E1264"/>
    <w:rsid w:val="000E4D84"/>
    <w:rsid w:val="000F37D3"/>
    <w:rsid w:val="000F7396"/>
    <w:rsid w:val="00101396"/>
    <w:rsid w:val="00106660"/>
    <w:rsid w:val="00106DD8"/>
    <w:rsid w:val="001077CC"/>
    <w:rsid w:val="00112827"/>
    <w:rsid w:val="00114091"/>
    <w:rsid w:val="001527A0"/>
    <w:rsid w:val="00167C92"/>
    <w:rsid w:val="00170696"/>
    <w:rsid w:val="00174E35"/>
    <w:rsid w:val="00184617"/>
    <w:rsid w:val="00186664"/>
    <w:rsid w:val="00187141"/>
    <w:rsid w:val="001916F7"/>
    <w:rsid w:val="00191AF0"/>
    <w:rsid w:val="00195D05"/>
    <w:rsid w:val="001A3559"/>
    <w:rsid w:val="001B7621"/>
    <w:rsid w:val="001C0E2D"/>
    <w:rsid w:val="001C5258"/>
    <w:rsid w:val="001C728C"/>
    <w:rsid w:val="001D05A4"/>
    <w:rsid w:val="001D170D"/>
    <w:rsid w:val="001D24A6"/>
    <w:rsid w:val="001E0B61"/>
    <w:rsid w:val="001E3F21"/>
    <w:rsid w:val="001E50DB"/>
    <w:rsid w:val="001F7BB0"/>
    <w:rsid w:val="00200C24"/>
    <w:rsid w:val="00202173"/>
    <w:rsid w:val="00204E74"/>
    <w:rsid w:val="0021036A"/>
    <w:rsid w:val="0021683D"/>
    <w:rsid w:val="00226847"/>
    <w:rsid w:val="002276B0"/>
    <w:rsid w:val="0023349F"/>
    <w:rsid w:val="002404D9"/>
    <w:rsid w:val="00254A07"/>
    <w:rsid w:val="0025733D"/>
    <w:rsid w:val="0026577E"/>
    <w:rsid w:val="002A1740"/>
    <w:rsid w:val="002A2793"/>
    <w:rsid w:val="002A5DC8"/>
    <w:rsid w:val="002B252E"/>
    <w:rsid w:val="002B6D82"/>
    <w:rsid w:val="002C292B"/>
    <w:rsid w:val="002D0CD5"/>
    <w:rsid w:val="002D2ACC"/>
    <w:rsid w:val="002E2D3B"/>
    <w:rsid w:val="002F0C3E"/>
    <w:rsid w:val="002F629A"/>
    <w:rsid w:val="00331827"/>
    <w:rsid w:val="00351A41"/>
    <w:rsid w:val="00363203"/>
    <w:rsid w:val="00366A1A"/>
    <w:rsid w:val="00376E50"/>
    <w:rsid w:val="003A4C06"/>
    <w:rsid w:val="003B2D75"/>
    <w:rsid w:val="003B35C3"/>
    <w:rsid w:val="003B7410"/>
    <w:rsid w:val="003C2027"/>
    <w:rsid w:val="003C6EF9"/>
    <w:rsid w:val="003D0DC7"/>
    <w:rsid w:val="003D7C3A"/>
    <w:rsid w:val="003E3010"/>
    <w:rsid w:val="003E5BF6"/>
    <w:rsid w:val="003F3065"/>
    <w:rsid w:val="003F4568"/>
    <w:rsid w:val="00417AB7"/>
    <w:rsid w:val="0042794B"/>
    <w:rsid w:val="00427F7A"/>
    <w:rsid w:val="00435E79"/>
    <w:rsid w:val="00442EE2"/>
    <w:rsid w:val="0045292C"/>
    <w:rsid w:val="004541EB"/>
    <w:rsid w:val="00454CC8"/>
    <w:rsid w:val="004551B3"/>
    <w:rsid w:val="00467E6D"/>
    <w:rsid w:val="00471848"/>
    <w:rsid w:val="00475F55"/>
    <w:rsid w:val="00477D8F"/>
    <w:rsid w:val="00495709"/>
    <w:rsid w:val="004C5913"/>
    <w:rsid w:val="004D55B7"/>
    <w:rsid w:val="004D7C4A"/>
    <w:rsid w:val="004F74F2"/>
    <w:rsid w:val="0050236A"/>
    <w:rsid w:val="00504449"/>
    <w:rsid w:val="00505481"/>
    <w:rsid w:val="00510E97"/>
    <w:rsid w:val="005247E3"/>
    <w:rsid w:val="005316D6"/>
    <w:rsid w:val="00532BF5"/>
    <w:rsid w:val="0053391D"/>
    <w:rsid w:val="00544684"/>
    <w:rsid w:val="00545530"/>
    <w:rsid w:val="00551570"/>
    <w:rsid w:val="005579A3"/>
    <w:rsid w:val="00566041"/>
    <w:rsid w:val="0056633A"/>
    <w:rsid w:val="005866F4"/>
    <w:rsid w:val="005945CF"/>
    <w:rsid w:val="005C3483"/>
    <w:rsid w:val="005C56DB"/>
    <w:rsid w:val="005C6442"/>
    <w:rsid w:val="005D2853"/>
    <w:rsid w:val="005D5E66"/>
    <w:rsid w:val="005E68F3"/>
    <w:rsid w:val="005F3D64"/>
    <w:rsid w:val="00604312"/>
    <w:rsid w:val="00613B81"/>
    <w:rsid w:val="00631177"/>
    <w:rsid w:val="00633068"/>
    <w:rsid w:val="00634FA2"/>
    <w:rsid w:val="0063616D"/>
    <w:rsid w:val="006378CA"/>
    <w:rsid w:val="00641E07"/>
    <w:rsid w:val="0066335B"/>
    <w:rsid w:val="006747AC"/>
    <w:rsid w:val="0068393F"/>
    <w:rsid w:val="0069701E"/>
    <w:rsid w:val="006A494C"/>
    <w:rsid w:val="006B6455"/>
    <w:rsid w:val="006C4EED"/>
    <w:rsid w:val="006D4DE4"/>
    <w:rsid w:val="006D70A5"/>
    <w:rsid w:val="006E6DB6"/>
    <w:rsid w:val="006F3B8A"/>
    <w:rsid w:val="006F6A82"/>
    <w:rsid w:val="00704AC3"/>
    <w:rsid w:val="007057C7"/>
    <w:rsid w:val="007120EC"/>
    <w:rsid w:val="007277B7"/>
    <w:rsid w:val="00727CF9"/>
    <w:rsid w:val="00740F5F"/>
    <w:rsid w:val="00753481"/>
    <w:rsid w:val="00756B8C"/>
    <w:rsid w:val="007671B4"/>
    <w:rsid w:val="007730DA"/>
    <w:rsid w:val="00774F52"/>
    <w:rsid w:val="00775850"/>
    <w:rsid w:val="00777473"/>
    <w:rsid w:val="00782AD2"/>
    <w:rsid w:val="007839DA"/>
    <w:rsid w:val="00794373"/>
    <w:rsid w:val="007B40F1"/>
    <w:rsid w:val="007C3C21"/>
    <w:rsid w:val="007D3827"/>
    <w:rsid w:val="00802DF0"/>
    <w:rsid w:val="00815166"/>
    <w:rsid w:val="008167C2"/>
    <w:rsid w:val="00824FB3"/>
    <w:rsid w:val="008303DD"/>
    <w:rsid w:val="008420FE"/>
    <w:rsid w:val="00842B4A"/>
    <w:rsid w:val="0084603B"/>
    <w:rsid w:val="008504FB"/>
    <w:rsid w:val="00856187"/>
    <w:rsid w:val="00857281"/>
    <w:rsid w:val="008733B9"/>
    <w:rsid w:val="00884CF3"/>
    <w:rsid w:val="008A67D8"/>
    <w:rsid w:val="008B21DF"/>
    <w:rsid w:val="008B45B2"/>
    <w:rsid w:val="008B7523"/>
    <w:rsid w:val="008C3AF2"/>
    <w:rsid w:val="008D226A"/>
    <w:rsid w:val="008D4630"/>
    <w:rsid w:val="008E3800"/>
    <w:rsid w:val="008E5CBE"/>
    <w:rsid w:val="008F15A5"/>
    <w:rsid w:val="008F569B"/>
    <w:rsid w:val="00900FED"/>
    <w:rsid w:val="0095040D"/>
    <w:rsid w:val="00971755"/>
    <w:rsid w:val="0098192E"/>
    <w:rsid w:val="00985860"/>
    <w:rsid w:val="009A1131"/>
    <w:rsid w:val="009A4DE0"/>
    <w:rsid w:val="009B2836"/>
    <w:rsid w:val="009C6651"/>
    <w:rsid w:val="009D2830"/>
    <w:rsid w:val="009D6646"/>
    <w:rsid w:val="009E22C8"/>
    <w:rsid w:val="009F1675"/>
    <w:rsid w:val="009F20C9"/>
    <w:rsid w:val="009F542B"/>
    <w:rsid w:val="00A16550"/>
    <w:rsid w:val="00A1729A"/>
    <w:rsid w:val="00A31E76"/>
    <w:rsid w:val="00A45D53"/>
    <w:rsid w:val="00A503FB"/>
    <w:rsid w:val="00A63DF5"/>
    <w:rsid w:val="00A64E5F"/>
    <w:rsid w:val="00A765B9"/>
    <w:rsid w:val="00A768F9"/>
    <w:rsid w:val="00A834C3"/>
    <w:rsid w:val="00A83DB3"/>
    <w:rsid w:val="00A85903"/>
    <w:rsid w:val="00A92CE1"/>
    <w:rsid w:val="00A940E4"/>
    <w:rsid w:val="00A95EC9"/>
    <w:rsid w:val="00A97D86"/>
    <w:rsid w:val="00AA2F23"/>
    <w:rsid w:val="00AB2A53"/>
    <w:rsid w:val="00AC0AC0"/>
    <w:rsid w:val="00AC117C"/>
    <w:rsid w:val="00AC40E0"/>
    <w:rsid w:val="00AC711B"/>
    <w:rsid w:val="00AD692C"/>
    <w:rsid w:val="00AE0136"/>
    <w:rsid w:val="00AF1F46"/>
    <w:rsid w:val="00AF2E08"/>
    <w:rsid w:val="00AF7D55"/>
    <w:rsid w:val="00B24F95"/>
    <w:rsid w:val="00B30EC0"/>
    <w:rsid w:val="00B337AA"/>
    <w:rsid w:val="00B34733"/>
    <w:rsid w:val="00B37AF9"/>
    <w:rsid w:val="00B52AA9"/>
    <w:rsid w:val="00B61D5B"/>
    <w:rsid w:val="00B80A63"/>
    <w:rsid w:val="00B8153A"/>
    <w:rsid w:val="00BB0D0D"/>
    <w:rsid w:val="00BB3AC8"/>
    <w:rsid w:val="00BB4EE6"/>
    <w:rsid w:val="00BD0C5D"/>
    <w:rsid w:val="00BD701A"/>
    <w:rsid w:val="00BE20DB"/>
    <w:rsid w:val="00BF0F5F"/>
    <w:rsid w:val="00C0107D"/>
    <w:rsid w:val="00C06AD5"/>
    <w:rsid w:val="00C07B4B"/>
    <w:rsid w:val="00C12556"/>
    <w:rsid w:val="00C31673"/>
    <w:rsid w:val="00C52D57"/>
    <w:rsid w:val="00C56087"/>
    <w:rsid w:val="00C608D5"/>
    <w:rsid w:val="00C6396B"/>
    <w:rsid w:val="00C707F1"/>
    <w:rsid w:val="00C717BD"/>
    <w:rsid w:val="00CB1D16"/>
    <w:rsid w:val="00CB33A6"/>
    <w:rsid w:val="00CC115A"/>
    <w:rsid w:val="00CC6551"/>
    <w:rsid w:val="00CE7C8F"/>
    <w:rsid w:val="00D06FD5"/>
    <w:rsid w:val="00D103D9"/>
    <w:rsid w:val="00D11945"/>
    <w:rsid w:val="00D14547"/>
    <w:rsid w:val="00D15A2D"/>
    <w:rsid w:val="00D2291D"/>
    <w:rsid w:val="00D2679F"/>
    <w:rsid w:val="00D313D8"/>
    <w:rsid w:val="00D51831"/>
    <w:rsid w:val="00DA0B6E"/>
    <w:rsid w:val="00DA2FD3"/>
    <w:rsid w:val="00DA5EF6"/>
    <w:rsid w:val="00DD52C8"/>
    <w:rsid w:val="00DD5CAF"/>
    <w:rsid w:val="00DD629B"/>
    <w:rsid w:val="00DD6DCD"/>
    <w:rsid w:val="00DE07E5"/>
    <w:rsid w:val="00E07C63"/>
    <w:rsid w:val="00E11667"/>
    <w:rsid w:val="00E12A2F"/>
    <w:rsid w:val="00E250F8"/>
    <w:rsid w:val="00E27BDF"/>
    <w:rsid w:val="00E30E96"/>
    <w:rsid w:val="00E367E6"/>
    <w:rsid w:val="00E44600"/>
    <w:rsid w:val="00E909BE"/>
    <w:rsid w:val="00EA0ACA"/>
    <w:rsid w:val="00EA3953"/>
    <w:rsid w:val="00EB51A1"/>
    <w:rsid w:val="00EC0F7C"/>
    <w:rsid w:val="00ED2025"/>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77F5B"/>
    <w:rsid w:val="00F80283"/>
    <w:rsid w:val="00F86385"/>
    <w:rsid w:val="00F93207"/>
    <w:rsid w:val="00FB5D2E"/>
    <w:rsid w:val="00FB7AED"/>
    <w:rsid w:val="00FC0EB7"/>
    <w:rsid w:val="00FC25A5"/>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494D6B"/>
  <w15:docId w15:val="{906A819D-C6DF-43AA-BAAB-24ACC424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paragraph" w:styleId="Rvision">
    <w:name w:val="Revision"/>
    <w:hidden/>
    <w:uiPriority w:val="99"/>
    <w:semiHidden/>
    <w:rsid w:val="00F77F5B"/>
    <w:pPr>
      <w:spacing w:after="0" w:line="240" w:lineRule="auto"/>
    </w:pPr>
    <w:rPr>
      <w:rFonts w:ascii="Times New Roman" w:eastAsia="Times New Roman" w:hAnsi="Times New Roman" w:cs="Arial"/>
      <w:szCs w:val="2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1547"/>
    <w:rsid w:val="00212458"/>
    <w:rsid w:val="00213F90"/>
    <w:rsid w:val="00281FDE"/>
    <w:rsid w:val="0030326B"/>
    <w:rsid w:val="00305E40"/>
    <w:rsid w:val="003B5E7B"/>
    <w:rsid w:val="004735C3"/>
    <w:rsid w:val="004B5AC9"/>
    <w:rsid w:val="004C707D"/>
    <w:rsid w:val="005222D6"/>
    <w:rsid w:val="00546FC6"/>
    <w:rsid w:val="005B15C1"/>
    <w:rsid w:val="0060607F"/>
    <w:rsid w:val="00674969"/>
    <w:rsid w:val="006D684E"/>
    <w:rsid w:val="00741D18"/>
    <w:rsid w:val="007D54D7"/>
    <w:rsid w:val="00871970"/>
    <w:rsid w:val="00B027E5"/>
    <w:rsid w:val="00B85F1D"/>
    <w:rsid w:val="00BD6835"/>
    <w:rsid w:val="00C16B1A"/>
    <w:rsid w:val="00C2312F"/>
    <w:rsid w:val="00CD6BC2"/>
    <w:rsid w:val="00E7085E"/>
    <w:rsid w:val="00F92F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680D4E4F-7B44-4D89-9D5F-17413FA2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4293</Words>
  <Characters>23617</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DAJ_SMA</dc:creator>
  <cp:lastModifiedBy>Caroline KONTER</cp:lastModifiedBy>
  <cp:revision>5</cp:revision>
  <cp:lastPrinted>2019-11-25T17:36:00Z</cp:lastPrinted>
  <dcterms:created xsi:type="dcterms:W3CDTF">2024-12-06T13:48:00Z</dcterms:created>
  <dcterms:modified xsi:type="dcterms:W3CDTF">2024-12-17T15:12:00Z</dcterms:modified>
</cp:coreProperties>
</file>