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C83B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2828566D" w14:textId="77777777" w:rsidR="00273192" w:rsidRPr="00273192" w:rsidRDefault="00273192" w:rsidP="00273192">
      <w:pPr>
        <w:spacing w:before="0" w:after="0"/>
        <w:rPr>
          <w:rFonts w:eastAsia="Times New Roman" w:cs="Times New Roman"/>
          <w:lang w:eastAsia="fr-FR"/>
        </w:rPr>
      </w:pPr>
    </w:p>
    <w:tbl>
      <w:tblPr>
        <w:tblStyle w:val="Grilledutableau1"/>
        <w:tblW w:w="10735" w:type="dxa"/>
        <w:tblInd w:w="-847" w:type="dxa"/>
        <w:tblLayout w:type="fixed"/>
        <w:tblLook w:val="04A0" w:firstRow="1" w:lastRow="0" w:firstColumn="1" w:lastColumn="0" w:noHBand="0" w:noVBand="1"/>
      </w:tblPr>
      <w:tblGrid>
        <w:gridCol w:w="280"/>
        <w:gridCol w:w="2552"/>
        <w:gridCol w:w="2551"/>
        <w:gridCol w:w="5352"/>
      </w:tblGrid>
      <w:tr w:rsidR="00273192" w:rsidRPr="00273192" w14:paraId="187366FA" w14:textId="77777777" w:rsidTr="00016E2F">
        <w:trPr>
          <w:trHeight w:val="281"/>
        </w:trPr>
        <w:tc>
          <w:tcPr>
            <w:tcW w:w="28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E885F6D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0C1AB8B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  <w:r w:rsidRPr="00273192">
              <w:rPr>
                <w:rFonts w:ascii="Calibri" w:hAnsi="Calibri"/>
                <w:noProof/>
                <w:sz w:val="24"/>
                <w:szCs w:val="24"/>
              </w:rPr>
              <w:drawing>
                <wp:inline distT="0" distB="0" distL="0" distR="0" wp14:anchorId="3AC986E7" wp14:editId="6049205C">
                  <wp:extent cx="1414145" cy="412807"/>
                  <wp:effectExtent l="0" t="0" r="0" b="6350"/>
                  <wp:docPr id="6" name="Image 6" descr="C:\Users\4182383\AppData\Local\Temp\7zOCD03E264\Logo HAD AP-HP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4182383\AppData\Local\Temp\7zOCD03E264\Logo HAD AP-HP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878" cy="42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14:paraId="60DED041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  <w:r w:rsidRPr="00273192">
              <w:rPr>
                <w:rFonts w:ascii="Calibri" w:hAnsi="Calibr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06B5E75" wp14:editId="6213A41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14592</wp:posOffset>
                  </wp:positionV>
                  <wp:extent cx="1585609" cy="309488"/>
                  <wp:effectExtent l="0" t="0" r="0" b="0"/>
                  <wp:wrapNone/>
                  <wp:docPr id="1" name="Image 1" descr="Logo-AP-HP-quadri-Conver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AP-HP-quadri-Conver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609" cy="3094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2" w:type="dxa"/>
            <w:vMerge w:val="restart"/>
            <w:tcBorders>
              <w:top w:val="single" w:sz="4" w:space="0" w:color="auto"/>
            </w:tcBorders>
          </w:tcPr>
          <w:p w14:paraId="308499C4" w14:textId="77777777" w:rsidR="00016E2F" w:rsidRPr="00016E2F" w:rsidRDefault="00016E2F" w:rsidP="00016E2F">
            <w:pPr>
              <w:spacing w:before="0" w:after="0"/>
              <w:jc w:val="center"/>
              <w:rPr>
                <w:b/>
                <w:sz w:val="24"/>
                <w:szCs w:val="24"/>
              </w:rPr>
            </w:pPr>
            <w:bookmarkStart w:id="0" w:name="_Hlk184993341"/>
            <w:r w:rsidRPr="00016E2F">
              <w:rPr>
                <w:b/>
                <w:sz w:val="24"/>
                <w:szCs w:val="24"/>
              </w:rPr>
              <w:t>MAPA REF N° :</w:t>
            </w:r>
          </w:p>
          <w:p w14:paraId="6A0BC905" w14:textId="4377B6C0" w:rsidR="00016E2F" w:rsidRPr="00016E2F" w:rsidRDefault="00016E2F" w:rsidP="00016E2F">
            <w:pPr>
              <w:spacing w:before="0" w:after="0"/>
              <w:rPr>
                <w:b/>
                <w:sz w:val="24"/>
                <w:szCs w:val="24"/>
              </w:rPr>
            </w:pPr>
            <w:r w:rsidRPr="00016E2F">
              <w:rPr>
                <w:b/>
                <w:sz w:val="24"/>
                <w:szCs w:val="24"/>
              </w:rPr>
              <w:t>2024099DH19905 : LOT 01 TCE</w:t>
            </w:r>
            <w:r w:rsidRPr="00016E2F">
              <w:rPr>
                <w:b/>
                <w:sz w:val="24"/>
                <w:szCs w:val="24"/>
              </w:rPr>
              <w:tab/>
            </w:r>
          </w:p>
          <w:p w14:paraId="5EE848DE" w14:textId="612BB655" w:rsidR="00273192" w:rsidRPr="00273192" w:rsidRDefault="00016E2F" w:rsidP="00016E2F">
            <w:pPr>
              <w:spacing w:before="0" w:after="0"/>
              <w:rPr>
                <w:b/>
                <w:sz w:val="24"/>
                <w:szCs w:val="24"/>
              </w:rPr>
            </w:pPr>
            <w:r w:rsidRPr="00341F73">
              <w:rPr>
                <w:b/>
                <w:sz w:val="24"/>
                <w:szCs w:val="24"/>
              </w:rPr>
              <w:t>2024099DH19906 : LOT 02 LOTS TECHNIQUES</w:t>
            </w:r>
          </w:p>
          <w:bookmarkEnd w:id="0"/>
          <w:p w14:paraId="43185B4D" w14:textId="77777777" w:rsidR="00273192" w:rsidRPr="00273192" w:rsidRDefault="00273192" w:rsidP="00016E2F">
            <w:pPr>
              <w:spacing w:before="0" w:after="0"/>
              <w:rPr>
                <w:sz w:val="24"/>
                <w:szCs w:val="24"/>
              </w:rPr>
            </w:pPr>
          </w:p>
        </w:tc>
      </w:tr>
      <w:tr w:rsidR="00273192" w:rsidRPr="00273192" w14:paraId="72D67417" w14:textId="77777777" w:rsidTr="00016E2F">
        <w:trPr>
          <w:trHeight w:val="907"/>
        </w:trPr>
        <w:tc>
          <w:tcPr>
            <w:tcW w:w="28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E423BAC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14:paraId="6DF7E776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A7779A0" w14:textId="77777777" w:rsidR="00273192" w:rsidRPr="00273192" w:rsidRDefault="00273192" w:rsidP="00273192">
            <w:pPr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352" w:type="dxa"/>
            <w:vMerge/>
          </w:tcPr>
          <w:p w14:paraId="3481CE5C" w14:textId="77777777" w:rsidR="00273192" w:rsidRPr="00273192" w:rsidRDefault="00273192" w:rsidP="00273192">
            <w:pPr>
              <w:spacing w:before="0" w:after="0"/>
              <w:rPr>
                <w:bCs/>
                <w:sz w:val="24"/>
                <w:szCs w:val="24"/>
              </w:rPr>
            </w:pPr>
          </w:p>
        </w:tc>
      </w:tr>
    </w:tbl>
    <w:p w14:paraId="283079F0" w14:textId="77777777" w:rsidR="00273192" w:rsidRPr="00273192" w:rsidRDefault="00273192" w:rsidP="00273192">
      <w:pPr>
        <w:spacing w:before="0" w:after="0"/>
        <w:rPr>
          <w:rFonts w:eastAsia="Times New Roman" w:cs="Times New Roman"/>
          <w:sz w:val="24"/>
          <w:szCs w:val="24"/>
          <w:lang w:eastAsia="fr-FR"/>
        </w:rPr>
      </w:pPr>
    </w:p>
    <w:p w14:paraId="66C2AF19" w14:textId="77777777" w:rsidR="00273192" w:rsidRPr="00273192" w:rsidRDefault="00273192" w:rsidP="00273192">
      <w:pPr>
        <w:widowControl w:val="0"/>
        <w:autoSpaceDE w:val="0"/>
        <w:autoSpaceDN w:val="0"/>
        <w:spacing w:before="0" w:after="0"/>
        <w:jc w:val="left"/>
        <w:rPr>
          <w:rFonts w:ascii="Arial" w:eastAsia="Times New Roman" w:hAnsi="Arial" w:cs="Arial"/>
        </w:rPr>
      </w:pPr>
      <w:bookmarkStart w:id="1" w:name="_Hlk182816940"/>
    </w:p>
    <w:p w14:paraId="55C433CA" w14:textId="77777777" w:rsidR="00273192" w:rsidRPr="00273192" w:rsidRDefault="00273192" w:rsidP="00273192">
      <w:pPr>
        <w:widowControl w:val="0"/>
        <w:autoSpaceDE w:val="0"/>
        <w:autoSpaceDN w:val="0"/>
        <w:spacing w:before="0" w:after="0"/>
        <w:jc w:val="left"/>
        <w:rPr>
          <w:rFonts w:ascii="Arial" w:eastAsia="Times New Roman" w:hAnsi="Arial" w:cs="Arial"/>
        </w:rPr>
      </w:pPr>
    </w:p>
    <w:p w14:paraId="22C587CA" w14:textId="77777777" w:rsidR="00273192" w:rsidRPr="008A2514" w:rsidRDefault="00273192" w:rsidP="00F24AB1">
      <w:pPr>
        <w:spacing w:after="200" w:line="276" w:lineRule="auto"/>
        <w:rPr>
          <w:b/>
        </w:rPr>
      </w:pPr>
      <w:bookmarkStart w:id="2" w:name="_Hlk22663499"/>
      <w:bookmarkEnd w:id="1"/>
    </w:p>
    <w:p w14:paraId="7EB88621" w14:textId="75DE5B74" w:rsidR="00154787" w:rsidRPr="00782211" w:rsidRDefault="00273192" w:rsidP="00030AA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bookmarkStart w:id="3" w:name="_Hlk22663479"/>
      <w:r w:rsidRPr="00C52779">
        <w:rPr>
          <w:b/>
          <w:sz w:val="32"/>
          <w:szCs w:val="32"/>
        </w:rPr>
        <w:t xml:space="preserve">ANNEXE </w:t>
      </w:r>
      <w:proofErr w:type="gramStart"/>
      <w:r w:rsidR="00C52779" w:rsidRPr="00C52779">
        <w:rPr>
          <w:b/>
          <w:sz w:val="32"/>
          <w:szCs w:val="32"/>
        </w:rPr>
        <w:t>2</w:t>
      </w:r>
      <w:r w:rsidRPr="00C52779">
        <w:rPr>
          <w:b/>
          <w:sz w:val="32"/>
          <w:szCs w:val="32"/>
        </w:rPr>
        <w:t xml:space="preserve">  RC</w:t>
      </w:r>
      <w:proofErr w:type="gramEnd"/>
    </w:p>
    <w:p w14:paraId="19A555E5" w14:textId="63EBA813" w:rsidR="00273192" w:rsidRDefault="00273192" w:rsidP="00016E2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782211">
        <w:rPr>
          <w:b/>
          <w:sz w:val="32"/>
          <w:szCs w:val="32"/>
        </w:rPr>
        <w:t>CANEVAS DU MEMOIRE TECHNIQUE</w:t>
      </w:r>
      <w:bookmarkEnd w:id="3"/>
      <w:bookmarkEnd w:id="2"/>
    </w:p>
    <w:p w14:paraId="485F98F6" w14:textId="1CFE5410" w:rsidR="00016E2F" w:rsidRPr="00016E2F" w:rsidRDefault="00016E2F" w:rsidP="00016E2F">
      <w:pPr>
        <w:jc w:val="center"/>
        <w:rPr>
          <w:b/>
          <w:sz w:val="32"/>
          <w:szCs w:val="32"/>
        </w:rPr>
      </w:pPr>
      <w:r w:rsidRPr="00016E2F">
        <w:rPr>
          <w:b/>
          <w:sz w:val="32"/>
          <w:szCs w:val="32"/>
        </w:rPr>
        <w:t>MAPA REF N° :</w:t>
      </w:r>
    </w:p>
    <w:p w14:paraId="167BEB03" w14:textId="26476BC6" w:rsidR="00016E2F" w:rsidRPr="00016E2F" w:rsidRDefault="00016E2F" w:rsidP="00016E2F">
      <w:pPr>
        <w:jc w:val="center"/>
        <w:rPr>
          <w:b/>
          <w:sz w:val="32"/>
          <w:szCs w:val="32"/>
        </w:rPr>
      </w:pPr>
      <w:r w:rsidRPr="00016E2F">
        <w:rPr>
          <w:b/>
          <w:sz w:val="32"/>
          <w:szCs w:val="32"/>
        </w:rPr>
        <w:t>2024099DH19905 : LOT 01 TCE</w:t>
      </w:r>
    </w:p>
    <w:p w14:paraId="2AF39D2B" w14:textId="77777777" w:rsidR="00016E2F" w:rsidRPr="00016E2F" w:rsidRDefault="00016E2F" w:rsidP="00016E2F">
      <w:pPr>
        <w:jc w:val="center"/>
        <w:rPr>
          <w:b/>
          <w:sz w:val="32"/>
          <w:szCs w:val="32"/>
        </w:rPr>
      </w:pPr>
      <w:r w:rsidRPr="00016E2F">
        <w:rPr>
          <w:b/>
          <w:sz w:val="32"/>
          <w:szCs w:val="32"/>
        </w:rPr>
        <w:t>2024099DH19906 : LOT 02 LOTS TECHNIQUES</w:t>
      </w:r>
    </w:p>
    <w:p w14:paraId="408048DA" w14:textId="5EE1549C" w:rsidR="00273192" w:rsidRDefault="00273192" w:rsidP="00D83B22">
      <w:pPr>
        <w:ind w:left="2124"/>
      </w:pPr>
    </w:p>
    <w:p w14:paraId="0159532C" w14:textId="1477A88B" w:rsidR="00273192" w:rsidRDefault="00E14762" w:rsidP="00D83B22">
      <w:pPr>
        <w:ind w:left="2124"/>
      </w:pPr>
      <w:r>
        <w:t xml:space="preserve">      </w:t>
      </w:r>
      <w:r w:rsidRPr="00187266">
        <w:t xml:space="preserve">                                                                                                                                                                   </w:t>
      </w:r>
      <w:r w:rsidR="00D83B22">
        <w:t xml:space="preserve">                             </w:t>
      </w:r>
    </w:p>
    <w:p w14:paraId="7E75AD0F" w14:textId="63406190" w:rsidR="00273192" w:rsidRPr="00273192" w:rsidRDefault="00273192" w:rsidP="00DB42C5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273192">
        <w:rPr>
          <w:b/>
          <w:sz w:val="32"/>
          <w:szCs w:val="32"/>
        </w:rPr>
        <w:t xml:space="preserve">Opération de travaux portant sur la création d’une unité de soins adultes pour </w:t>
      </w:r>
      <w:proofErr w:type="gramStart"/>
      <w:r w:rsidRPr="00273192">
        <w:rPr>
          <w:b/>
          <w:sz w:val="32"/>
          <w:szCs w:val="32"/>
        </w:rPr>
        <w:t>le HAD</w:t>
      </w:r>
      <w:proofErr w:type="gramEnd"/>
      <w:r w:rsidRPr="00273192">
        <w:rPr>
          <w:b/>
          <w:sz w:val="32"/>
          <w:szCs w:val="32"/>
        </w:rPr>
        <w:t xml:space="preserve"> (Hospitalisation à Domicile) au sein de </w:t>
      </w:r>
      <w:bookmarkStart w:id="4" w:name="_Hlk184213872"/>
      <w:r w:rsidRPr="00273192">
        <w:rPr>
          <w:b/>
          <w:sz w:val="32"/>
          <w:szCs w:val="32"/>
        </w:rPr>
        <w:t>l’hôpital Emile Roux (APHP) situé au 1 Avenue Verdun à Limeil-Brévannes – 94450</w:t>
      </w:r>
    </w:p>
    <w:bookmarkEnd w:id="4"/>
    <w:p w14:paraId="084A37FA" w14:textId="77777777" w:rsidR="00273192" w:rsidRDefault="00273192" w:rsidP="00D83B22">
      <w:pPr>
        <w:ind w:left="2124"/>
      </w:pPr>
    </w:p>
    <w:p w14:paraId="444B27D5" w14:textId="77777777" w:rsidR="00273192" w:rsidRDefault="00273192" w:rsidP="00D83B22">
      <w:pPr>
        <w:ind w:left="2124"/>
      </w:pPr>
    </w:p>
    <w:p w14:paraId="54FB93A6" w14:textId="77777777" w:rsidR="00273192" w:rsidRDefault="00273192" w:rsidP="00D83B22">
      <w:pPr>
        <w:ind w:left="2124"/>
      </w:pPr>
    </w:p>
    <w:p w14:paraId="37A9297D" w14:textId="77777777" w:rsidR="00273192" w:rsidRDefault="00273192" w:rsidP="00D83B22">
      <w:pPr>
        <w:ind w:left="2124"/>
      </w:pPr>
    </w:p>
    <w:p w14:paraId="07561516" w14:textId="77777777" w:rsidR="00273192" w:rsidRDefault="00273192" w:rsidP="00D83B22">
      <w:pPr>
        <w:ind w:left="2124"/>
      </w:pPr>
    </w:p>
    <w:p w14:paraId="483F4B87" w14:textId="77777777" w:rsidR="00273192" w:rsidRDefault="00273192" w:rsidP="00D83B22">
      <w:pPr>
        <w:ind w:left="2124"/>
      </w:pPr>
    </w:p>
    <w:p w14:paraId="48F3CE7F" w14:textId="77777777" w:rsidR="00273192" w:rsidRDefault="00273192" w:rsidP="00D83B22">
      <w:pPr>
        <w:ind w:left="2124"/>
      </w:pPr>
    </w:p>
    <w:p w14:paraId="2A567BFE" w14:textId="77777777" w:rsidR="00273192" w:rsidRDefault="00273192" w:rsidP="00D83B22">
      <w:pPr>
        <w:ind w:left="2124"/>
      </w:pPr>
    </w:p>
    <w:p w14:paraId="046EAC45" w14:textId="30C13C80" w:rsidR="00FE6CEE" w:rsidRDefault="00FE6CEE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24D38293" w14:textId="77777777" w:rsidR="000207D9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128638188" w:history="1">
        <w:r w:rsidR="000207D9" w:rsidRPr="00EF62B7">
          <w:rPr>
            <w:rStyle w:val="Lienhypertexte"/>
            <w:noProof/>
          </w:rPr>
          <w:t>Chapitre 1.</w:t>
        </w:r>
        <w:r w:rsidR="000207D9">
          <w:rPr>
            <w:rFonts w:asciiTheme="minorHAnsi" w:eastAsiaTheme="minorEastAsia" w:hAnsiTheme="minorHAnsi"/>
            <w:noProof/>
            <w:lang w:eastAsia="fr-FR"/>
          </w:rPr>
          <w:tab/>
        </w:r>
        <w:r w:rsidR="000207D9" w:rsidRPr="00EF62B7">
          <w:rPr>
            <w:rStyle w:val="Lienhypertexte"/>
            <w:noProof/>
          </w:rPr>
          <w:t>Préambule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_Toc128638188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3</w:t>
        </w:r>
        <w:r w:rsidR="000207D9">
          <w:rPr>
            <w:noProof/>
            <w:webHidden/>
          </w:rPr>
          <w:fldChar w:fldCharType="end"/>
        </w:r>
      </w:hyperlink>
    </w:p>
    <w:p w14:paraId="6144FB05" w14:textId="77777777" w:rsidR="000207D9" w:rsidRDefault="00C52779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128638189" w:history="1">
        <w:r w:rsidR="000207D9" w:rsidRPr="00EF62B7">
          <w:rPr>
            <w:rStyle w:val="Lienhypertexte"/>
            <w:noProof/>
          </w:rPr>
          <w:t>Chapitre 2.</w:t>
        </w:r>
        <w:r w:rsidR="000207D9">
          <w:rPr>
            <w:rFonts w:asciiTheme="minorHAnsi" w:eastAsiaTheme="minorEastAsia" w:hAnsiTheme="minorHAnsi"/>
            <w:noProof/>
            <w:lang w:eastAsia="fr-FR"/>
          </w:rPr>
          <w:tab/>
        </w:r>
        <w:r w:rsidR="000207D9" w:rsidRPr="00EF62B7">
          <w:rPr>
            <w:rStyle w:val="Lienhypertexte"/>
            <w:noProof/>
          </w:rPr>
          <w:t>Décomposition du mémoire technique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_Toc128638189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3</w:t>
        </w:r>
        <w:r w:rsidR="000207D9">
          <w:rPr>
            <w:noProof/>
            <w:webHidden/>
          </w:rPr>
          <w:fldChar w:fldCharType="end"/>
        </w:r>
      </w:hyperlink>
    </w:p>
    <w:p w14:paraId="2E5EE2CF" w14:textId="77777777" w:rsidR="000207D9" w:rsidRDefault="00C5277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128638190" w:history="1">
        <w:r w:rsidR="000207D9" w:rsidRPr="00EF62B7">
          <w:rPr>
            <w:rStyle w:val="Lienhypertexte"/>
            <w:noProof/>
          </w:rPr>
          <w:t>Article 1.</w:t>
        </w:r>
        <w:r w:rsidR="000207D9">
          <w:rPr>
            <w:rFonts w:asciiTheme="minorHAnsi" w:eastAsiaTheme="minorEastAsia" w:hAnsiTheme="minorHAnsi"/>
            <w:noProof/>
            <w:lang w:eastAsia="fr-FR"/>
          </w:rPr>
          <w:tab/>
        </w:r>
        <w:r w:rsidR="000207D9" w:rsidRPr="00EF62B7">
          <w:rPr>
            <w:rStyle w:val="Lienhypertexte"/>
            <w:noProof/>
          </w:rPr>
          <w:t>Méthodologie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_Toc128638190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4</w:t>
        </w:r>
        <w:r w:rsidR="000207D9">
          <w:rPr>
            <w:noProof/>
            <w:webHidden/>
          </w:rPr>
          <w:fldChar w:fldCharType="end"/>
        </w:r>
      </w:hyperlink>
    </w:p>
    <w:p w14:paraId="092FD992" w14:textId="77777777" w:rsidR="000207D9" w:rsidRDefault="00C5277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128638191" w:history="1">
        <w:r w:rsidR="000207D9" w:rsidRPr="00EF62B7">
          <w:rPr>
            <w:rStyle w:val="Lienhypertexte"/>
            <w:noProof/>
          </w:rPr>
          <w:t>Article 2.</w:t>
        </w:r>
        <w:r w:rsidR="000207D9">
          <w:rPr>
            <w:rFonts w:asciiTheme="minorHAnsi" w:eastAsiaTheme="minorEastAsia" w:hAnsiTheme="minorHAnsi"/>
            <w:noProof/>
            <w:lang w:eastAsia="fr-FR"/>
          </w:rPr>
          <w:tab/>
        </w:r>
        <w:r w:rsidR="000207D9" w:rsidRPr="00EF62B7">
          <w:rPr>
            <w:rStyle w:val="Lienhypertexte"/>
            <w:noProof/>
          </w:rPr>
          <w:t>Organisation de l’équipe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_Toc128638191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4</w:t>
        </w:r>
        <w:r w:rsidR="000207D9">
          <w:rPr>
            <w:noProof/>
            <w:webHidden/>
          </w:rPr>
          <w:fldChar w:fldCharType="end"/>
        </w:r>
      </w:hyperlink>
    </w:p>
    <w:p w14:paraId="0BBA7CA0" w14:textId="66E9CD55" w:rsidR="000207D9" w:rsidRDefault="00C5277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128638192" w:history="1">
        <w:r w:rsidR="000207D9" w:rsidRPr="00EF62B7">
          <w:rPr>
            <w:rStyle w:val="Lienhypertexte"/>
            <w:noProof/>
          </w:rPr>
          <w:t>Article 3.</w:t>
        </w:r>
        <w:r w:rsidR="000207D9">
          <w:rPr>
            <w:rFonts w:asciiTheme="minorHAnsi" w:eastAsiaTheme="minorEastAsia" w:hAnsiTheme="minorHAnsi"/>
            <w:noProof/>
            <w:lang w:eastAsia="fr-FR"/>
          </w:rPr>
          <w:tab/>
        </w:r>
        <w:r w:rsidR="000207D9" w:rsidRPr="00EF62B7">
          <w:rPr>
            <w:rStyle w:val="Lienhypertexte"/>
            <w:noProof/>
          </w:rPr>
          <w:t>Moyens Humains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_Toc128638192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4</w:t>
        </w:r>
        <w:r w:rsidR="000207D9">
          <w:rPr>
            <w:noProof/>
            <w:webHidden/>
          </w:rPr>
          <w:fldChar w:fldCharType="end"/>
        </w:r>
      </w:hyperlink>
    </w:p>
    <w:p w14:paraId="0C4BBDA6" w14:textId="77777777" w:rsidR="000207D9" w:rsidRDefault="00C52779">
      <w:pPr>
        <w:pStyle w:val="TM2"/>
        <w:tabs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128638193" w:history="1">
        <w:r w:rsidR="000207D9" w:rsidRPr="00EF62B7">
          <w:rPr>
            <w:rStyle w:val="Lienhypertexte"/>
            <w:noProof/>
          </w:rPr>
          <w:t xml:space="preserve">Article 4. </w:t>
        </w:r>
        <w:r w:rsidR="000207D9">
          <w:rPr>
            <w:rStyle w:val="Lienhypertexte"/>
            <w:noProof/>
          </w:rPr>
          <w:t xml:space="preserve">    </w:t>
        </w:r>
        <w:r w:rsidR="000207D9" w:rsidRPr="00EF62B7">
          <w:rPr>
            <w:rStyle w:val="Lienhypertexte"/>
            <w:noProof/>
          </w:rPr>
          <w:t>Note détaillée portant sur la démarche environnementale et la politique RSE</w:t>
        </w:r>
        <w:r w:rsidR="000207D9">
          <w:rPr>
            <w:noProof/>
            <w:webHidden/>
          </w:rPr>
          <w:tab/>
        </w:r>
        <w:r w:rsidR="000207D9">
          <w:rPr>
            <w:noProof/>
            <w:webHidden/>
          </w:rPr>
          <w:fldChar w:fldCharType="begin"/>
        </w:r>
        <w:r w:rsidR="000207D9">
          <w:rPr>
            <w:noProof/>
            <w:webHidden/>
          </w:rPr>
          <w:instrText xml:space="preserve"> PAGEREF _Toc128638193 \h </w:instrText>
        </w:r>
        <w:r w:rsidR="000207D9">
          <w:rPr>
            <w:noProof/>
            <w:webHidden/>
          </w:rPr>
        </w:r>
        <w:r w:rsidR="000207D9">
          <w:rPr>
            <w:noProof/>
            <w:webHidden/>
          </w:rPr>
          <w:fldChar w:fldCharType="separate"/>
        </w:r>
        <w:r w:rsidR="000207D9">
          <w:rPr>
            <w:noProof/>
            <w:webHidden/>
          </w:rPr>
          <w:t>5</w:t>
        </w:r>
        <w:r w:rsidR="000207D9">
          <w:rPr>
            <w:noProof/>
            <w:webHidden/>
          </w:rPr>
          <w:fldChar w:fldCharType="end"/>
        </w:r>
      </w:hyperlink>
    </w:p>
    <w:p w14:paraId="50B753A2" w14:textId="77777777" w:rsidR="009160ED" w:rsidRDefault="00522EDC">
      <w:pPr>
        <w:spacing w:after="160"/>
      </w:pPr>
      <w:r>
        <w:fldChar w:fldCharType="end"/>
      </w:r>
      <w:r w:rsidR="009160ED">
        <w:br w:type="page"/>
      </w:r>
    </w:p>
    <w:p w14:paraId="24104EE3" w14:textId="77777777" w:rsidR="00221BFE" w:rsidRDefault="00562C15" w:rsidP="007F232F">
      <w:pPr>
        <w:pStyle w:val="Titre"/>
      </w:pPr>
      <w:bookmarkStart w:id="5" w:name="_Toc128638188"/>
      <w:r>
        <w:lastRenderedPageBreak/>
        <w:t>Préambule</w:t>
      </w:r>
      <w:bookmarkEnd w:id="5"/>
    </w:p>
    <w:p w14:paraId="20AF168F" w14:textId="77777777" w:rsidR="00562C15" w:rsidRPr="00574015" w:rsidRDefault="00562C15" w:rsidP="00562C15"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n’omettant aucune rubrique nécessaire à l’appréciation de la </w:t>
      </w:r>
      <w:r w:rsidRPr="00574015">
        <w:t>qualité technique et organisationnelle de son offre.</w:t>
      </w:r>
    </w:p>
    <w:p w14:paraId="6201FD85" w14:textId="18D090BF" w:rsidR="00562C15" w:rsidRPr="00E20CED" w:rsidRDefault="00562C15" w:rsidP="00562C15"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</w:t>
      </w:r>
      <w:r w:rsidR="00043068">
        <w:t>er le degré de compréhension de ses</w:t>
      </w:r>
      <w:r w:rsidRPr="00574015">
        <w:t xml:space="preserve"> attentes </w:t>
      </w:r>
      <w:r w:rsidR="00332DD0" w:rsidRPr="00574015">
        <w:t>et sert à la notation d</w:t>
      </w:r>
      <w:r w:rsidR="00273192">
        <w:t xml:space="preserve">es critères </w:t>
      </w:r>
      <w:r w:rsidR="009165AE" w:rsidRPr="00574015">
        <w:t>«</w:t>
      </w:r>
      <w:r w:rsidR="00E12324" w:rsidRPr="00574015">
        <w:t xml:space="preserve"> </w:t>
      </w:r>
      <w:r w:rsidR="008475A9" w:rsidRPr="00574015">
        <w:rPr>
          <w:b/>
          <w:bCs/>
        </w:rPr>
        <w:t xml:space="preserve">valeur technique de </w:t>
      </w:r>
      <w:r w:rsidR="000E4EB3" w:rsidRPr="00574015">
        <w:rPr>
          <w:b/>
          <w:bCs/>
        </w:rPr>
        <w:t>l’offre »</w:t>
      </w:r>
      <w:r w:rsidR="00273192">
        <w:rPr>
          <w:b/>
          <w:bCs/>
        </w:rPr>
        <w:t xml:space="preserve"> et « RSE »</w:t>
      </w:r>
      <w:r w:rsidR="00F77157" w:rsidRPr="00574015">
        <w:t>.</w:t>
      </w:r>
      <w:r w:rsidR="004D35FC">
        <w:t xml:space="preserve">  </w:t>
      </w:r>
      <w:r w:rsidR="00043068">
        <w:t>Bien que la procédure</w:t>
      </w:r>
      <w:r w:rsidR="00332DD0">
        <w:t xml:space="preserve"> considéré</w:t>
      </w:r>
      <w:r w:rsidR="00043068">
        <w:t>e</w:t>
      </w:r>
      <w:r w:rsidR="00332DD0">
        <w:t xml:space="preserve"> </w:t>
      </w:r>
      <w:r w:rsidRPr="00E20CED">
        <w:t xml:space="preserve">relève d’une </w:t>
      </w:r>
      <w:r w:rsidR="00332DD0">
        <w:t>obligation générale de résultat</w:t>
      </w:r>
      <w:r w:rsidRPr="00E20CED">
        <w:t xml:space="preserve">, les moyens humains et méthodologiques prévus par les </w:t>
      </w:r>
      <w:r w:rsidR="008475A9">
        <w:t>candidats</w:t>
      </w:r>
      <w:r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Pr="00E20CED">
        <w:t xml:space="preserve">de comprendre la cohérence générale de l’organisation déployée et de mesurer la pertinence des choix retenus par le </w:t>
      </w:r>
      <w:r w:rsidR="00332DD0">
        <w:t>candidat</w:t>
      </w:r>
      <w:r w:rsidRPr="00E20CED">
        <w:t>.</w:t>
      </w:r>
    </w:p>
    <w:p w14:paraId="5E66E75C" w14:textId="4378BDB7" w:rsidR="00572828" w:rsidRPr="003A250A" w:rsidRDefault="00562C15" w:rsidP="00562C15"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  <w:r w:rsidR="004D35FC">
        <w:t xml:space="preserve"> </w:t>
      </w:r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  <w:r w:rsidR="004D35FC">
        <w:t xml:space="preserve"> </w:t>
      </w:r>
      <w:r w:rsidR="00572828" w:rsidRPr="003A250A">
        <w:t>L’ensemble du document ne doit pas dépasser dix pages format A4, police 10 (hors annexes CV, modèles livrables, outils, …etc).</w:t>
      </w:r>
    </w:p>
    <w:p w14:paraId="2CC6920C" w14:textId="77777777" w:rsidR="00F4586C" w:rsidRPr="001B296E" w:rsidRDefault="00562C15" w:rsidP="006E5832">
      <w:pPr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48A12A06" w14:textId="77777777" w:rsidR="00562C15" w:rsidRDefault="008475A9" w:rsidP="00562C15">
      <w:pPr>
        <w:pStyle w:val="Titre"/>
        <w:jc w:val="both"/>
      </w:pPr>
      <w:bookmarkStart w:id="6" w:name="_Toc128638189"/>
      <w:r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6"/>
    </w:p>
    <w:p w14:paraId="69D5F833" w14:textId="5596551B" w:rsidR="008475A9" w:rsidRPr="008475A9" w:rsidRDefault="008475A9" w:rsidP="00F77157">
      <w:pPr>
        <w:pStyle w:val="Titre1"/>
      </w:pPr>
      <w:bookmarkStart w:id="7" w:name="_Toc128638190"/>
      <w:r>
        <w:t>Méthodologie</w:t>
      </w:r>
      <w:bookmarkEnd w:id="7"/>
      <w:r w:rsidR="00273192">
        <w:t xml:space="preserve"> et organisation opérationnelle</w:t>
      </w:r>
    </w:p>
    <w:p w14:paraId="509FBC6E" w14:textId="77777777" w:rsidR="007751B4" w:rsidRDefault="004E1108" w:rsidP="008475A9">
      <w:r>
        <w:t xml:space="preserve">Pour chaque </w:t>
      </w:r>
      <w:bookmarkStart w:id="8" w:name="_Hlk503429223"/>
      <w:r w:rsidR="00043068">
        <w:t xml:space="preserve">lot </w:t>
      </w:r>
      <w:r w:rsidR="007751B4">
        <w:t>auquel il soumissionne,</w:t>
      </w:r>
      <w:r w:rsidR="008475A9">
        <w:t xml:space="preserve"> le candidat présente</w:t>
      </w:r>
      <w:r w:rsidR="007751B4">
        <w:t> :</w:t>
      </w:r>
    </w:p>
    <w:p w14:paraId="1B0CA420" w14:textId="779C7B56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modalités détaillées de réa</w:t>
      </w:r>
      <w:r w:rsidR="0084177C">
        <w:t>lisation de chaque lot</w:t>
      </w:r>
      <w:r w:rsidRPr="008475A9">
        <w:t xml:space="preserve">, </w:t>
      </w:r>
      <w:r w:rsidR="00273192">
        <w:t>l’organisation en site hospitalier et occupé</w:t>
      </w:r>
    </w:p>
    <w:p w14:paraId="4F012323" w14:textId="08A1D425" w:rsidR="007751B4" w:rsidRDefault="007751B4" w:rsidP="007751B4">
      <w:pPr>
        <w:pStyle w:val="Paragraphedeliste"/>
        <w:numPr>
          <w:ilvl w:val="0"/>
          <w:numId w:val="20"/>
        </w:numPr>
      </w:pPr>
      <w:proofErr w:type="gramStart"/>
      <w:r>
        <w:t>la</w:t>
      </w:r>
      <w:proofErr w:type="gramEnd"/>
      <w:r>
        <w:t xml:space="preserve"> plani</w:t>
      </w:r>
      <w:r w:rsidR="0084177C">
        <w:t>fication des travaux</w:t>
      </w:r>
      <w:r>
        <w:t xml:space="preserve">, </w:t>
      </w:r>
      <w:r w:rsidR="00273192">
        <w:t>planning et cadencement</w:t>
      </w:r>
    </w:p>
    <w:p w14:paraId="79ADC270" w14:textId="77777777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14:paraId="3CDB090E" w14:textId="23B7D358" w:rsidR="006B0231" w:rsidRDefault="008475A9" w:rsidP="006B0231">
      <w:pPr>
        <w:pStyle w:val="Paragraphedeliste"/>
        <w:numPr>
          <w:ilvl w:val="0"/>
          <w:numId w:val="20"/>
        </w:numPr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14:paraId="3B0AFB54" w14:textId="77777777" w:rsidR="006B0231" w:rsidRDefault="006B0231" w:rsidP="006B0231">
      <w:pPr>
        <w:pStyle w:val="Paragraphedeliste"/>
        <w:numPr>
          <w:ilvl w:val="0"/>
          <w:numId w:val="20"/>
        </w:numPr>
      </w:pPr>
      <w:r>
        <w:t>Fournir impérativement un planning général de l’opération</w:t>
      </w:r>
    </w:p>
    <w:p w14:paraId="2F58A6D9" w14:textId="1352DA1D" w:rsidR="006B0231" w:rsidRDefault="006B0231" w:rsidP="006B0231">
      <w:pPr>
        <w:pStyle w:val="Paragraphedeliste"/>
        <w:numPr>
          <w:ilvl w:val="0"/>
          <w:numId w:val="20"/>
        </w:numPr>
      </w:pPr>
      <w:r>
        <w:t>Planning détaillé précisant le temps d’exécution phase par phase</w:t>
      </w:r>
    </w:p>
    <w:p w14:paraId="2F763764" w14:textId="1689FD7A" w:rsidR="006B0231" w:rsidRDefault="006B0231" w:rsidP="006B0231">
      <w:pPr>
        <w:pStyle w:val="Paragraphedeliste"/>
        <w:numPr>
          <w:ilvl w:val="0"/>
          <w:numId w:val="20"/>
        </w:numPr>
      </w:pPr>
      <w:r>
        <w:t>Planning intervention dans le site</w:t>
      </w:r>
    </w:p>
    <w:p w14:paraId="7B5E8247" w14:textId="497A2264" w:rsidR="006B0231" w:rsidRDefault="006B0231" w:rsidP="006B0231">
      <w:pPr>
        <w:pStyle w:val="Paragraphedeliste"/>
        <w:numPr>
          <w:ilvl w:val="0"/>
          <w:numId w:val="20"/>
        </w:numPr>
      </w:pPr>
      <w:r>
        <w:t>Méthodologie de communication (affichage)</w:t>
      </w:r>
    </w:p>
    <w:p w14:paraId="73B8E57C" w14:textId="77777777" w:rsidR="006B0231" w:rsidRDefault="006B0231" w:rsidP="006B0231">
      <w:pPr>
        <w:pStyle w:val="Paragraphedeliste"/>
        <w:numPr>
          <w:ilvl w:val="0"/>
          <w:numId w:val="20"/>
        </w:numPr>
      </w:pPr>
      <w:r>
        <w:t>Comment assurez-vous le respect du montant du marché ?</w:t>
      </w:r>
    </w:p>
    <w:p w14:paraId="5DA55A19" w14:textId="77777777" w:rsidR="006B0231" w:rsidRDefault="006B0231" w:rsidP="006B0231">
      <w:pPr>
        <w:pStyle w:val="Paragraphedeliste"/>
        <w:numPr>
          <w:ilvl w:val="0"/>
          <w:numId w:val="20"/>
        </w:numPr>
      </w:pPr>
      <w:r>
        <w:t>Décrire la gestion et la méthode de contrôle et d’autocontrôle mettez-vous en place sur le chantier</w:t>
      </w:r>
    </w:p>
    <w:p w14:paraId="2B7E679F" w14:textId="0B9EE799" w:rsidR="006B0231" w:rsidRDefault="006B0231" w:rsidP="006B0231">
      <w:pPr>
        <w:pStyle w:val="Paragraphedeliste"/>
        <w:numPr>
          <w:ilvl w:val="0"/>
          <w:numId w:val="20"/>
        </w:numPr>
      </w:pPr>
      <w:r>
        <w:t>En cas de dérapage de planning, quelle méthodologie envisagez-vous pour respecter les engagements ?</w:t>
      </w:r>
    </w:p>
    <w:p w14:paraId="6A2798C2" w14:textId="009528A7" w:rsidR="00A03404" w:rsidRDefault="00A03404" w:rsidP="006B0231">
      <w:pPr>
        <w:pStyle w:val="Paragraphedeliste"/>
        <w:numPr>
          <w:ilvl w:val="0"/>
          <w:numId w:val="20"/>
        </w:numPr>
      </w:pPr>
      <w:r w:rsidRPr="00731FB0">
        <w:rPr>
          <w:rFonts w:cs="Times New Roman"/>
        </w:rPr>
        <w:t xml:space="preserve">En cas de pose et fourniture d’équipement technique nécessitant un contrat d’entretien, avez-vous pris en considération son cycle de vie et son coût d’entretien dans votre choix ? si oui merci de préciser et </w:t>
      </w:r>
      <w:r>
        <w:rPr>
          <w:rFonts w:cs="Times New Roman"/>
        </w:rPr>
        <w:t xml:space="preserve">de </w:t>
      </w:r>
      <w:r w:rsidRPr="00731FB0">
        <w:rPr>
          <w:rFonts w:cs="Times New Roman"/>
        </w:rPr>
        <w:t>détailler</w:t>
      </w:r>
      <w:r>
        <w:rPr>
          <w:rFonts w:cs="Times New Roman"/>
        </w:rPr>
        <w:t>.</w:t>
      </w:r>
    </w:p>
    <w:p w14:paraId="54D01418" w14:textId="4C6D9946" w:rsidR="00562C15" w:rsidRPr="0088122F" w:rsidRDefault="00A03404" w:rsidP="00CF7F49">
      <w:pPr>
        <w:pStyle w:val="Titre1"/>
      </w:pPr>
      <w:bookmarkStart w:id="9" w:name="_Toc128638191"/>
      <w:bookmarkEnd w:id="8"/>
      <w:r w:rsidRPr="00A03404">
        <w:t xml:space="preserve">Moyens Humains </w:t>
      </w:r>
      <w:r>
        <w:t xml:space="preserve">et </w:t>
      </w:r>
      <w:r w:rsidR="00F4586C">
        <w:t>Organisation de l’équipe</w:t>
      </w:r>
      <w:bookmarkEnd w:id="9"/>
      <w:r w:rsidR="00F24AB1">
        <w:t xml:space="preserve"> </w:t>
      </w:r>
      <w:r w:rsidR="004D35FC">
        <w:t>dédiés</w:t>
      </w:r>
    </w:p>
    <w:p w14:paraId="12996EE8" w14:textId="309223B4" w:rsidR="00A03404" w:rsidRDefault="0084177C" w:rsidP="008475A9">
      <w:pPr>
        <w:suppressAutoHyphens/>
        <w:autoSpaceDN w:val="0"/>
        <w:spacing w:before="0" w:after="160" w:line="254" w:lineRule="auto"/>
        <w:textAlignment w:val="baseline"/>
        <w:rPr>
          <w:rFonts w:cs="Times New Roman"/>
        </w:rPr>
      </w:pPr>
      <w:bookmarkStart w:id="10" w:name="_Hlk184995914"/>
      <w:r w:rsidRPr="00A03404">
        <w:rPr>
          <w:rFonts w:cs="Times New Roman"/>
        </w:rPr>
        <w:t>Pour chaque lot</w:t>
      </w:r>
      <w:r w:rsidR="007751B4" w:rsidRPr="00A03404">
        <w:rPr>
          <w:rFonts w:cs="Times New Roman"/>
        </w:rPr>
        <w:t xml:space="preserve"> auquel il soumissionne</w:t>
      </w:r>
      <w:r w:rsidR="00F4586C" w:rsidRPr="00A03404">
        <w:rPr>
          <w:rFonts w:cs="Times New Roman"/>
        </w:rPr>
        <w:t xml:space="preserve">, le candidat présente </w:t>
      </w:r>
      <w:bookmarkEnd w:id="10"/>
      <w:r w:rsidR="008475A9" w:rsidRPr="00A03404">
        <w:rPr>
          <w:rFonts w:cs="Times New Roman"/>
        </w:rPr>
        <w:t xml:space="preserve">l’organisation de l’équipe </w:t>
      </w:r>
      <w:r w:rsidR="00941C1A" w:rsidRPr="00A03404">
        <w:rPr>
          <w:rFonts w:cs="Times New Roman"/>
        </w:rPr>
        <w:t>mise en place. Cette présentation permet</w:t>
      </w:r>
      <w:r w:rsidR="008475A9" w:rsidRPr="00A03404">
        <w:rPr>
          <w:rFonts w:cs="Times New Roman"/>
        </w:rPr>
        <w:t xml:space="preserve"> au </w:t>
      </w:r>
      <w:r w:rsidR="00574015" w:rsidRPr="00A03404">
        <w:rPr>
          <w:rFonts w:cs="Times New Roman"/>
        </w:rPr>
        <w:t>pouvoir adjudicateur de juger de la qualité et de l</w:t>
      </w:r>
      <w:r w:rsidR="008475A9" w:rsidRPr="00A03404">
        <w:rPr>
          <w:rFonts w:cs="Times New Roman"/>
        </w:rPr>
        <w:t xml:space="preserve">a cohérence de l’équipe dédiée aux </w:t>
      </w:r>
      <w:r w:rsidR="00A03404">
        <w:rPr>
          <w:rFonts w:cs="Times New Roman"/>
        </w:rPr>
        <w:t>prestations attendues</w:t>
      </w:r>
      <w:r w:rsidR="008475A9" w:rsidRPr="00A03404">
        <w:rPr>
          <w:rFonts w:cs="Times New Roman"/>
        </w:rPr>
        <w:t xml:space="preserve">. </w:t>
      </w:r>
    </w:p>
    <w:p w14:paraId="77793197" w14:textId="77777777" w:rsidR="00A03404" w:rsidRPr="00A03404" w:rsidRDefault="00A03404" w:rsidP="00A03404">
      <w:pPr>
        <w:pStyle w:val="Paragraphedeliste"/>
        <w:numPr>
          <w:ilvl w:val="0"/>
          <w:numId w:val="19"/>
        </w:numPr>
        <w:rPr>
          <w:rFonts w:cs="Times New Roman"/>
        </w:rPr>
      </w:pPr>
      <w:r w:rsidRPr="00A03404">
        <w:rPr>
          <w:rFonts w:cs="Times New Roman"/>
        </w:rPr>
        <w:lastRenderedPageBreak/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14:paraId="0336DD1C" w14:textId="007FBF41" w:rsidR="007751B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rPr>
          <w:rFonts w:cs="Times New Roman"/>
        </w:rPr>
        <w:t>Les références de chacun des intervenants, comparables à la présente mission, sont mises en exergue dans les curriculums vitae des intervenants.</w:t>
      </w:r>
      <w:r>
        <w:rPr>
          <w:rFonts w:cs="Times New Roman"/>
        </w:rPr>
        <w:t xml:space="preserve"> </w:t>
      </w:r>
      <w:r w:rsidR="008475A9" w:rsidRPr="00A03404">
        <w:rPr>
          <w:rFonts w:cs="Times New Roman"/>
        </w:rPr>
        <w:t>La liste nominative</w:t>
      </w:r>
      <w:r w:rsidR="00941C1A" w:rsidRPr="00A03404">
        <w:rPr>
          <w:rFonts w:cs="Times New Roman"/>
        </w:rPr>
        <w:t>,</w:t>
      </w:r>
      <w:r w:rsidR="008475A9" w:rsidRPr="00A03404">
        <w:rPr>
          <w:rFonts w:cs="Times New Roman"/>
        </w:rPr>
        <w:t xml:space="preserve"> sous forme d’organigramme</w:t>
      </w:r>
      <w:r w:rsidR="00941C1A" w:rsidRPr="00A03404">
        <w:rPr>
          <w:rFonts w:cs="Times New Roman"/>
        </w:rPr>
        <w:t>,</w:t>
      </w:r>
      <w:r w:rsidR="008475A9" w:rsidRPr="00A03404">
        <w:rPr>
          <w:rFonts w:cs="Times New Roman"/>
        </w:rPr>
        <w:t xml:space="preserve"> de l’équipe qui est affectée à l’ex</w:t>
      </w:r>
      <w:r w:rsidR="00043068" w:rsidRPr="00A03404">
        <w:rPr>
          <w:rFonts w:cs="Times New Roman"/>
        </w:rPr>
        <w:t>écution des travaux</w:t>
      </w:r>
      <w:r w:rsidR="008475A9" w:rsidRPr="00A03404">
        <w:rPr>
          <w:rFonts w:cs="Times New Roman"/>
        </w:rPr>
        <w:t xml:space="preserve">, </w:t>
      </w:r>
    </w:p>
    <w:p w14:paraId="3243993F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 xml:space="preserve">Quel interlocuteur dédié prévoyez-vous de mettre à la disposition du pouvoir adjudicateur </w:t>
      </w:r>
    </w:p>
    <w:p w14:paraId="665AC1FA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>Pouvez-vous donner son nom, son mail et sa ligne directe</w:t>
      </w:r>
    </w:p>
    <w:p w14:paraId="42D08796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>Quelle est la position hiérarchique de cet interlocuteur dédié au sein de l’organigramme</w:t>
      </w:r>
    </w:p>
    <w:p w14:paraId="54EE5152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>Présentez son CV détaillé</w:t>
      </w:r>
    </w:p>
    <w:p w14:paraId="55B289BC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 xml:space="preserve">Quel sera sa disponibilité (nombre d’opérations confiées en cours) </w:t>
      </w:r>
    </w:p>
    <w:p w14:paraId="3D5ACE0F" w14:textId="77777777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 xml:space="preserve"> Quel sera son suppléant en cas d'empêchement </w:t>
      </w:r>
    </w:p>
    <w:p w14:paraId="17D10D00" w14:textId="11CE527D" w:rsidR="00A03404" w:rsidRPr="00A03404" w:rsidRDefault="00A03404" w:rsidP="00A03404">
      <w:pPr>
        <w:pStyle w:val="Paragraphedeliste"/>
        <w:numPr>
          <w:ilvl w:val="0"/>
          <w:numId w:val="19"/>
        </w:numPr>
      </w:pPr>
      <w:r w:rsidRPr="00A03404">
        <w:t>Présentation de l’équipe complète (cv et rôle dans l’opération)</w:t>
      </w:r>
    </w:p>
    <w:p w14:paraId="59F9C535" w14:textId="77777777" w:rsidR="007751B4" w:rsidRPr="00A0340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A03404">
        <w:rPr>
          <w:rFonts w:cs="Times New Roman"/>
        </w:rPr>
        <w:t>le</w:t>
      </w:r>
      <w:proofErr w:type="gramEnd"/>
      <w:r w:rsidRPr="00A03404">
        <w:rPr>
          <w:rFonts w:cs="Times New Roman"/>
        </w:rPr>
        <w:t xml:space="preserve"> domaine d’intervention des différents intervenants, </w:t>
      </w:r>
    </w:p>
    <w:p w14:paraId="5E0F56FF" w14:textId="77777777" w:rsidR="007751B4" w:rsidRPr="00A0340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A03404">
        <w:rPr>
          <w:rFonts w:cs="Times New Roman"/>
        </w:rPr>
        <w:t>l’indication</w:t>
      </w:r>
      <w:proofErr w:type="gramEnd"/>
      <w:r w:rsidRPr="00A0340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14:paraId="0D895F30" w14:textId="77777777" w:rsidR="00941C1A" w:rsidRPr="00A03404" w:rsidRDefault="007751B4" w:rsidP="00941C1A">
      <w:pPr>
        <w:pStyle w:val="Paragraphedeliste"/>
        <w:numPr>
          <w:ilvl w:val="0"/>
          <w:numId w:val="19"/>
        </w:numPr>
      </w:pPr>
      <w:proofErr w:type="gramStart"/>
      <w:r w:rsidRPr="00A03404">
        <w:rPr>
          <w:rFonts w:cs="Times New Roman"/>
        </w:rPr>
        <w:t>les</w:t>
      </w:r>
      <w:proofErr w:type="gramEnd"/>
      <w:r w:rsidRPr="00A03404">
        <w:rPr>
          <w:rFonts w:cs="Times New Roman"/>
        </w:rPr>
        <w:t xml:space="preserve"> </w:t>
      </w:r>
      <w:r w:rsidR="008475A9" w:rsidRPr="00A03404">
        <w:rPr>
          <w:rFonts w:cs="Times New Roman"/>
        </w:rPr>
        <w:t>modalités de coordination de l’équipe.</w:t>
      </w:r>
    </w:p>
    <w:p w14:paraId="6A157326" w14:textId="77777777" w:rsidR="00941C1A" w:rsidRPr="006B28A7" w:rsidRDefault="00941C1A" w:rsidP="00941C1A">
      <w:pPr>
        <w:pStyle w:val="Paragraphedeliste"/>
      </w:pPr>
    </w:p>
    <w:p w14:paraId="53EF7A48" w14:textId="26DBB269" w:rsidR="00B858FA" w:rsidRPr="00B858FA" w:rsidRDefault="00A03404" w:rsidP="00AD1F92">
      <w:pPr>
        <w:pStyle w:val="Titre1"/>
        <w:ind w:left="720"/>
      </w:pPr>
      <w:bookmarkStart w:id="11" w:name="_Toc128638192"/>
      <w:r w:rsidRPr="00A03404">
        <w:t xml:space="preserve">Moyens matériels affectés à l’opération </w:t>
      </w:r>
      <w:bookmarkEnd w:id="11"/>
    </w:p>
    <w:p w14:paraId="4274349B" w14:textId="1FC522D3" w:rsidR="001B296E" w:rsidRDefault="000945CC" w:rsidP="000207D9">
      <w:r w:rsidRPr="000945CC">
        <w:t>Pour chaque lot auquel il soumissionne, le candidat présente</w:t>
      </w:r>
      <w:r>
        <w:t> :</w:t>
      </w:r>
    </w:p>
    <w:p w14:paraId="46ED34DF" w14:textId="09EA09FD" w:rsidR="00A03404" w:rsidRDefault="00A03404" w:rsidP="00A03404">
      <w:pPr>
        <w:pStyle w:val="Paragraphedeliste"/>
        <w:numPr>
          <w:ilvl w:val="0"/>
          <w:numId w:val="26"/>
        </w:numPr>
      </w:pPr>
      <w:r>
        <w:t>Quels moyens matériels dédiés-vous aux prestations ? (</w:t>
      </w:r>
      <w:r w:rsidR="000945CC">
        <w:t>Matériels</w:t>
      </w:r>
      <w:r>
        <w:t xml:space="preserve"> spécifiques à la particularité su chantier…)</w:t>
      </w:r>
    </w:p>
    <w:p w14:paraId="72911492" w14:textId="77777777" w:rsidR="00A03404" w:rsidRDefault="00A03404" w:rsidP="00A03404">
      <w:pPr>
        <w:pStyle w:val="Paragraphedeliste"/>
        <w:numPr>
          <w:ilvl w:val="0"/>
          <w:numId w:val="26"/>
        </w:numPr>
      </w:pPr>
      <w:r>
        <w:t>Sécurité du chantier pour les salariés de l’entreprise, des sous-traitants (mesure mises en place pour empêcher les intrusions, lutter contre le travail clandestin…)</w:t>
      </w:r>
    </w:p>
    <w:p w14:paraId="42CF0938" w14:textId="66D9549E" w:rsidR="00A03404" w:rsidRDefault="00A03404" w:rsidP="00A03404">
      <w:pPr>
        <w:pStyle w:val="Paragraphedeliste"/>
        <w:numPr>
          <w:ilvl w:val="0"/>
          <w:numId w:val="26"/>
        </w:numPr>
      </w:pPr>
      <w:r>
        <w:t>Quelle installation de chantier avez-vous prévue ? (</w:t>
      </w:r>
      <w:r w:rsidR="000945CC">
        <w:t>Description</w:t>
      </w:r>
      <w:r>
        <w:t>, implantation, description de la base vie, vestiaire, plan et plan de survol des grues le cas échéant)</w:t>
      </w:r>
    </w:p>
    <w:p w14:paraId="57A3B58E" w14:textId="5BD93EA3" w:rsidR="00A03404" w:rsidRDefault="00A03404" w:rsidP="000207D9">
      <w:pPr>
        <w:pStyle w:val="Paragraphedeliste"/>
        <w:numPr>
          <w:ilvl w:val="0"/>
          <w:numId w:val="26"/>
        </w:numPr>
      </w:pPr>
      <w:r>
        <w:t>Acheminement et stockage des matériaux (description de l’approvisionnement, du stockage, du tri et des filières de traitement)</w:t>
      </w:r>
    </w:p>
    <w:p w14:paraId="7F12E543" w14:textId="77777777" w:rsidR="000207D9" w:rsidRPr="000207D9" w:rsidRDefault="000207D9" w:rsidP="000207D9">
      <w:pPr>
        <w:pStyle w:val="Titre1"/>
        <w:numPr>
          <w:ilvl w:val="0"/>
          <w:numId w:val="0"/>
        </w:numPr>
      </w:pPr>
      <w:bookmarkStart w:id="12" w:name="_Toc128638193"/>
      <w:r>
        <w:t>Article 4.</w:t>
      </w:r>
      <w:r w:rsidRPr="000207D9">
        <w:t xml:space="preserve"> Note détaillée portant sur la démarche environnementale et la politique RSE</w:t>
      </w:r>
      <w:bookmarkEnd w:id="12"/>
    </w:p>
    <w:p w14:paraId="12F23C12" w14:textId="77777777" w:rsidR="000207D9" w:rsidRPr="000207D9" w:rsidRDefault="000207D9" w:rsidP="000207D9">
      <w:r w:rsidRPr="000207D9">
        <w:t xml:space="preserve">Description détaillée de la démarche environnementale des candidats à travers notamment des dispositions particulières en matière de politique RSE déjà mises en œuvre comme par exemple : </w:t>
      </w:r>
    </w:p>
    <w:p w14:paraId="71F73469" w14:textId="77777777" w:rsidR="000207D9" w:rsidRPr="000207D9" w:rsidRDefault="000207D9" w:rsidP="000945CC">
      <w:pPr>
        <w:pStyle w:val="Paragraphedeliste"/>
        <w:numPr>
          <w:ilvl w:val="0"/>
          <w:numId w:val="26"/>
        </w:numPr>
      </w:pPr>
      <w:r w:rsidRPr="000207D9">
        <w:t xml:space="preserve">• Flotte de véhicule chantier non polluant ; </w:t>
      </w:r>
    </w:p>
    <w:p w14:paraId="33A290FD" w14:textId="77777777" w:rsidR="000207D9" w:rsidRPr="000207D9" w:rsidRDefault="000207D9" w:rsidP="000945CC">
      <w:pPr>
        <w:pStyle w:val="Paragraphedeliste"/>
        <w:numPr>
          <w:ilvl w:val="0"/>
          <w:numId w:val="26"/>
        </w:numPr>
      </w:pPr>
      <w:r w:rsidRPr="000207D9">
        <w:t xml:space="preserve">• Parc matériel économe en énergie et non polluant ; </w:t>
      </w:r>
    </w:p>
    <w:p w14:paraId="7EA102A9" w14:textId="2CD840DC" w:rsidR="000207D9" w:rsidRPr="000207D9" w:rsidRDefault="000207D9" w:rsidP="000945CC">
      <w:pPr>
        <w:pStyle w:val="Paragraphedeliste"/>
        <w:numPr>
          <w:ilvl w:val="0"/>
          <w:numId w:val="26"/>
        </w:numPr>
      </w:pPr>
      <w:r w:rsidRPr="000207D9">
        <w:t xml:space="preserve">• Insertion par l’économie ; </w:t>
      </w:r>
    </w:p>
    <w:p w14:paraId="3509B510" w14:textId="77777777" w:rsidR="00273192" w:rsidRDefault="000207D9" w:rsidP="000945CC">
      <w:pPr>
        <w:pStyle w:val="Paragraphedeliste"/>
        <w:numPr>
          <w:ilvl w:val="0"/>
          <w:numId w:val="26"/>
        </w:numPr>
      </w:pPr>
      <w:r w:rsidRPr="000207D9">
        <w:t>• Utilisation de produit issu d’une économie écologique ;</w:t>
      </w:r>
    </w:p>
    <w:p w14:paraId="1E14C92E" w14:textId="27FF956C" w:rsidR="00B858FA" w:rsidRDefault="00273192" w:rsidP="000900EF">
      <w:pPr>
        <w:pStyle w:val="Paragraphedeliste"/>
        <w:ind w:left="360" w:hanging="360"/>
      </w:pPr>
      <w:r>
        <w:t>P</w:t>
      </w:r>
      <w:r w:rsidR="000207D9" w:rsidRPr="000207D9">
        <w:t xml:space="preserve">résenter </w:t>
      </w:r>
      <w:r>
        <w:t>le</w:t>
      </w:r>
      <w:r w:rsidR="000207D9" w:rsidRPr="000207D9">
        <w:t xml:space="preserve"> plan de gestion des déchets de chantier</w:t>
      </w:r>
      <w:r>
        <w:t xml:space="preserve"> prévu</w:t>
      </w:r>
      <w:r w:rsidR="000207D9" w:rsidRPr="000207D9">
        <w:t xml:space="preserve">, </w:t>
      </w:r>
      <w:r>
        <w:t xml:space="preserve">y intégrer le </w:t>
      </w:r>
      <w:r w:rsidR="000207D9" w:rsidRPr="000207D9">
        <w:t>plan de limitation des nuisances</w:t>
      </w:r>
      <w:r>
        <w:t xml:space="preserve">. Indiquer avec précisions les modalités de gestion des déchets : mode opératoire tri et recyclage des matériaux partenariat pour valorisation de certains déchets </w:t>
      </w:r>
    </w:p>
    <w:sectPr w:rsidR="00B858FA" w:rsidSect="00D83B22">
      <w:footerReference w:type="default" r:id="rId10"/>
      <w:footerReference w:type="first" r:id="rId11"/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A4BD" w14:textId="77777777" w:rsidR="00224993" w:rsidRDefault="00224993" w:rsidP="00992278">
      <w:r>
        <w:separator/>
      </w:r>
    </w:p>
  </w:endnote>
  <w:endnote w:type="continuationSeparator" w:id="0">
    <w:p w14:paraId="4BD025BC" w14:textId="77777777" w:rsidR="00224993" w:rsidRDefault="00224993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0687465"/>
      <w:docPartObj>
        <w:docPartGallery w:val="Page Numbers (Bottom of Page)"/>
        <w:docPartUnique/>
      </w:docPartObj>
    </w:sdtPr>
    <w:sdtEndPr/>
    <w:sdtContent>
      <w:p w14:paraId="73CEEB29" w14:textId="4EBD81B9" w:rsidR="000945CC" w:rsidRDefault="000945C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7D20DD" w14:textId="77777777" w:rsidR="000945CC" w:rsidRDefault="000945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293762"/>
      <w:docPartObj>
        <w:docPartGallery w:val="Page Numbers (Bottom of Page)"/>
        <w:docPartUnique/>
      </w:docPartObj>
    </w:sdtPr>
    <w:sdtEndPr/>
    <w:sdtContent>
      <w:p w14:paraId="58DBD9C9" w14:textId="58E19AC3" w:rsidR="00273192" w:rsidRDefault="0027319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895672" w14:textId="77777777" w:rsidR="00273192" w:rsidRDefault="002731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8D6E" w14:textId="77777777" w:rsidR="00224993" w:rsidRDefault="00224993" w:rsidP="00992278">
      <w:r>
        <w:separator/>
      </w:r>
    </w:p>
  </w:footnote>
  <w:footnote w:type="continuationSeparator" w:id="0">
    <w:p w14:paraId="47D0E72F" w14:textId="77777777" w:rsidR="00224993" w:rsidRDefault="00224993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F1E"/>
    <w:multiLevelType w:val="hybridMultilevel"/>
    <w:tmpl w:val="5A38A056"/>
    <w:lvl w:ilvl="0" w:tplc="1C2C3312">
      <w:numFmt w:val="bullet"/>
      <w:lvlText w:val="•"/>
      <w:lvlJc w:val="left"/>
      <w:pPr>
        <w:ind w:left="36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238F5"/>
    <w:multiLevelType w:val="hybridMultilevel"/>
    <w:tmpl w:val="EA08F18A"/>
    <w:lvl w:ilvl="0" w:tplc="76F2BCB2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C2500"/>
    <w:multiLevelType w:val="hybridMultilevel"/>
    <w:tmpl w:val="B944FA2A"/>
    <w:lvl w:ilvl="0" w:tplc="D416FABE">
      <w:start w:val="1"/>
      <w:numFmt w:val="bullet"/>
      <w:lvlText w:val="+"/>
      <w:lvlJc w:val="left"/>
      <w:pPr>
        <w:ind w:left="786" w:hanging="360"/>
      </w:pPr>
      <w:rPr>
        <w:rFonts w:ascii="Arial" w:hAnsi="Arial" w:hint="default"/>
        <w:b w:val="0"/>
        <w:i w:val="0"/>
        <w:color w:val="000000" w:themeColor="text1"/>
        <w:sz w:val="34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251B3"/>
    <w:multiLevelType w:val="hybridMultilevel"/>
    <w:tmpl w:val="312A85F6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03285"/>
    <w:multiLevelType w:val="hybridMultilevel"/>
    <w:tmpl w:val="5F7A33B2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6"/>
  </w:num>
  <w:num w:numId="6">
    <w:abstractNumId w:val="14"/>
  </w:num>
  <w:num w:numId="7">
    <w:abstractNumId w:val="3"/>
  </w:num>
  <w:num w:numId="8">
    <w:abstractNumId w:val="12"/>
  </w:num>
  <w:num w:numId="9">
    <w:abstractNumId w:val="5"/>
  </w:num>
  <w:num w:numId="10">
    <w:abstractNumId w:val="1"/>
  </w:num>
  <w:num w:numId="11">
    <w:abstractNumId w:val="14"/>
  </w:num>
  <w:num w:numId="12">
    <w:abstractNumId w:val="4"/>
  </w:num>
  <w:num w:numId="13">
    <w:abstractNumId w:val="13"/>
  </w:num>
  <w:num w:numId="14">
    <w:abstractNumId w:val="8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5"/>
  </w:num>
  <w:num w:numId="19">
    <w:abstractNumId w:val="6"/>
  </w:num>
  <w:num w:numId="20">
    <w:abstractNumId w:val="11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</w:num>
  <w:num w:numId="24">
    <w:abstractNumId w:val="0"/>
  </w:num>
  <w:num w:numId="25">
    <w:abstractNumId w:val="7"/>
  </w:num>
  <w:num w:numId="2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E"/>
    <w:rsid w:val="00001408"/>
    <w:rsid w:val="00005A9C"/>
    <w:rsid w:val="00016E2F"/>
    <w:rsid w:val="000207D9"/>
    <w:rsid w:val="00020FBC"/>
    <w:rsid w:val="00025DB0"/>
    <w:rsid w:val="00026223"/>
    <w:rsid w:val="00026B0A"/>
    <w:rsid w:val="00030AA9"/>
    <w:rsid w:val="00042F71"/>
    <w:rsid w:val="00043068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45CC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4DE6"/>
    <w:rsid w:val="000E4EB3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72D9"/>
    <w:rsid w:val="001206B4"/>
    <w:rsid w:val="00120D23"/>
    <w:rsid w:val="00123BB2"/>
    <w:rsid w:val="00131EC0"/>
    <w:rsid w:val="00133846"/>
    <w:rsid w:val="00136742"/>
    <w:rsid w:val="00153CA6"/>
    <w:rsid w:val="00154787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296E"/>
    <w:rsid w:val="001B69B8"/>
    <w:rsid w:val="001C190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3192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2FC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6C5F"/>
    <w:rsid w:val="0043407E"/>
    <w:rsid w:val="00436E02"/>
    <w:rsid w:val="00437031"/>
    <w:rsid w:val="004373B8"/>
    <w:rsid w:val="00441307"/>
    <w:rsid w:val="00445A3C"/>
    <w:rsid w:val="004479D4"/>
    <w:rsid w:val="0046078C"/>
    <w:rsid w:val="0046087E"/>
    <w:rsid w:val="00462107"/>
    <w:rsid w:val="0046455C"/>
    <w:rsid w:val="00465F80"/>
    <w:rsid w:val="00471844"/>
    <w:rsid w:val="00474E49"/>
    <w:rsid w:val="00481822"/>
    <w:rsid w:val="00483EFD"/>
    <w:rsid w:val="0048546B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35FC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55E4"/>
    <w:rsid w:val="005A321C"/>
    <w:rsid w:val="005A64E0"/>
    <w:rsid w:val="005A7CF5"/>
    <w:rsid w:val="005C09D3"/>
    <w:rsid w:val="005C7DE7"/>
    <w:rsid w:val="005E788D"/>
    <w:rsid w:val="005F2E1E"/>
    <w:rsid w:val="006019C6"/>
    <w:rsid w:val="006047E9"/>
    <w:rsid w:val="00611F21"/>
    <w:rsid w:val="00616B3E"/>
    <w:rsid w:val="0062069B"/>
    <w:rsid w:val="0062396C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04E2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231"/>
    <w:rsid w:val="006B0708"/>
    <w:rsid w:val="006B2531"/>
    <w:rsid w:val="006B4DA6"/>
    <w:rsid w:val="006C3836"/>
    <w:rsid w:val="006C4368"/>
    <w:rsid w:val="006C589A"/>
    <w:rsid w:val="006C763F"/>
    <w:rsid w:val="006D19A2"/>
    <w:rsid w:val="006D26EE"/>
    <w:rsid w:val="006D3E3F"/>
    <w:rsid w:val="006E2534"/>
    <w:rsid w:val="006E3F64"/>
    <w:rsid w:val="006E50C3"/>
    <w:rsid w:val="006E5832"/>
    <w:rsid w:val="006F09A0"/>
    <w:rsid w:val="006F3FD9"/>
    <w:rsid w:val="006F7728"/>
    <w:rsid w:val="006F7A88"/>
    <w:rsid w:val="0070044E"/>
    <w:rsid w:val="0070689E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530DD"/>
    <w:rsid w:val="00755193"/>
    <w:rsid w:val="00755C04"/>
    <w:rsid w:val="0076008C"/>
    <w:rsid w:val="007618DA"/>
    <w:rsid w:val="00761CFF"/>
    <w:rsid w:val="007630D7"/>
    <w:rsid w:val="0076557D"/>
    <w:rsid w:val="0076672D"/>
    <w:rsid w:val="00771E1A"/>
    <w:rsid w:val="00772452"/>
    <w:rsid w:val="00772B57"/>
    <w:rsid w:val="007751B4"/>
    <w:rsid w:val="00776620"/>
    <w:rsid w:val="00777849"/>
    <w:rsid w:val="007801B1"/>
    <w:rsid w:val="00781676"/>
    <w:rsid w:val="00782211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40B3B"/>
    <w:rsid w:val="0084177C"/>
    <w:rsid w:val="00842E0A"/>
    <w:rsid w:val="008475A9"/>
    <w:rsid w:val="008516E0"/>
    <w:rsid w:val="00853AB8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9F38B8"/>
    <w:rsid w:val="00A030A2"/>
    <w:rsid w:val="00A03404"/>
    <w:rsid w:val="00A039CD"/>
    <w:rsid w:val="00A056F8"/>
    <w:rsid w:val="00A11D27"/>
    <w:rsid w:val="00A17208"/>
    <w:rsid w:val="00A2644C"/>
    <w:rsid w:val="00A3210B"/>
    <w:rsid w:val="00A34776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4015E"/>
    <w:rsid w:val="00B40FF7"/>
    <w:rsid w:val="00B47E00"/>
    <w:rsid w:val="00B50837"/>
    <w:rsid w:val="00B673FE"/>
    <w:rsid w:val="00B822C9"/>
    <w:rsid w:val="00B8251E"/>
    <w:rsid w:val="00B858FA"/>
    <w:rsid w:val="00B85E4B"/>
    <w:rsid w:val="00B8673A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E1F97"/>
    <w:rsid w:val="00BE3556"/>
    <w:rsid w:val="00BE4C0C"/>
    <w:rsid w:val="00BF078C"/>
    <w:rsid w:val="00BF4534"/>
    <w:rsid w:val="00BF6045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2779"/>
    <w:rsid w:val="00C5442D"/>
    <w:rsid w:val="00C57D22"/>
    <w:rsid w:val="00C65DBB"/>
    <w:rsid w:val="00C81AB3"/>
    <w:rsid w:val="00C86ACF"/>
    <w:rsid w:val="00C9141A"/>
    <w:rsid w:val="00C93BA9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B42C5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144F"/>
    <w:rsid w:val="00E448D2"/>
    <w:rsid w:val="00E453E4"/>
    <w:rsid w:val="00E55C63"/>
    <w:rsid w:val="00E60DF3"/>
    <w:rsid w:val="00E6279D"/>
    <w:rsid w:val="00E65472"/>
    <w:rsid w:val="00E7581C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0D36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5C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A84EE87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001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  <w:style w:type="paragraph" w:customStyle="1" w:styleId="EMAA20OrigineEM">
    <w:name w:val="EMAA 20 Origine EM"/>
    <w:next w:val="EMAA21OrigineBureau"/>
    <w:rsid w:val="00FE675C"/>
    <w:pPr>
      <w:spacing w:after="0" w:line="240" w:lineRule="auto"/>
    </w:pPr>
    <w:rPr>
      <w:rFonts w:ascii="Arial" w:eastAsia="Times New Roman" w:hAnsi="Arial" w:cs="Times New Roman"/>
      <w:b/>
      <w:bCs/>
      <w:caps/>
      <w:sz w:val="18"/>
      <w:szCs w:val="20"/>
      <w:lang w:eastAsia="fr-FR"/>
    </w:rPr>
  </w:style>
  <w:style w:type="paragraph" w:customStyle="1" w:styleId="EMAA21OrigineBureau">
    <w:name w:val="EMAA 21 Origine Bureau"/>
    <w:next w:val="Normal"/>
    <w:rsid w:val="00FE675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2731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6B0231"/>
    <w:pPr>
      <w:spacing w:after="0" w:line="240" w:lineRule="auto"/>
    </w:pPr>
    <w:rPr>
      <w:sz w:val="18"/>
    </w:rPr>
    <w:tblPr>
      <w:tblStyleRowBandSize w:val="1"/>
      <w:tblStyleColBandSize w:val="1"/>
      <w:tblBorders>
        <w:left w:val="single" w:sz="4" w:space="0" w:color="B9B9B9"/>
        <w:bottom w:val="single" w:sz="4" w:space="0" w:color="B9B9B9"/>
        <w:right w:val="single" w:sz="4" w:space="0" w:color="B9B9B9"/>
        <w:insideH w:val="single" w:sz="4" w:space="0" w:color="B9B9B9"/>
        <w:insideV w:val="single" w:sz="4" w:space="0" w:color="B9B9B9"/>
      </w:tblBorders>
      <w:tblCellMar>
        <w:top w:w="28" w:type="dxa"/>
        <w:bottom w:w="28" w:type="dxa"/>
      </w:tblCellMar>
    </w:tblPr>
    <w:tcPr>
      <w:vAlign w:val="center"/>
    </w:tcPr>
    <w:tblStylePr w:type="firstRow">
      <w:rPr>
        <w:color w:val="FFFFFF"/>
      </w:rPr>
      <w:tblPr/>
      <w:tcPr>
        <w:tcBorders>
          <w:top w:val="nil"/>
          <w:left w:val="single" w:sz="4" w:space="0" w:color="C6C6C6"/>
          <w:bottom w:val="single" w:sz="4" w:space="0" w:color="C6C6C6"/>
          <w:right w:val="single" w:sz="4" w:space="0" w:color="C6C6C6"/>
          <w:insideH w:val="single" w:sz="4" w:space="0" w:color="C6C6C6"/>
          <w:insideV w:val="single" w:sz="4" w:space="0" w:color="C6C6C6"/>
          <w:tl2br w:val="nil"/>
          <w:tr2bl w:val="nil"/>
        </w:tcBorders>
        <w:shd w:val="clear" w:color="auto" w:fill="009AA6"/>
      </w:tcPr>
    </w:tblStylePr>
    <w:tblStylePr w:type="lastRow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nil"/>
          <w:insideV w:val="single" w:sz="4" w:space="0" w:color="C6C6C6"/>
          <w:tl2br w:val="nil"/>
          <w:tr2bl w:val="nil"/>
        </w:tcBorders>
      </w:tcPr>
    </w:tblStylePr>
    <w:tblStylePr w:type="firstCol">
      <w:rPr>
        <w:b/>
        <w:i w:val="0"/>
      </w:rPr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single" w:sz="4" w:space="0" w:color="C6C6C6"/>
          <w:insideV w:val="single" w:sz="4" w:space="0" w:color="C6C6C6"/>
          <w:tl2br w:val="nil"/>
          <w:tr2bl w:val="nil"/>
        </w:tcBorders>
      </w:tcPr>
    </w:tblStylePr>
    <w:tblStylePr w:type="band2Horz">
      <w:tblPr/>
      <w:tcPr>
        <w:tcBorders>
          <w:top w:val="single" w:sz="4" w:space="0" w:color="C6C6C6"/>
          <w:left w:val="single" w:sz="4" w:space="0" w:color="C6C6C6"/>
          <w:bottom w:val="single" w:sz="4" w:space="0" w:color="C6C6C6"/>
          <w:right w:val="single" w:sz="4" w:space="0" w:color="C6C6C6"/>
          <w:insideH w:val="single" w:sz="4" w:space="0" w:color="C6C6C6"/>
          <w:insideV w:val="single" w:sz="4" w:space="0" w:color="C6C6C6"/>
          <w:tl2br w:val="nil"/>
          <w:tr2bl w:val="nil"/>
        </w:tcBorders>
        <w:shd w:val="clear" w:color="auto" w:fill="E1E1E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3A1F0-4195-436C-A68C-31FA5010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1018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</dc:creator>
  <cp:keywords/>
  <dc:description/>
  <cp:lastModifiedBy>CHEKKAL Salim</cp:lastModifiedBy>
  <cp:revision>6</cp:revision>
  <cp:lastPrinted>2019-12-03T15:57:00Z</cp:lastPrinted>
  <dcterms:created xsi:type="dcterms:W3CDTF">2024-12-13T08:58:00Z</dcterms:created>
  <dcterms:modified xsi:type="dcterms:W3CDTF">2024-12-20T15:15:00Z</dcterms:modified>
</cp:coreProperties>
</file>