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pPr>
    </w:p>
    <w:p>
      <w:pPr>
        <w:rPr>
          <w:rFonts w:ascii="Marianne" w:hAnsi="Marianne"/>
        </w:rPr>
      </w:pPr>
      <w:r>
        <w:rPr>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534972" cy="155238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6208" cy="155314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jc w:val="center"/>
        <w:rPr>
          <w:rFonts w:ascii="Marianne" w:hAnsi="Marianne"/>
        </w:rPr>
      </w:pPr>
      <w:r>
        <w:rPr>
          <w:noProof/>
        </w:rPr>
        <w:t xml:space="preserve"> </w:t>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ServiceInfoHeader"/>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064"/>
        </w:trPr>
        <w:tc>
          <w:tcPr>
            <w:tcW w:w="10470"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DE REPONSE DU MÉMOIRE TECHNIQUE</w:t>
            </w:r>
            <w:r>
              <w:rPr>
                <w:rFonts w:ascii="Marianne" w:hAnsi="Marianne"/>
                <w:sz w:val="32"/>
                <w:szCs w:val="32"/>
              </w:rPr>
              <w:t xml:space="preserve"> </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bl>
    <w:p>
      <w:pPr>
        <w:jc w:val="center"/>
        <w:rPr>
          <w:rFonts w:ascii="Marianne" w:hAnsi="Marianne" w:cs="Arial"/>
          <w:i/>
          <w:sz w:val="28"/>
          <w:szCs w:val="28"/>
        </w:rPr>
      </w:pPr>
    </w:p>
    <w:p>
      <w:pPr>
        <w:jc w:val="center"/>
        <w:rPr>
          <w:rFonts w:ascii="Marianne" w:hAnsi="Marianne" w:cs="Arial"/>
          <w:i/>
          <w:sz w:val="28"/>
          <w:szCs w:val="28"/>
        </w:rPr>
      </w:pPr>
      <w:r>
        <w:rPr>
          <w:rFonts w:ascii="Marianne" w:hAnsi="Marianne" w:cs="Arial"/>
          <w:i/>
          <w:sz w:val="28"/>
          <w:szCs w:val="28"/>
        </w:rPr>
        <w:t>(Mémoire technique à remettre obligatoirement)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832" w:type="dxa"/>
        <w:tblBorders>
          <w:top w:val="single" w:sz="4" w:space="0" w:color="auto"/>
          <w:bottom w:val="single" w:sz="4" w:space="0" w:color="auto"/>
        </w:tblBorders>
        <w:tblLook w:val="04A0" w:firstRow="1" w:lastRow="0" w:firstColumn="1" w:lastColumn="0" w:noHBand="0" w:noVBand="1"/>
      </w:tblPr>
      <w:tblGrid>
        <w:gridCol w:w="10832"/>
      </w:tblGrid>
      <w:tr>
        <w:trPr>
          <w:trHeight w:val="1215"/>
        </w:trPr>
        <w:tc>
          <w:tcPr>
            <w:tcW w:w="10832" w:type="dxa"/>
            <w:shd w:val="clear" w:color="auto" w:fill="auto"/>
          </w:tcPr>
          <w:p>
            <w:pPr>
              <w:spacing w:after="120" w:line="276" w:lineRule="auto"/>
              <w:jc w:val="center"/>
              <w:rPr>
                <w:rFonts w:ascii="Marianne" w:eastAsia="Calibri" w:hAnsi="Marianne" w:cs="Arial"/>
                <w:b/>
                <w:sz w:val="28"/>
                <w:szCs w:val="22"/>
                <w:lang w:eastAsia="en-US"/>
              </w:rPr>
            </w:pPr>
            <w:r>
              <w:rPr>
                <w:rFonts w:ascii="Marianne" w:eastAsia="Calibri" w:hAnsi="Marianne" w:cs="Arial"/>
                <w:b/>
                <w:sz w:val="28"/>
                <w:szCs w:val="22"/>
                <w:lang w:eastAsia="en-US"/>
              </w:rPr>
              <w:t xml:space="preserve">Accord-cadre interministériel relatif à la réalisation d’actions de formation en techniques achat et commande publique </w:t>
            </w:r>
          </w:p>
          <w:p>
            <w:pPr>
              <w:spacing w:before="120"/>
              <w:ind w:left="-142" w:right="-284"/>
              <w:jc w:val="center"/>
              <w:rPr>
                <w:rFonts w:ascii="Marianne" w:hAnsi="Marianne"/>
              </w:rPr>
            </w:pPr>
          </w:p>
        </w:tc>
      </w:tr>
    </w:tbl>
    <w:p>
      <w:pPr>
        <w:rPr>
          <w:rFonts w:ascii="Marianne" w:hAnsi="Marianne" w:cs="Arial"/>
        </w:rPr>
      </w:pPr>
    </w:p>
    <w:p>
      <w:pPr>
        <w:jc w:val="center"/>
        <w:rPr>
          <w:rFonts w:ascii="Marianne" w:hAnsi="Marianne" w:cs="Arial"/>
          <w:sz w:val="22"/>
          <w:szCs w:val="22"/>
        </w:rPr>
      </w:pPr>
    </w:p>
    <w:p>
      <w:pPr>
        <w:tabs>
          <w:tab w:val="left" w:pos="1134"/>
          <w:tab w:val="left" w:pos="3934"/>
          <w:tab w:val="left" w:pos="6747"/>
        </w:tabs>
        <w:ind w:left="708" w:hanging="708"/>
        <w:rPr>
          <w:rFonts w:ascii="Arial" w:eastAsia="Calibri" w:hAnsi="Arial" w:cs="Arial"/>
          <w:b/>
          <w:sz w:val="28"/>
          <w:szCs w:val="28"/>
          <w:lang w:eastAsia="en-US"/>
        </w:rPr>
      </w:pPr>
      <w:bookmarkStart w:id="0" w:name="_Hlk165273925"/>
      <w:r>
        <w:rPr>
          <w:rFonts w:ascii="Arial" w:eastAsia="Calibri" w:hAnsi="Arial" w:cs="Arial"/>
          <w:b/>
          <w:sz w:val="28"/>
          <w:szCs w:val="28"/>
          <w:lang w:eastAsia="en-US"/>
        </w:rPr>
        <w:t>Lot 1 : Actions de formation en techniques d’achats publics et compétences transverses</w:t>
      </w:r>
    </w:p>
    <w:p>
      <w:pPr>
        <w:tabs>
          <w:tab w:val="left" w:pos="1134"/>
          <w:tab w:val="left" w:pos="3934"/>
          <w:tab w:val="left" w:pos="6747"/>
        </w:tabs>
        <w:ind w:left="708" w:hanging="708"/>
        <w:rPr>
          <w:rFonts w:ascii="Arial" w:hAnsi="Arial" w:cs="Arial"/>
          <w:b/>
          <w:bCs/>
          <w:sz w:val="20"/>
          <w:szCs w:val="20"/>
        </w:rPr>
      </w:pPr>
    </w:p>
    <w:bookmarkEnd w:id="0"/>
    <w:p>
      <w:pPr>
        <w:pStyle w:val="Paragraphedeliste"/>
        <w:ind w:left="720"/>
        <w:rPr>
          <w:rFonts w:ascii="Arial" w:eastAsia="Calibri" w:hAnsi="Arial" w:cs="Arial"/>
          <w:b/>
          <w:sz w:val="20"/>
          <w:szCs w:val="20"/>
          <w:lang w:eastAsia="en-US"/>
        </w:rPr>
      </w:pPr>
    </w:p>
    <w:p>
      <w:pPr>
        <w:pStyle w:val="Paragraphedeliste"/>
        <w:ind w:left="720"/>
        <w:rPr>
          <w:rFonts w:ascii="Arial" w:eastAsia="Calibri" w:hAnsi="Arial" w:cs="Arial"/>
          <w:b/>
          <w:lang w:eastAsia="en-US"/>
        </w:rPr>
      </w:pPr>
    </w:p>
    <w:p>
      <w:pPr>
        <w:jc w:val="center"/>
        <w:rPr>
          <w:rFonts w:ascii="Marianne" w:hAnsi="Marianne" w:cs="Arial"/>
          <w:caps/>
          <w:sz w:val="20"/>
          <w:szCs w:val="20"/>
          <w:u w:val="single"/>
        </w:rPr>
      </w:pPr>
      <w:r>
        <w:rPr>
          <w:rFonts w:ascii="Marianne" w:hAnsi="Marianne" w:cs="Arial"/>
          <w:caps/>
          <w:sz w:val="20"/>
          <w:szCs w:val="20"/>
          <w:u w:val="single"/>
        </w:rPr>
        <w:t>EN CAS DE CANDIDATURES SUR PLUSIEURS LOTS, CHAQUE LOT DEVRA FAIRE L’OBJET D’UN CADRE D’UN MEMOIRE TECHNIQUE DISTINCT</w:t>
      </w: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PME</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lang w:eastAsia="en-US"/>
        </w:rPr>
      </w:pPr>
      <w:r>
        <w:rPr>
          <w:rFonts w:ascii="Marianne" w:eastAsia="Calibri" w:hAnsi="Marianne" w:cs="Arial"/>
          <w:b/>
          <w:lang w:eastAsia="en-US"/>
        </w:rPr>
        <w:t>Groupement</w:t>
      </w:r>
      <w:r>
        <w:rPr>
          <w:rFonts w:ascii="Calibri" w:eastAsia="Calibri" w:hAnsi="Calibri" w:cs="Calibri"/>
          <w:lang w:eastAsia="en-US"/>
        </w:rPr>
        <w:t> </w:t>
      </w:r>
      <w:r>
        <w:rPr>
          <w:rFonts w:ascii="Marianne" w:eastAsia="Calibri" w:hAnsi="Marianne" w:cs="Arial"/>
          <w:lang w:eastAsia="en-US"/>
        </w:rPr>
        <w:t xml:space="preserve">: </w:t>
      </w:r>
      <w:r>
        <w:rPr>
          <w:rFonts w:ascii="Marianne" w:eastAsia="Calibri" w:hAnsi="Marianne" w:cs="Arial"/>
          <w:lang w:eastAsia="en-US"/>
        </w:rPr>
        <w:tab/>
        <w:t>OUI</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r>
      <w:r>
        <w:rPr>
          <w:rFonts w:ascii="Marianne" w:eastAsia="Calibri" w:hAnsi="Marianne" w:cs="Arial"/>
          <w:lang w:eastAsia="en-US"/>
        </w:rPr>
        <w:tab/>
        <w:t xml:space="preserve">NON </w:t>
      </w:r>
      <w:r>
        <w:rPr>
          <w:rFonts w:ascii="Marianne" w:eastAsia="Calibri" w:hAnsi="Marianne" w:cs="Arial"/>
          <w:lang w:eastAsia="en-US"/>
        </w:rPr>
        <w:tab/>
      </w:r>
      <w:r>
        <w:rPr>
          <w:rFonts w:ascii="Marianne" w:eastAsia="Calibri" w:hAnsi="Marianne" w:cs="Arial"/>
          <w:lang w:eastAsia="en-US"/>
        </w:rPr>
        <w:fldChar w:fldCharType="begin">
          <w:ffData>
            <w:name w:val=""/>
            <w:enabled/>
            <w:calcOnExit w:val="0"/>
            <w:checkBox>
              <w:size w:val="20"/>
              <w:default w:val="0"/>
            </w:checkBox>
          </w:ffData>
        </w:fldChar>
      </w:r>
      <w:r>
        <w:rPr>
          <w:rFonts w:ascii="Marianne" w:eastAsia="Calibri" w:hAnsi="Marianne" w:cs="Arial"/>
          <w:lang w:eastAsia="en-US"/>
        </w:rPr>
        <w:instrText xml:space="preserve"> FORMCHECKBOX </w:instrText>
      </w:r>
      <w:r>
        <w:rPr>
          <w:rFonts w:ascii="Marianne" w:eastAsia="Calibri" w:hAnsi="Marianne" w:cs="Arial"/>
          <w:lang w:eastAsia="en-US"/>
        </w:rPr>
      </w:r>
      <w:r>
        <w:rPr>
          <w:rFonts w:ascii="Marianne" w:eastAsia="Calibri" w:hAnsi="Marianne" w:cs="Arial"/>
          <w:lang w:eastAsia="en-US"/>
        </w:rPr>
        <w:fldChar w:fldCharType="separate"/>
      </w:r>
      <w:r>
        <w:rPr>
          <w:rFonts w:ascii="Marianne" w:eastAsia="Calibri" w:hAnsi="Marianne" w:cs="Arial"/>
          <w:lang w:eastAsia="en-US"/>
        </w:rPr>
        <w:fldChar w:fldCharType="end"/>
      </w:r>
    </w:p>
    <w:p>
      <w:pPr>
        <w:numPr>
          <w:ilvl w:val="0"/>
          <w:numId w:val="2"/>
        </w:numPr>
        <w:spacing w:before="120" w:after="120" w:line="276" w:lineRule="auto"/>
        <w:contextualSpacing/>
        <w:jc w:val="both"/>
        <w:rPr>
          <w:rFonts w:ascii="Marianne" w:eastAsia="Calibri" w:hAnsi="Marianne" w:cs="Arial"/>
          <w:b/>
          <w:sz w:val="28"/>
          <w:szCs w:val="28"/>
          <w:lang w:eastAsia="en-US"/>
        </w:rPr>
      </w:pPr>
      <w:r>
        <w:rPr>
          <w:rFonts w:ascii="Marianne" w:eastAsia="Calibri" w:hAnsi="Marianne" w:cs="Arial"/>
          <w:b/>
          <w:sz w:val="28"/>
          <w:szCs w:val="28"/>
          <w:lang w:eastAsia="en-US"/>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 xml:space="preserve">PRINCIPE DU CADRE </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4"/>
        </w:rPr>
      </w:pPr>
      <w:r>
        <w:rPr>
          <w:rFonts w:ascii="Marianne" w:hAnsi="Marianne"/>
          <w:b w:val="0"/>
          <w:caps w:val="0"/>
          <w:sz w:val="24"/>
        </w:rPr>
        <w:t xml:space="preserve">Le candidat devra remettre un mémoire technique précisant les dispositifs qu’il se propose d'adopter pour l'exécution des prestations et </w:t>
      </w:r>
      <w:r>
        <w:rPr>
          <w:rFonts w:ascii="Marianne" w:hAnsi="Marianne"/>
          <w:caps w:val="0"/>
          <w:sz w:val="24"/>
        </w:rPr>
        <w:t>comprenant obligatoirement, et a minima, les éléments ci-après énoncés</w:t>
      </w:r>
      <w:r>
        <w:rPr>
          <w:rFonts w:ascii="Marianne" w:hAnsi="Marianne"/>
          <w:b w:val="0"/>
          <w:caps w:val="0"/>
          <w:sz w:val="24"/>
        </w:rPr>
        <w:t xml:space="preserve"> : toutes les rubriques doivent </w:t>
      </w:r>
      <w:r>
        <w:rPr>
          <w:rFonts w:ascii="Marianne" w:hAnsi="Marianne" w:cs="Marianne"/>
          <w:b w:val="0"/>
          <w:caps w:val="0"/>
          <w:sz w:val="24"/>
        </w:rPr>
        <w:t>ê</w:t>
      </w:r>
      <w:r>
        <w:rPr>
          <w:rFonts w:ascii="Marianne" w:hAnsi="Marianne"/>
          <w:b w:val="0"/>
          <w:caps w:val="0"/>
          <w:sz w:val="24"/>
        </w:rPr>
        <w:t>tre renseign</w:t>
      </w:r>
      <w:r>
        <w:rPr>
          <w:rFonts w:ascii="Marianne" w:hAnsi="Marianne" w:cs="Marianne"/>
          <w:b w:val="0"/>
          <w:caps w:val="0"/>
          <w:sz w:val="24"/>
        </w:rPr>
        <w:t>é</w:t>
      </w:r>
      <w:r>
        <w:rPr>
          <w:rFonts w:ascii="Marianne" w:hAnsi="Marianne"/>
          <w:b w:val="0"/>
          <w:caps w:val="0"/>
          <w:sz w:val="24"/>
        </w:rPr>
        <w:t>es par le candidat.</w:t>
      </w:r>
    </w:p>
    <w:p>
      <w:pPr>
        <w:pStyle w:val="Corpsdetexte"/>
        <w:spacing w:before="120" w:after="120"/>
        <w:jc w:val="both"/>
        <w:rPr>
          <w:rFonts w:ascii="Marianne" w:hAnsi="Marianne"/>
          <w:b w:val="0"/>
          <w:caps w:val="0"/>
          <w:sz w:val="24"/>
        </w:rPr>
      </w:pPr>
      <w:r>
        <w:rPr>
          <w:rFonts w:ascii="Marianne" w:hAnsi="Marianne"/>
          <w:b w:val="0"/>
          <w:caps w:val="0"/>
          <w:sz w:val="24"/>
        </w:rPr>
        <w:t>Ce mémoire servira au jugement des offres.</w:t>
      </w:r>
    </w:p>
    <w:p>
      <w:pPr>
        <w:pStyle w:val="Corpsdetexte"/>
        <w:spacing w:before="120" w:after="120"/>
        <w:jc w:val="both"/>
        <w:rPr>
          <w:rFonts w:ascii="Marianne" w:hAnsi="Marianne"/>
          <w:b w:val="0"/>
          <w:caps w:val="0"/>
          <w:sz w:val="24"/>
        </w:rPr>
      </w:pPr>
    </w:p>
    <w:p>
      <w:pPr>
        <w:pStyle w:val="Corpsdetexte"/>
        <w:spacing w:before="120" w:after="120"/>
        <w:jc w:val="left"/>
        <w:rPr>
          <w:rFonts w:ascii="Marianne" w:hAnsi="Marianne"/>
          <w:bCs w:val="0"/>
          <w:sz w:val="20"/>
          <w:szCs w:val="20"/>
          <w:highlight w:val="yellow"/>
        </w:rPr>
      </w:pPr>
      <w:r>
        <w:rPr>
          <w:rFonts w:ascii="Marianne" w:hAnsi="Marianne"/>
          <w:bCs w:val="0"/>
          <w:sz w:val="20"/>
          <w:szCs w:val="20"/>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bookmarkStart w:id="1" w:name="_Hlk150778260"/>
      <w:bookmarkStart w:id="2" w:name="_Hlk152162068"/>
      <w:r>
        <w:rPr>
          <w:rFonts w:ascii="Marianne" w:hAnsi="Marianne" w:cs="Arial"/>
          <w:b/>
          <w:caps/>
          <w:sz w:val="32"/>
          <w:szCs w:val="32"/>
        </w:rPr>
        <w:lastRenderedPageBreak/>
        <w:t>Méthodes de notation</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1 (prix 50%) :</w:t>
      </w: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(interne non communiquable) sur la base des prix unitaires TTC issus de l’annexe financière remise par le candidat.</w:t>
      </w:r>
    </w:p>
    <w:p>
      <w:pPr>
        <w:jc w:val="both"/>
        <w:rPr>
          <w:rFonts w:ascii="Marianne" w:hAnsi="Marianne" w:cs="Arial"/>
          <w:bCs/>
          <w:sz w:val="22"/>
          <w:szCs w:val="22"/>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2 (valeur technique 40%) :</w:t>
      </w:r>
    </w:p>
    <w:p>
      <w:pPr>
        <w:pStyle w:val="Paragraphedeliste"/>
        <w:ind w:left="0"/>
        <w:rPr>
          <w:rFonts w:ascii="Marianne" w:hAnsi="Marianne" w:cs="Arial"/>
          <w:bCs/>
          <w:sz w:val="20"/>
          <w:szCs w:val="20"/>
        </w:rPr>
      </w:pPr>
      <w:bookmarkStart w:id="3" w:name="_Hlk153208500"/>
      <w:bookmarkStart w:id="4" w:name="_Hlk153201275"/>
      <w:r>
        <w:rPr>
          <w:rFonts w:ascii="Marianne" w:hAnsi="Marianne" w:cs="Arial"/>
          <w:bCs/>
          <w:sz w:val="20"/>
          <w:szCs w:val="20"/>
        </w:rPr>
        <w:t>Chaque élément d’appréciation est noté sur 10 puis pondéré à hauteur des pourcentages indiqués dans le présent document.</w:t>
      </w:r>
    </w:p>
    <w:p>
      <w:pPr>
        <w:pStyle w:val="Paragraphedeliste"/>
        <w:ind w:left="0"/>
        <w:rPr>
          <w:rFonts w:ascii="Marianne" w:hAnsi="Marianne" w:cs="Arial"/>
          <w:bCs/>
          <w:sz w:val="20"/>
          <w:szCs w:val="20"/>
        </w:rPr>
      </w:pPr>
      <w:r>
        <w:rPr>
          <w:rFonts w:ascii="Marianne" w:hAnsi="Marianne" w:cs="Arial"/>
          <w:bCs/>
          <w:sz w:val="20"/>
          <w:szCs w:val="20"/>
        </w:rPr>
        <w:t>Les notes sont ensuite additionnées pour obtenir la note du sous-critère sur 10.</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spacing w:before="240" w:after="240"/>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valeur technique</w:t>
      </w:r>
    </w:p>
    <w:p>
      <w:pPr>
        <w:pStyle w:val="Paragraphedeliste"/>
        <w:ind w:left="0"/>
        <w:jc w:val="center"/>
        <w:rPr>
          <w:rFonts w:ascii="Marianne" w:hAnsi="Marianne"/>
          <w:b/>
          <w:sz w:val="20"/>
          <w:szCs w:val="20"/>
          <w:u w:val="single"/>
        </w:rPr>
      </w:pP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Méthode de notation du critère 3 (considérations environnementales 10%) :</w:t>
      </w:r>
    </w:p>
    <w:p>
      <w:pPr>
        <w:pStyle w:val="Paragraphedeliste"/>
        <w:ind w:left="0"/>
        <w:rPr>
          <w:rFonts w:ascii="Marianne" w:hAnsi="Marianne" w:cs="Arial"/>
          <w:bCs/>
          <w:sz w:val="20"/>
          <w:szCs w:val="20"/>
        </w:rPr>
      </w:pPr>
      <w:r>
        <w:rPr>
          <w:rFonts w:ascii="Marianne" w:hAnsi="Marianne" w:cs="Arial"/>
          <w:bCs/>
          <w:sz w:val="20"/>
          <w:szCs w:val="20"/>
        </w:rPr>
        <w:t xml:space="preserve">Le critère est noté sur 10. Ensuite il est soumis à la technique de la péréquation selon la formule suivante : </w:t>
      </w:r>
    </w:p>
    <w:p>
      <w:pPr>
        <w:pStyle w:val="Paragraphedeliste"/>
        <w:spacing w:before="240" w:line="360" w:lineRule="auto"/>
        <w:rPr>
          <w:rFonts w:ascii="Marianne" w:hAnsi="Marianne" w:cs="Arial"/>
          <w:bCs/>
          <w:sz w:val="20"/>
          <w:szCs w:val="20"/>
        </w:rPr>
      </w:pPr>
      <w:r>
        <w:rPr>
          <w:rFonts w:ascii="Marianne" w:hAnsi="Marianne" w:cs="Arial"/>
          <w:bCs/>
          <w:sz w:val="20"/>
          <w:szCs w:val="20"/>
        </w:rPr>
        <w:t>Note = 10 x (Note du candidat / Note maximale attribuée)</w:t>
      </w: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 critère considération environnementale.</w:t>
      </w:r>
    </w:p>
    <w:p>
      <w:pPr>
        <w:pStyle w:val="Standard"/>
        <w:spacing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La somme des notes des critères pondérées détermine la note finale du candidat sur 10.</w:t>
      </w:r>
    </w:p>
    <w:bookmarkEnd w:id="3"/>
    <w:bookmarkEnd w:id="4"/>
    <w:p>
      <w:pPr>
        <w:pStyle w:val="Standard"/>
        <w:spacing w:before="240" w:after="240"/>
        <w:jc w:val="center"/>
        <w:rPr>
          <w:rFonts w:ascii="Marianne" w:eastAsia="Times New Roman" w:hAnsi="Marianne" w:cs="Arial"/>
          <w:b/>
          <w:kern w:val="0"/>
          <w:sz w:val="22"/>
          <w:szCs w:val="22"/>
          <w:u w:val="single"/>
          <w:lang w:eastAsia="fr-FR" w:bidi="ar-SA"/>
        </w:rPr>
      </w:pPr>
      <w:r>
        <w:rPr>
          <w:rFonts w:ascii="Marianne" w:eastAsia="Times New Roman" w:hAnsi="Marianne" w:cs="Arial"/>
          <w:b/>
          <w:kern w:val="0"/>
          <w:sz w:val="22"/>
          <w:szCs w:val="22"/>
          <w:u w:val="single"/>
          <w:lang w:eastAsia="fr-FR" w:bidi="ar-SA"/>
        </w:rPr>
        <w:t>En cas d’égalité :</w:t>
      </w:r>
    </w:p>
    <w:p>
      <w:pPr>
        <w:rPr>
          <w:rFonts w:ascii="Marianne" w:hAnsi="Marianne" w:cs="Arial"/>
          <w:bCs/>
          <w:sz w:val="20"/>
          <w:szCs w:val="20"/>
        </w:rPr>
      </w:pPr>
      <w:r>
        <w:rPr>
          <w:rFonts w:ascii="Marianne" w:hAnsi="Marianne" w:cs="Arial"/>
          <w:bCs/>
          <w:sz w:val="20"/>
          <w:szCs w:val="20"/>
        </w:rPr>
        <w:t xml:space="preserve">Les candidats seront départagés sur la note obtenue au critère 2 « valeur technique ». </w:t>
      </w:r>
    </w:p>
    <w:p>
      <w:pPr>
        <w:rPr>
          <w:rFonts w:ascii="Marianne" w:hAnsi="Marianne" w:cs="Arial"/>
          <w:caps/>
          <w:sz w:val="22"/>
          <w:szCs w:val="22"/>
          <w:highlight w:val="yellow"/>
        </w:rPr>
      </w:pPr>
      <w:r>
        <w:rPr>
          <w:rFonts w:ascii="Marianne" w:hAnsi="Marianne" w:cs="Arial"/>
          <w:bCs/>
          <w:sz w:val="20"/>
          <w:szCs w:val="20"/>
        </w:rPr>
        <w:t xml:space="preserve">En cas de nouvelle égalité, les candidats seront départagés sur la note obtenue au sous-critère n°1 « qualité pédagogique » du critère 2 « Valeur technique » </w:t>
      </w:r>
      <w:bookmarkEnd w:id="1"/>
      <w:r>
        <w:rPr>
          <w:rFonts w:ascii="Marianne" w:hAnsi="Marianne" w:cs="Arial"/>
          <w:caps/>
          <w:sz w:val="22"/>
          <w:szCs w:val="22"/>
          <w:highlight w:val="yellow"/>
        </w:rPr>
        <w:br w:type="page"/>
      </w:r>
    </w:p>
    <w:bookmarkEnd w:id="2"/>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color w:val="FF0000"/>
          <w:sz w:val="28"/>
          <w:szCs w:val="28"/>
        </w:rPr>
        <w:t>Critère pondéré à 50%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both"/>
        <w:rPr>
          <w:rFonts w:ascii="Marianne" w:hAnsi="Marianne" w:cs="Arial"/>
          <w:bCs/>
        </w:rPr>
      </w:pPr>
      <w:bookmarkStart w:id="5" w:name="_Hlk150778285"/>
      <w:r>
        <w:rPr>
          <w:rFonts w:ascii="Marianne" w:hAnsi="Marianne" w:cs="Arial"/>
          <w:bCs/>
        </w:rPr>
        <w:t xml:space="preserve">L’annexe financière </w:t>
      </w:r>
      <w:r>
        <w:rPr>
          <w:rFonts w:ascii="Marianne" w:hAnsi="Marianne" w:cs="Arial"/>
          <w:b/>
        </w:rPr>
        <w:t>ne doit pas</w:t>
      </w:r>
      <w:r>
        <w:rPr>
          <w:rFonts w:ascii="Marianne" w:hAnsi="Marianne" w:cs="Arial"/>
          <w:bCs/>
        </w:rPr>
        <w:t xml:space="preserve"> être reprise dans ce document.</w:t>
      </w:r>
    </w:p>
    <w:bookmarkEnd w:id="5"/>
    <w:p>
      <w:pPr>
        <w:rPr>
          <w:rFonts w:ascii="Marianne" w:hAnsi="Marianne" w:cs="Arial"/>
        </w:rPr>
      </w:pPr>
    </w:p>
    <w:p>
      <w:pPr>
        <w:rPr>
          <w:rFonts w:ascii="Marianne" w:hAnsi="Marianne" w:cs="Arial"/>
        </w:rPr>
      </w:pPr>
      <w:r>
        <w:rPr>
          <w:rFonts w:ascii="Marianne" w:hAnsi="Marianne" w:cs="Arial"/>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40%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rPr>
          <w:rFonts w:ascii="Marianne" w:hAnsi="Marianne" w:cs="Arial"/>
          <w:b/>
        </w:rPr>
      </w:pPr>
    </w:p>
    <w:p>
      <w:pPr>
        <w:rPr>
          <w:rFonts w:ascii="Marianne" w:hAnsi="Marianne" w:cs="Arial"/>
        </w:rPr>
      </w:pPr>
      <w:r>
        <w:rPr>
          <w:rFonts w:ascii="Marianne" w:hAnsi="Marianne" w:cs="Arial"/>
          <w:b/>
          <w:u w:val="single"/>
        </w:rPr>
        <w:t>Sous-critère 2.1</w:t>
      </w:r>
      <w:r>
        <w:rPr>
          <w:rFonts w:ascii="Marianne" w:hAnsi="Marianne" w:cs="Arial"/>
          <w:b/>
        </w:rPr>
        <w:t> : Qualité pédagogique de l’offre (50 %)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bookmarkStart w:id="6" w:name="_Hlk152852156"/>
      <w:r>
        <w:rPr>
          <w:rFonts w:ascii="Marianne" w:hAnsi="Marianne" w:cs="Arial"/>
        </w:rPr>
        <w:t xml:space="preserve">Ce sous-critère est jugé sur les éléments suivants : </w:t>
      </w:r>
    </w:p>
    <w:bookmarkEnd w:id="6"/>
    <w:p>
      <w:pPr>
        <w:spacing w:after="160" w:line="259" w:lineRule="auto"/>
        <w:contextualSpacing/>
        <w:jc w:val="both"/>
        <w:rPr>
          <w:rFonts w:ascii="Marianne" w:hAnsi="Marianne" w:cs="Arial"/>
          <w:b/>
        </w:rPr>
      </w:pPr>
    </w:p>
    <w:tbl>
      <w:tblPr>
        <w:tblStyle w:val="Grilledutableau"/>
        <w:tblW w:w="9640" w:type="dxa"/>
        <w:jc w:val="center"/>
        <w:tblLayout w:type="fixed"/>
        <w:tblLook w:val="04A0" w:firstRow="1" w:lastRow="0" w:firstColumn="1" w:lastColumn="0" w:noHBand="0" w:noVBand="1"/>
      </w:tblPr>
      <w:tblGrid>
        <w:gridCol w:w="7933"/>
        <w:gridCol w:w="1707"/>
      </w:tblGrid>
      <w:tr>
        <w:trPr>
          <w:trHeight w:val="738"/>
          <w:jc w:val="center"/>
        </w:trPr>
        <w:tc>
          <w:tcPr>
            <w:tcW w:w="793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70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026"/>
          <w:jc w:val="center"/>
        </w:trPr>
        <w:tc>
          <w:tcPr>
            <w:tcW w:w="7933" w:type="dxa"/>
            <w:tcBorders>
              <w:top w:val="single" w:sz="4" w:space="0" w:color="auto"/>
            </w:tcBorders>
          </w:tcPr>
          <w:p>
            <w:pPr>
              <w:jc w:val="both"/>
              <w:rPr>
                <w:rFonts w:ascii="Marianne" w:hAnsi="Marianne" w:cs="Arial"/>
                <w:sz w:val="18"/>
                <w:szCs w:val="18"/>
              </w:rPr>
            </w:pPr>
            <w:r>
              <w:rPr>
                <w:rFonts w:ascii="Marianne" w:hAnsi="Marianne" w:cs="Arial"/>
              </w:rPr>
              <w:t>2.1.1 - Qualité pédagogique (complétude, clarté des méthodes et des déroulés pédagogiques)</w:t>
            </w:r>
          </w:p>
        </w:tc>
        <w:tc>
          <w:tcPr>
            <w:tcW w:w="1707" w:type="dxa"/>
            <w:tcBorders>
              <w:top w:val="single" w:sz="4" w:space="0" w:color="auto"/>
            </w:tcBorders>
          </w:tcPr>
          <w:p>
            <w:pPr>
              <w:jc w:val="center"/>
              <w:rPr>
                <w:rFonts w:ascii="Marianne" w:hAnsi="Marianne" w:cs="Arial"/>
              </w:rPr>
            </w:pPr>
            <w:r>
              <w:rPr>
                <w:rFonts w:ascii="Marianne" w:hAnsi="Marianne" w:cs="Arial"/>
              </w:rPr>
              <w:t>50 %</w:t>
            </w:r>
          </w:p>
        </w:tc>
      </w:tr>
      <w:tr>
        <w:trPr>
          <w:trHeight w:val="1231"/>
          <w:jc w:val="center"/>
        </w:trPr>
        <w:tc>
          <w:tcPr>
            <w:tcW w:w="7933" w:type="dxa"/>
          </w:tcPr>
          <w:p>
            <w:pPr>
              <w:jc w:val="both"/>
              <w:rPr>
                <w:rFonts w:ascii="Marianne" w:hAnsi="Marianne" w:cs="Arial"/>
                <w:sz w:val="18"/>
                <w:szCs w:val="18"/>
              </w:rPr>
            </w:pPr>
            <w:r>
              <w:rPr>
                <w:rFonts w:ascii="Marianne" w:hAnsi="Marianne" w:cs="Arial"/>
              </w:rPr>
              <w:t>2.1.2 - Niveau d’adéquation des supports et fiches descriptives de l’offre avec les fiches du CCTP (Cf annexes 1 et 10 du CCTP)</w:t>
            </w:r>
          </w:p>
        </w:tc>
        <w:tc>
          <w:tcPr>
            <w:tcW w:w="1707" w:type="dxa"/>
          </w:tcPr>
          <w:p>
            <w:pPr>
              <w:jc w:val="center"/>
              <w:rPr>
                <w:rFonts w:ascii="Marianne" w:hAnsi="Marianne" w:cs="Arial"/>
              </w:rPr>
            </w:pPr>
            <w:r>
              <w:rPr>
                <w:rFonts w:ascii="Marianne" w:hAnsi="Marianne" w:cs="Arial"/>
              </w:rPr>
              <w:t>35 %</w:t>
            </w:r>
          </w:p>
        </w:tc>
      </w:tr>
      <w:tr>
        <w:trPr>
          <w:trHeight w:val="1239"/>
          <w:jc w:val="center"/>
        </w:trPr>
        <w:tc>
          <w:tcPr>
            <w:tcW w:w="7933" w:type="dxa"/>
          </w:tcPr>
          <w:p>
            <w:pPr>
              <w:jc w:val="both"/>
              <w:rPr>
                <w:rFonts w:ascii="Marianne" w:hAnsi="Marianne" w:cs="Arial"/>
                <w:sz w:val="18"/>
                <w:szCs w:val="18"/>
              </w:rPr>
            </w:pPr>
            <w:r>
              <w:rPr>
                <w:rFonts w:ascii="Marianne" w:hAnsi="Marianne" w:cs="Arial"/>
              </w:rPr>
              <w:t>2.1.3 - Dispositif d’évaluation des stagiaires (avant et/ou après les actions de formation)</w:t>
            </w:r>
          </w:p>
        </w:tc>
        <w:tc>
          <w:tcPr>
            <w:tcW w:w="1707" w:type="dxa"/>
          </w:tcPr>
          <w:p>
            <w:pPr>
              <w:jc w:val="center"/>
              <w:rPr>
                <w:rFonts w:ascii="Marianne" w:hAnsi="Marianne" w:cs="Arial"/>
              </w:rPr>
            </w:pPr>
            <w:r>
              <w:rPr>
                <w:rFonts w:ascii="Marianne" w:hAnsi="Marianne" w:cs="Arial"/>
              </w:rPr>
              <w:t>15%</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sz w:val="16"/>
          <w:szCs w:val="16"/>
        </w:rPr>
      </w:pPr>
      <w:bookmarkStart w:id="7" w:name="_Hlk146809160"/>
    </w:p>
    <w:p>
      <w:pPr>
        <w:spacing w:after="160" w:line="256" w:lineRule="auto"/>
        <w:contextualSpacing/>
        <w:jc w:val="both"/>
        <w:rPr>
          <w:rFonts w:ascii="Marianne" w:hAnsi="Marianne" w:cs="Arial"/>
        </w:rPr>
      </w:pPr>
    </w:p>
    <w:p>
      <w:pPr>
        <w:rPr>
          <w:rFonts w:ascii="Marianne" w:hAnsi="Marianne" w:cs="Arial"/>
        </w:rPr>
      </w:pPr>
      <w:bookmarkStart w:id="8" w:name="_Hlk152853204"/>
      <w:r>
        <w:rPr>
          <w:rFonts w:ascii="Marianne" w:hAnsi="Marianne" w:cs="Arial"/>
        </w:rPr>
        <w:br w:type="page"/>
      </w:r>
    </w:p>
    <w:p>
      <w:pPr>
        <w:spacing w:after="160" w:line="256" w:lineRule="auto"/>
        <w:contextualSpacing/>
        <w:jc w:val="both"/>
        <w:rPr>
          <w:rFonts w:ascii="Marianne" w:hAnsi="Marianne" w:cs="Arial"/>
        </w:rPr>
      </w:pPr>
      <w:r>
        <w:rPr>
          <w:rFonts w:ascii="Marianne" w:hAnsi="Marianne" w:cs="Arial"/>
        </w:rPr>
        <w:lastRenderedPageBreak/>
        <w:t>Pour étayer son offre et</w:t>
      </w:r>
      <w:r>
        <w:t xml:space="preserve"> </w:t>
      </w:r>
      <w:bookmarkStart w:id="9" w:name="_Hlk190780180"/>
      <w:r>
        <w:rPr>
          <w:rFonts w:ascii="Marianne" w:hAnsi="Marianne" w:cs="Arial"/>
        </w:rPr>
        <w:t xml:space="preserve">pour chacune des formations à analyser </w:t>
      </w:r>
      <w:bookmarkEnd w:id="9"/>
      <w:r>
        <w:rPr>
          <w:rFonts w:ascii="Marianne" w:hAnsi="Marianne" w:cs="Arial"/>
        </w:rPr>
        <w:t>(</w:t>
      </w:r>
      <w:r>
        <w:rPr>
          <w:rFonts w:ascii="Marianne" w:hAnsi="Marianne" w:cs="Arial"/>
          <w:b/>
          <w:bCs/>
        </w:rPr>
        <w:t xml:space="preserve">uniquement celles des échantillons pour les lots 1, 4, 5, 6, </w:t>
      </w:r>
      <w:bookmarkStart w:id="10" w:name="_Hlk190780717"/>
      <w:r>
        <w:rPr>
          <w:rFonts w:ascii="Marianne" w:hAnsi="Marianne" w:cs="Arial"/>
          <w:b/>
          <w:bCs/>
        </w:rPr>
        <w:t>et, pour la totalité des actions de formation pour les lots 2 et 3 du présent accord-cadre</w:t>
      </w:r>
      <w:bookmarkEnd w:id="10"/>
      <w:r>
        <w:rPr>
          <w:rFonts w:ascii="Marianne" w:hAnsi="Marianne" w:cs="Arial"/>
          <w:b/>
          <w:bCs/>
        </w:rPr>
        <w:t xml:space="preserve"> – Cf Annexe 3 du RC</w:t>
      </w:r>
      <w:r>
        <w:rPr>
          <w:rFonts w:ascii="Marianne" w:hAnsi="Marianne" w:cs="Arial"/>
        </w:rPr>
        <w:t>), le candidat fournit les documents suivants :</w:t>
      </w:r>
    </w:p>
    <w:bookmarkEnd w:id="8"/>
    <w:p>
      <w:pPr>
        <w:spacing w:after="160" w:line="256" w:lineRule="auto"/>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pPr>
      <w:r>
        <w:rPr>
          <w:rFonts w:ascii="Marianne" w:hAnsi="Marianne" w:cs="Arial"/>
        </w:rPr>
        <w:t xml:space="preserve">Un déroulé pédagogique (Cf modèle de déroulé infra pour exemple) </w:t>
      </w:r>
      <w:r>
        <w:rPr>
          <w:rFonts w:ascii="Marianne" w:hAnsi="Marianne"/>
        </w:rPr>
        <w:t xml:space="preserve">reprenant les items du modèle </w:t>
      </w:r>
      <w:r>
        <w:rPr>
          <w:rFonts w:ascii="Marianne" w:hAnsi="Marianne" w:cs="Arial"/>
          <w:b/>
          <w:bCs/>
        </w:rPr>
        <w:t>pour chacune des actions de formation à analyser (Cf Annexe 3 du RC)</w:t>
      </w:r>
      <w:r>
        <w:rPr>
          <w:rFonts w:ascii="Marianne" w:hAnsi="Marianne" w:cs="Arial"/>
        </w:rPr>
        <w:t>. Ce déroulé vise à apprécier la pédagogie mise en œuvre. Le candidat peut expliciter les approches, méthodes et outils pédagogiques qu’il compte mettre en œuvre pour l’animation des actions de formation (2 pages maximum).</w:t>
      </w:r>
    </w:p>
    <w:p>
      <w:pPr>
        <w:pStyle w:val="Paragraphedeliste"/>
        <w:spacing w:after="160" w:line="256" w:lineRule="auto"/>
        <w:ind w:left="720"/>
        <w:contextualSpacing/>
        <w:jc w:val="both"/>
        <w:rPr>
          <w:rFonts w:ascii="Marianne" w:hAnsi="Marianne" w:cs="Arial"/>
        </w:rPr>
      </w:pPr>
    </w:p>
    <w:p>
      <w:pPr>
        <w:pStyle w:val="Paragraphedeliste"/>
        <w:numPr>
          <w:ilvl w:val="2"/>
          <w:numId w:val="34"/>
        </w:numPr>
        <w:rPr>
          <w:rFonts w:ascii="Marianne" w:hAnsi="Marianne" w:cs="Arial"/>
        </w:rPr>
      </w:pPr>
      <w:r>
        <w:rPr>
          <w:rFonts w:ascii="Marianne" w:hAnsi="Marianne" w:cs="Arial"/>
        </w:rPr>
        <w:t xml:space="preserve">La fiche descriptive issue de l’annexe 10 du CCTP complétée des items évoqués dans l’article VI.7.2 du CCTP </w:t>
      </w:r>
      <w:r>
        <w:rPr>
          <w:rFonts w:ascii="Marianne" w:hAnsi="Marianne" w:cs="Arial"/>
          <w:b/>
          <w:bCs/>
        </w:rPr>
        <w:t>pour chacune des actions de formation à analyser (Cf Annexe 3 du RC)</w:t>
      </w:r>
      <w:r>
        <w:rPr>
          <w:rFonts w:ascii="Marianne" w:hAnsi="Marianne" w:cs="Arial"/>
        </w:rPr>
        <w:t xml:space="preserve"> : ces documents visent à apprécier le contenu métier des formations (2 pages maximum)</w:t>
      </w:r>
    </w:p>
    <w:p>
      <w:pPr>
        <w:pStyle w:val="Paragraphedeliste"/>
        <w:rPr>
          <w:rFonts w:ascii="Marianne" w:hAnsi="Marianne" w:cs="Arial"/>
        </w:rPr>
      </w:pPr>
    </w:p>
    <w:p>
      <w:pPr>
        <w:pStyle w:val="Paragraphedeliste"/>
        <w:ind w:left="720"/>
        <w:rPr>
          <w:rFonts w:ascii="Marianne" w:hAnsi="Marianne" w:cs="Arial"/>
        </w:rPr>
      </w:pPr>
      <w:r>
        <w:rPr>
          <w:rFonts w:ascii="Marianne" w:hAnsi="Marianne" w:cs="Arial"/>
        </w:rPr>
        <w:t xml:space="preserve">Un extrait de 5 à 6 planches du support prévu correspondant à la thématique centrale </w:t>
      </w:r>
      <w:r>
        <w:rPr>
          <w:rFonts w:ascii="Marianne" w:hAnsi="Marianne" w:cs="Arial"/>
          <w:b/>
          <w:bCs/>
        </w:rPr>
        <w:t>pour chacune des actions de formation à analyser (Cf annexe 3 du RC)</w:t>
      </w:r>
      <w:r>
        <w:rPr>
          <w:rFonts w:ascii="Marianne" w:hAnsi="Marianne" w:cs="Arial"/>
        </w:rPr>
        <w:t xml:space="preserve"> : cet extract sert à apprécier la qualité du contenu de formation ainsi que celles des prestations d’ingénierie pédagogique mobilisées par le candidat.</w:t>
      </w:r>
      <w:bookmarkEnd w:id="7"/>
      <w:r>
        <w:rPr>
          <w:rFonts w:ascii="Marianne" w:hAnsi="Marianne" w:cs="Arial"/>
        </w:rPr>
        <w:t xml:space="preserve"> </w:t>
      </w:r>
    </w:p>
    <w:p>
      <w:pPr>
        <w:spacing w:after="160" w:line="256" w:lineRule="auto"/>
        <w:ind w:left="709"/>
        <w:contextualSpacing/>
        <w:jc w:val="both"/>
        <w:rPr>
          <w:rFonts w:ascii="Marianne" w:hAnsi="Marianne" w:cs="Arial"/>
        </w:rPr>
      </w:pPr>
    </w:p>
    <w:p>
      <w:pPr>
        <w:pStyle w:val="Paragraphedeliste"/>
        <w:numPr>
          <w:ilvl w:val="2"/>
          <w:numId w:val="34"/>
        </w:numPr>
        <w:spacing w:after="160" w:line="256" w:lineRule="auto"/>
        <w:contextualSpacing/>
        <w:jc w:val="both"/>
        <w:rPr>
          <w:rFonts w:ascii="Marianne" w:hAnsi="Marianne" w:cs="Arial"/>
        </w:rPr>
        <w:sectPr>
          <w:headerReference w:type="default" r:id="rId13"/>
          <w:footerReference w:type="first" r:id="rId14"/>
          <w:pgSz w:w="11906" w:h="16838"/>
          <w:pgMar w:top="1418" w:right="1418" w:bottom="1418" w:left="1134" w:header="709" w:footer="709" w:gutter="0"/>
          <w:cols w:space="708"/>
          <w:docGrid w:linePitch="360"/>
        </w:sectPr>
      </w:pPr>
      <w:r>
        <w:rPr>
          <w:rFonts w:ascii="Marianne" w:hAnsi="Marianne" w:cs="Arial"/>
        </w:rPr>
        <w:t xml:space="preserve">Un dispositif d’évaluation des stagiaires proposé par le candidat (avant et/ou en fin de formation) (Cf Article VI.10 du CCTP). Cette prestation doit être entendue comme un moyen de mieux évaluer les attentes et/ou le niveau des stagiaires avant la formation et, le cas échéant, évaluer leur progression en fin de formation (1 page maximum). </w:t>
      </w: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bookmarkStart w:id="11" w:name="_Hlk152852863"/>
    </w:p>
    <w:p>
      <w:pPr>
        <w:spacing w:before="120" w:after="120" w:line="276" w:lineRule="auto"/>
        <w:jc w:val="both"/>
        <w:rPr>
          <w:rFonts w:ascii="Marianne" w:eastAsia="Calibri" w:hAnsi="Marianne" w:cs="Arial"/>
          <w:i/>
          <w:color w:val="FF0000"/>
          <w:sz w:val="20"/>
          <w:szCs w:val="20"/>
          <w:lang w:eastAsia="en-US"/>
        </w:rPr>
      </w:pPr>
      <w:bookmarkStart w:id="12" w:name="_Hlk152852233"/>
      <w:r>
        <w:rPr>
          <w:rFonts w:ascii="Marianne" w:eastAsia="Calibri" w:hAnsi="Marianne" w:cs="Arial"/>
          <w:i/>
          <w:color w:val="FF0000"/>
          <w:sz w:val="20"/>
          <w:szCs w:val="20"/>
          <w:lang w:eastAsia="en-US"/>
        </w:rPr>
        <w:t xml:space="preserve">Consigne </w:t>
      </w:r>
      <w:r>
        <w:rPr>
          <w:rFonts w:ascii="Marianne" w:eastAsia="Calibri" w:hAnsi="Marianne" w:cs="Arial"/>
          <w:i/>
          <w:color w:val="FF0000"/>
          <w:sz w:val="20"/>
          <w:szCs w:val="20"/>
          <w:lang w:eastAsia="en-US"/>
        </w:rPr>
        <w:sym w:font="Wingdings" w:char="F0E0"/>
      </w:r>
      <w:r>
        <w:rPr>
          <w:rFonts w:ascii="Marianne" w:eastAsia="Calibri" w:hAnsi="Marianne" w:cs="Arial"/>
          <w:i/>
          <w:color w:val="FF0000"/>
          <w:sz w:val="20"/>
          <w:szCs w:val="20"/>
          <w:lang w:eastAsia="en-US"/>
        </w:rPr>
        <w:t xml:space="preserve"> Dupliquer autant de pages que nécessaire ou ajouter autant de lignes que nécessaires dans les tableaux.</w:t>
      </w:r>
    </w:p>
    <w:p>
      <w:pPr>
        <w:spacing w:before="120" w:after="120" w:line="276" w:lineRule="auto"/>
        <w:jc w:val="both"/>
        <w:rPr>
          <w:rFonts w:ascii="Marianne" w:eastAsia="Calibri" w:hAnsi="Marianne" w:cs="Arial"/>
          <w:b/>
          <w:bCs/>
          <w:iCs/>
          <w:sz w:val="22"/>
          <w:szCs w:val="22"/>
          <w:lang w:eastAsia="en-US"/>
        </w:rPr>
      </w:pPr>
      <w:r>
        <w:rPr>
          <w:rFonts w:ascii="Marianne" w:eastAsia="Calibri" w:hAnsi="Marianne" w:cs="Arial"/>
          <w:b/>
          <w:bCs/>
          <w:iCs/>
          <w:sz w:val="22"/>
          <w:szCs w:val="22"/>
          <w:highlight w:val="yellow"/>
          <w:lang w:eastAsia="en-US"/>
        </w:rPr>
        <w:t>Modèle de déroulé pédagogique (Sous-sous-critère 2.1.1)</w:t>
      </w:r>
    </w:p>
    <w:bookmarkEnd w:id="11"/>
    <w:bookmarkEnd w:id="12"/>
    <w:p>
      <w:pPr>
        <w:jc w:val="both"/>
        <w:rPr>
          <w:rFonts w:ascii="Marianne" w:hAnsi="Marianne" w:cs="Arial"/>
          <w:color w:val="000000" w:themeColor="text1"/>
          <w:szCs w:val="20"/>
        </w:rPr>
      </w:pPr>
      <w:r>
        <w:rPr>
          <w:rFonts w:ascii="Marianne" w:hAnsi="Marianne" w:cs="Arial"/>
          <w:color w:val="000000" w:themeColor="text1"/>
          <w:szCs w:val="20"/>
        </w:rPr>
        <w:t xml:space="preserve">Compléter le déroulé pédagogique ci-dessous </w:t>
      </w:r>
      <w:bookmarkStart w:id="13" w:name="_Hlk190780051"/>
      <w:r>
        <w:rPr>
          <w:rFonts w:ascii="Marianne" w:hAnsi="Marianne" w:cs="Arial"/>
          <w:color w:val="000000" w:themeColor="text1"/>
          <w:szCs w:val="20"/>
        </w:rPr>
        <w:t xml:space="preserve">pour chacune des actions de formation à </w:t>
      </w:r>
      <w:r>
        <w:rPr>
          <w:rFonts w:ascii="Marianne" w:hAnsi="Marianne" w:cs="Arial"/>
          <w:b/>
          <w:bCs/>
          <w:color w:val="000000" w:themeColor="text1"/>
          <w:szCs w:val="20"/>
        </w:rPr>
        <w:t>analyser (</w:t>
      </w:r>
      <w:r>
        <w:rPr>
          <w:rFonts w:ascii="Marianne" w:hAnsi="Marianne" w:cs="Arial"/>
          <w:b/>
          <w:bCs/>
        </w:rPr>
        <w:t>uniquement celles des échantillons pour les lots 1, 4, 5, 6, et, pour la totalité des actions de formation pour les lots 2 et 3 du présent accord-cadre – Cf Annexe 3 du RC</w:t>
      </w:r>
      <w:r>
        <w:rPr>
          <w:rFonts w:ascii="Marianne" w:hAnsi="Marianne" w:cs="Arial"/>
          <w:b/>
          <w:bCs/>
          <w:color w:val="000000" w:themeColor="text1"/>
          <w:szCs w:val="20"/>
        </w:rPr>
        <w:t>).</w:t>
      </w:r>
      <w:r>
        <w:rPr>
          <w:rFonts w:ascii="Marianne" w:hAnsi="Marianne" w:cs="Arial"/>
          <w:color w:val="000000" w:themeColor="text1"/>
          <w:szCs w:val="20"/>
        </w:rPr>
        <w:t xml:space="preserve"> </w:t>
      </w:r>
      <w:bookmarkEnd w:id="13"/>
    </w:p>
    <w:p>
      <w:pPr>
        <w:jc w:val="both"/>
        <w:rPr>
          <w:rFonts w:ascii="Marianne" w:hAnsi="Marianne" w:cs="Tahoma"/>
          <w:sz w:val="20"/>
          <w:szCs w:val="20"/>
        </w:rPr>
      </w:pPr>
      <w:r>
        <w:rPr>
          <w:rFonts w:ascii="Marianne" w:hAnsi="Marianne" w:cs="Tahoma"/>
          <w:sz w:val="20"/>
          <w:szCs w:val="20"/>
          <w:u w:val="single"/>
        </w:rPr>
        <w:t>Titre de la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bookmarkStart w:id="14" w:name="_Hlk150778627"/>
      <w:bookmarkStart w:id="15" w:name="_Hlk150778393"/>
      <w:r>
        <w:rPr>
          <w:rFonts w:ascii="Marianne" w:hAnsi="Marianne" w:cs="Tahoma"/>
          <w:sz w:val="20"/>
          <w:szCs w:val="20"/>
          <w:u w:val="single"/>
        </w:rPr>
        <w:t>Objectifs de formation :</w:t>
      </w:r>
      <w:r>
        <w:rPr>
          <w:rFonts w:ascii="Marianne" w:hAnsi="Marianne" w:cs="Tahoma"/>
          <w:sz w:val="20"/>
          <w:szCs w:val="20"/>
        </w:rPr>
        <w:t xml:space="preserve"> </w:t>
      </w:r>
      <w:r>
        <w:rPr>
          <w:rFonts w:ascii="Marianne" w:hAnsi="Marianne" w:cs="Tahoma"/>
          <w:b/>
          <w:bCs/>
          <w:i/>
          <w:iCs/>
          <w:sz w:val="20"/>
          <w:szCs w:val="20"/>
        </w:rPr>
        <w:t>A RENSEIGNER</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center"/>
              <w:rPr>
                <w:rFonts w:ascii="Marianne" w:hAnsi="Marianne" w:cs="Tahoma"/>
                <w:b/>
                <w:sz w:val="20"/>
                <w:szCs w:val="20"/>
              </w:rPr>
            </w:pPr>
            <w:bookmarkStart w:id="16" w:name="_Hlk152852905"/>
            <w:r>
              <w:rPr>
                <w:rFonts w:ascii="Marianne" w:hAnsi="Marianne" w:cs="Tahoma"/>
                <w:b/>
                <w:sz w:val="20"/>
                <w:szCs w:val="20"/>
              </w:rPr>
              <w:t>Durée/heure</w:t>
            </w:r>
          </w:p>
        </w:tc>
        <w:tc>
          <w:tcPr>
            <w:tcW w:w="1984" w:type="dxa"/>
          </w:tcPr>
          <w:p>
            <w:pPr>
              <w:jc w:val="center"/>
              <w:rPr>
                <w:rFonts w:ascii="Marianne" w:hAnsi="Marianne" w:cs="Tahoma"/>
                <w:b/>
                <w:sz w:val="20"/>
                <w:szCs w:val="20"/>
              </w:rPr>
            </w:pPr>
            <w:r>
              <w:rPr>
                <w:rFonts w:ascii="Marianne" w:hAnsi="Marianne" w:cs="Tahoma"/>
                <w:b/>
                <w:sz w:val="20"/>
                <w:szCs w:val="20"/>
              </w:rPr>
              <w:t>Séquences</w:t>
            </w:r>
          </w:p>
        </w:tc>
        <w:tc>
          <w:tcPr>
            <w:tcW w:w="2126" w:type="dxa"/>
          </w:tcPr>
          <w:p>
            <w:pPr>
              <w:jc w:val="center"/>
              <w:rPr>
                <w:rFonts w:ascii="Marianne" w:hAnsi="Marianne" w:cs="Tahoma"/>
                <w:b/>
                <w:sz w:val="20"/>
                <w:szCs w:val="20"/>
              </w:rPr>
            </w:pPr>
            <w:r>
              <w:rPr>
                <w:rFonts w:ascii="Marianne" w:hAnsi="Marianne" w:cs="Tahoma"/>
                <w:b/>
                <w:sz w:val="20"/>
                <w:szCs w:val="20"/>
              </w:rPr>
              <w:t>Objectifs pédagogiques</w:t>
            </w:r>
          </w:p>
        </w:tc>
        <w:tc>
          <w:tcPr>
            <w:tcW w:w="2694" w:type="dxa"/>
          </w:tcPr>
          <w:p>
            <w:pPr>
              <w:jc w:val="center"/>
              <w:rPr>
                <w:rFonts w:ascii="Marianne" w:hAnsi="Marianne" w:cs="Tahoma"/>
                <w:b/>
                <w:sz w:val="20"/>
                <w:szCs w:val="20"/>
              </w:rPr>
            </w:pPr>
            <w:r>
              <w:rPr>
                <w:rFonts w:ascii="Marianne" w:hAnsi="Marianne" w:cs="Tahoma"/>
                <w:b/>
                <w:sz w:val="20"/>
                <w:szCs w:val="20"/>
              </w:rPr>
              <w:t>Thèmes clés</w:t>
            </w:r>
          </w:p>
        </w:tc>
        <w:tc>
          <w:tcPr>
            <w:tcW w:w="4819" w:type="dxa"/>
          </w:tcPr>
          <w:p>
            <w:pPr>
              <w:jc w:val="center"/>
              <w:rPr>
                <w:rFonts w:ascii="Marianne" w:hAnsi="Marianne" w:cs="Tahoma"/>
                <w:b/>
                <w:sz w:val="20"/>
                <w:szCs w:val="20"/>
              </w:rPr>
            </w:pPr>
            <w:r>
              <w:rPr>
                <w:rFonts w:ascii="Marianne" w:hAnsi="Marianne" w:cs="Tahoma"/>
                <w:b/>
                <w:sz w:val="20"/>
                <w:szCs w:val="20"/>
              </w:rPr>
              <w:t>Modalités pédagogiques</w:t>
            </w:r>
          </w:p>
        </w:tc>
        <w:tc>
          <w:tcPr>
            <w:tcW w:w="2552" w:type="dxa"/>
          </w:tcPr>
          <w:p>
            <w:pPr>
              <w:jc w:val="center"/>
              <w:rPr>
                <w:rFonts w:ascii="Marianne" w:hAnsi="Marianne" w:cs="Tahoma"/>
                <w:b/>
                <w:sz w:val="20"/>
                <w:szCs w:val="20"/>
              </w:rPr>
            </w:pPr>
            <w:r>
              <w:rPr>
                <w:rFonts w:ascii="Marianne" w:hAnsi="Marianne" w:cs="Tahoma"/>
                <w:b/>
                <w:sz w:val="20"/>
                <w:szCs w:val="20"/>
              </w:rPr>
              <w:t>Outils, supports, matériels</w:t>
            </w:r>
          </w:p>
        </w:tc>
      </w:tr>
      <w:tr>
        <w:tc>
          <w:tcPr>
            <w:tcW w:w="1560"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15 mn</w:t>
            </w:r>
          </w:p>
        </w:tc>
        <w:tc>
          <w:tcPr>
            <w:tcW w:w="198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1 – Lancement de la formation.</w:t>
            </w:r>
          </w:p>
        </w:tc>
        <w:tc>
          <w:tcPr>
            <w:tcW w:w="2126"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eastAsia="Calibri" w:hAnsi="Marianne"/>
                <w:b/>
                <w:bCs/>
                <w:i/>
                <w:iCs/>
                <w:color w:val="D0CECE" w:themeColor="background2" w:themeShade="E6"/>
                <w:sz w:val="20"/>
                <w:szCs w:val="20"/>
              </w:rPr>
              <w:t>Identifier les enjeux et les attentes de la formation et créer un climat favorable à l’apprentissage</w:t>
            </w:r>
          </w:p>
        </w:tc>
        <w:tc>
          <w:tcPr>
            <w:tcW w:w="2694"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eastAsia="Calibri" w:hAnsi="Marianne"/>
                <w:b/>
                <w:bCs/>
                <w:i/>
                <w:iCs/>
                <w:color w:val="D0CECE" w:themeColor="background2" w:themeShade="E6"/>
                <w:sz w:val="20"/>
                <w:szCs w:val="20"/>
              </w:rPr>
            </w:pP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des participant(e)s et de(s) l’intervenant(e)s</w:t>
            </w:r>
          </w:p>
          <w:p>
            <w:pPr>
              <w:rPr>
                <w:rFonts w:ascii="Marianne" w:eastAsia="Calibri" w:hAnsi="Marianne"/>
                <w:b/>
                <w:bCs/>
                <w:i/>
                <w:iCs/>
                <w:color w:val="D0CECE" w:themeColor="background2" w:themeShade="E6"/>
                <w:sz w:val="20"/>
                <w:szCs w:val="20"/>
              </w:rPr>
            </w:pPr>
            <w:r>
              <w:rPr>
                <w:rFonts w:ascii="Marianne" w:eastAsia="Calibri" w:hAnsi="Marianne"/>
                <w:b/>
                <w:bCs/>
                <w:i/>
                <w:iCs/>
                <w:color w:val="D0CECE" w:themeColor="background2" w:themeShade="E6"/>
                <w:sz w:val="20"/>
                <w:szCs w:val="20"/>
              </w:rPr>
              <w:t>Présentation du programme et des règles du jeu de la formation</w:t>
            </w:r>
          </w:p>
          <w:p>
            <w:pPr>
              <w:rPr>
                <w:rFonts w:ascii="Marianne" w:hAnsi="Marianne" w:cs="Tahoma"/>
                <w:b/>
                <w:bCs/>
                <w:i/>
                <w:iCs/>
                <w:color w:val="D0CECE" w:themeColor="background2" w:themeShade="E6"/>
                <w:sz w:val="20"/>
                <w:szCs w:val="20"/>
              </w:rPr>
            </w:pPr>
          </w:p>
        </w:tc>
        <w:tc>
          <w:tcPr>
            <w:tcW w:w="4819"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 xml:space="preserve">Exposé de l’intervenant (e)s </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Tour de table</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brise-glace, météo, questionnaire d’évaluation des compétences, etc.</w:t>
            </w:r>
          </w:p>
        </w:tc>
        <w:tc>
          <w:tcPr>
            <w:tcW w:w="2552" w:type="dxa"/>
          </w:tcPr>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Exemple</w:t>
            </w:r>
          </w:p>
          <w:p>
            <w:pPr>
              <w:rPr>
                <w:rFonts w:ascii="Marianne" w:hAnsi="Marianne" w:cs="Tahoma"/>
                <w:b/>
                <w:bCs/>
                <w:i/>
                <w:iCs/>
                <w:color w:val="D0CECE" w:themeColor="background2" w:themeShade="E6"/>
                <w:sz w:val="20"/>
                <w:szCs w:val="20"/>
              </w:rPr>
            </w:pP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Diffusion PPT</w:t>
            </w:r>
          </w:p>
          <w:p>
            <w:pPr>
              <w:rPr>
                <w:rFonts w:ascii="Marianne" w:hAnsi="Marianne" w:cs="Tahoma"/>
                <w:b/>
                <w:bCs/>
                <w:i/>
                <w:iCs/>
                <w:color w:val="D0CECE" w:themeColor="background2" w:themeShade="E6"/>
                <w:sz w:val="20"/>
                <w:szCs w:val="20"/>
              </w:rPr>
            </w:pPr>
            <w:r>
              <w:rPr>
                <w:rFonts w:ascii="Marianne" w:hAnsi="Marianne" w:cs="Tahoma"/>
                <w:b/>
                <w:bCs/>
                <w:i/>
                <w:iCs/>
                <w:color w:val="D0CECE" w:themeColor="background2" w:themeShade="E6"/>
                <w:sz w:val="20"/>
                <w:szCs w:val="20"/>
              </w:rPr>
              <w:t>Jeu de cartes « brise-glaces »à</w:t>
            </w:r>
          </w:p>
          <w:p>
            <w:pPr>
              <w:rPr>
                <w:rFonts w:ascii="Marianne" w:hAnsi="Marianne" w:cs="Tahoma"/>
                <w:b/>
                <w:bCs/>
                <w:sz w:val="20"/>
                <w:szCs w:val="20"/>
              </w:rPr>
            </w:pPr>
            <w:r>
              <w:rPr>
                <w:rFonts w:ascii="Marianne" w:hAnsi="Marianne" w:cs="Tahoma"/>
                <w:b/>
                <w:bCs/>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bookmarkEnd w:id="14"/>
      <w:bookmarkEnd w:id="16"/>
    </w:tbl>
    <w:p>
      <w:pPr>
        <w:jc w:val="both"/>
        <w:rPr>
          <w:rFonts w:ascii="Marianne" w:hAnsi="Marianne" w:cs="Arial"/>
          <w:color w:val="000000" w:themeColor="text1"/>
          <w:szCs w:val="20"/>
        </w:rPr>
      </w:pPr>
    </w:p>
    <w:bookmarkEnd w:id="15"/>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Tahoma"/>
          <w:b/>
          <w:sz w:val="20"/>
          <w:szCs w:val="20"/>
        </w:rPr>
        <w:sectPr>
          <w:pgSz w:w="16838" w:h="11906" w:orient="landscape"/>
          <w:pgMar w:top="1134" w:right="1418" w:bottom="1418" w:left="1418" w:header="709" w:footer="709" w:gutter="0"/>
          <w:cols w:space="708"/>
          <w:docGrid w:linePitch="360"/>
        </w:sectPr>
      </w:pPr>
    </w:p>
    <w:p>
      <w:pPr>
        <w:spacing w:after="160" w:line="259" w:lineRule="auto"/>
        <w:ind w:right="-285"/>
        <w:contextualSpacing/>
        <w:jc w:val="both"/>
        <w:rPr>
          <w:rFonts w:ascii="Marianne" w:hAnsi="Marianne" w:cs="Arial"/>
        </w:rPr>
      </w:pPr>
      <w:r>
        <w:rPr>
          <w:rFonts w:ascii="Marianne" w:hAnsi="Marianne" w:cs="Arial"/>
          <w:b/>
          <w:u w:val="single"/>
        </w:rPr>
        <w:lastRenderedPageBreak/>
        <w:t xml:space="preserve">Sous-critère 2.2 </w:t>
      </w:r>
      <w:r>
        <w:rPr>
          <w:rFonts w:ascii="Marianne" w:hAnsi="Marianne" w:cs="Arial"/>
          <w:b/>
        </w:rPr>
        <w:t xml:space="preserve">: </w:t>
      </w:r>
      <w:bookmarkStart w:id="17" w:name="_Hlk189756882"/>
      <w:r>
        <w:rPr>
          <w:rFonts w:ascii="Marianne" w:hAnsi="Marianne" w:cs="Arial"/>
          <w:b/>
        </w:rPr>
        <w:t xml:space="preserve">Compétences, expériences des formateurs proposés et dispositif de coordination pédagogique </w:t>
      </w:r>
      <w:bookmarkEnd w:id="17"/>
      <w:r>
        <w:rPr>
          <w:rFonts w:ascii="Marianne" w:hAnsi="Marianne" w:cs="Arial"/>
          <w:b/>
        </w:rPr>
        <w:t xml:space="preserve">(30 %) : </w:t>
      </w:r>
    </w:p>
    <w:p>
      <w:pPr>
        <w:spacing w:after="160" w:line="259" w:lineRule="auto"/>
        <w:contextualSpacing/>
        <w:jc w:val="both"/>
        <w:rPr>
          <w:rFonts w:ascii="Marianne" w:hAnsi="Marianne" w:cs="Arial"/>
          <w:b/>
        </w:rPr>
      </w:pPr>
    </w:p>
    <w:p>
      <w:pPr>
        <w:spacing w:after="160" w:line="259" w:lineRule="auto"/>
        <w:contextualSpacing/>
        <w:jc w:val="both"/>
        <w:rPr>
          <w:rFonts w:ascii="Marianne" w:hAnsi="Marianne" w:cs="Arial"/>
        </w:rPr>
      </w:pPr>
      <w:r>
        <w:rPr>
          <w:rFonts w:ascii="Marianne" w:hAnsi="Marianne" w:cs="Arial"/>
        </w:rPr>
        <w:t>Ce sous-critère est jugé sur les éléments suivants :</w:t>
      </w:r>
    </w:p>
    <w:p>
      <w:pPr>
        <w:spacing w:after="160" w:line="259" w:lineRule="auto"/>
        <w:contextualSpacing/>
        <w:jc w:val="both"/>
        <w:rPr>
          <w:rFonts w:ascii="Marianne" w:hAnsi="Marianne" w:cs="Arial"/>
          <w:b/>
        </w:rPr>
      </w:pPr>
    </w:p>
    <w:tbl>
      <w:tblPr>
        <w:tblStyle w:val="Grilledutableau"/>
        <w:tblW w:w="10060" w:type="dxa"/>
        <w:jc w:val="center"/>
        <w:tblLayout w:type="fixed"/>
        <w:tblLook w:val="04A0" w:firstRow="1" w:lastRow="0" w:firstColumn="1" w:lastColumn="0" w:noHBand="0" w:noVBand="1"/>
      </w:tblPr>
      <w:tblGrid>
        <w:gridCol w:w="8377"/>
        <w:gridCol w:w="1683"/>
      </w:tblGrid>
      <w:tr>
        <w:trPr>
          <w:trHeight w:val="464"/>
          <w:jc w:val="center"/>
        </w:trPr>
        <w:tc>
          <w:tcPr>
            <w:tcW w:w="8377"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Eléments d’appréciation</w:t>
            </w:r>
          </w:p>
        </w:tc>
        <w:tc>
          <w:tcPr>
            <w:tcW w:w="1683"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trHeight w:val="1421"/>
          <w:jc w:val="center"/>
        </w:trPr>
        <w:tc>
          <w:tcPr>
            <w:tcW w:w="8377" w:type="dxa"/>
            <w:tcBorders>
              <w:top w:val="single" w:sz="4" w:space="0" w:color="auto"/>
            </w:tcBorders>
          </w:tcPr>
          <w:p>
            <w:pPr>
              <w:spacing w:line="252" w:lineRule="auto"/>
              <w:jc w:val="both"/>
              <w:rPr>
                <w:rFonts w:ascii="Marianne" w:hAnsi="Marianne" w:cs="Arial"/>
                <w:sz w:val="18"/>
                <w:szCs w:val="18"/>
              </w:rPr>
            </w:pPr>
            <w:r>
              <w:rPr>
                <w:rFonts w:ascii="Marianne" w:hAnsi="Marianne" w:cs="Arial"/>
              </w:rPr>
              <w:t>2.2.1 – Un tableau indiquant le n</w:t>
            </w:r>
            <w:r>
              <w:rPr>
                <w:rFonts w:ascii="Marianne" w:hAnsi="Marianne"/>
              </w:rPr>
              <w:t>ombre de formateurs permettant de mesurer la capacité à répondre à la volumétrie estimée et au périmètre géographique (Les actions de formation peuvent être dispensées simultanément sur plusieurs lieux géographiques, sans limite du nombre de sessions pour la même formation).</w:t>
            </w:r>
          </w:p>
        </w:tc>
        <w:tc>
          <w:tcPr>
            <w:tcW w:w="1683" w:type="dxa"/>
            <w:tcBorders>
              <w:top w:val="single" w:sz="4" w:space="0" w:color="auto"/>
            </w:tcBorders>
          </w:tcPr>
          <w:p>
            <w:pPr>
              <w:jc w:val="center"/>
              <w:rPr>
                <w:rFonts w:ascii="Marianne" w:hAnsi="Marianne" w:cs="Arial"/>
              </w:rPr>
            </w:pPr>
            <w:r>
              <w:rPr>
                <w:rFonts w:ascii="Marianne" w:hAnsi="Marianne" w:cs="Arial"/>
              </w:rPr>
              <w:t>40 %</w:t>
            </w:r>
          </w:p>
        </w:tc>
      </w:tr>
      <w:tr>
        <w:trPr>
          <w:jc w:val="center"/>
        </w:trPr>
        <w:tc>
          <w:tcPr>
            <w:tcW w:w="8377" w:type="dxa"/>
          </w:tcPr>
          <w:p>
            <w:pPr>
              <w:spacing w:after="160" w:line="256" w:lineRule="auto"/>
              <w:contextualSpacing/>
              <w:jc w:val="both"/>
              <w:rPr>
                <w:rFonts w:ascii="Marianne" w:hAnsi="Marianne" w:cs="Arial"/>
              </w:rPr>
            </w:pPr>
            <w:r>
              <w:rPr>
                <w:rFonts w:ascii="Marianne" w:hAnsi="Marianne" w:cs="Arial"/>
              </w:rPr>
              <w:t>2.2.2 - Adéquation du profil des formateurs aux actions de formation (Expériences en matière d’animation de formations au sein de la sphère publique et, le cas échéant, parcours de praticien en achat et/ou commande publique) selon les lots.</w:t>
            </w:r>
          </w:p>
        </w:tc>
        <w:tc>
          <w:tcPr>
            <w:tcW w:w="1683" w:type="dxa"/>
          </w:tcPr>
          <w:p>
            <w:pPr>
              <w:jc w:val="center"/>
              <w:rPr>
                <w:rFonts w:ascii="Marianne" w:hAnsi="Marianne" w:cs="Arial"/>
              </w:rPr>
            </w:pPr>
            <w:r>
              <w:rPr>
                <w:rFonts w:ascii="Marianne" w:hAnsi="Marianne" w:cs="Arial"/>
              </w:rPr>
              <w:t>40%</w:t>
            </w:r>
          </w:p>
        </w:tc>
      </w:tr>
      <w:tr>
        <w:trPr>
          <w:jc w:val="center"/>
        </w:trPr>
        <w:tc>
          <w:tcPr>
            <w:tcW w:w="8377" w:type="dxa"/>
          </w:tcPr>
          <w:p>
            <w:pPr>
              <w:spacing w:after="160" w:line="256" w:lineRule="auto"/>
              <w:contextualSpacing/>
              <w:jc w:val="both"/>
              <w:rPr>
                <w:rFonts w:ascii="Marianne" w:hAnsi="Marianne" w:cs="Arial"/>
                <w:sz w:val="18"/>
                <w:szCs w:val="18"/>
              </w:rPr>
            </w:pPr>
            <w:r>
              <w:rPr>
                <w:rFonts w:ascii="Marianne" w:hAnsi="Marianne" w:cs="Arial"/>
              </w:rPr>
              <w:t>2.2.3 - Organisation proposée pour la coordination pédagogique entre le(s) titulaire(s), le Représentant du pouvoir adjudicateur (RPA), les prescripteurs et bénéficiaires.</w:t>
            </w:r>
          </w:p>
        </w:tc>
        <w:tc>
          <w:tcPr>
            <w:tcW w:w="1683" w:type="dxa"/>
          </w:tcPr>
          <w:p>
            <w:pPr>
              <w:jc w:val="center"/>
              <w:rPr>
                <w:rFonts w:ascii="Marianne" w:hAnsi="Marianne" w:cs="Arial"/>
              </w:rPr>
            </w:pPr>
            <w:r>
              <w:rPr>
                <w:rFonts w:ascii="Marianne" w:hAnsi="Marianne" w:cs="Arial"/>
              </w:rPr>
              <w:t>20 %</w:t>
            </w:r>
          </w:p>
        </w:tc>
      </w:tr>
    </w:tbl>
    <w:p>
      <w:pPr>
        <w:pStyle w:val="Paragraphedeliste"/>
        <w:spacing w:after="160" w:line="256" w:lineRule="auto"/>
        <w:ind w:left="0"/>
        <w:contextualSpacing/>
        <w:jc w:val="both"/>
        <w:rPr>
          <w:rFonts w:ascii="Marianne" w:hAnsi="Marianne" w:cs="Arial"/>
        </w:rPr>
      </w:pPr>
      <w:bookmarkStart w:id="18" w:name="_Hlk146809811"/>
    </w:p>
    <w:p>
      <w:pPr>
        <w:pStyle w:val="Paragraphedeliste"/>
        <w:spacing w:after="160" w:line="256" w:lineRule="auto"/>
        <w:ind w:left="0"/>
        <w:contextualSpacing/>
        <w:jc w:val="both"/>
        <w:rPr>
          <w:rFonts w:ascii="Marianne" w:hAnsi="Marianne" w:cs="Arial"/>
        </w:rPr>
      </w:pPr>
      <w:r>
        <w:rPr>
          <w:rFonts w:ascii="Marianne" w:hAnsi="Marianne" w:cs="Arial"/>
        </w:rPr>
        <w:t>Pour étayer son offre, le candidat fournit les documents suivants :</w:t>
      </w:r>
    </w:p>
    <w:p>
      <w:pPr>
        <w:pStyle w:val="Paragraphedeliste"/>
        <w:spacing w:after="160" w:line="256" w:lineRule="auto"/>
        <w:ind w:left="720"/>
        <w:contextualSpacing/>
        <w:jc w:val="both"/>
        <w:rPr>
          <w:rFonts w:ascii="Marianne" w:hAnsi="Marianne" w:cs="Arial"/>
        </w:rPr>
      </w:pPr>
    </w:p>
    <w:p>
      <w:pPr>
        <w:pStyle w:val="Paragraphedeliste"/>
        <w:numPr>
          <w:ilvl w:val="2"/>
          <w:numId w:val="32"/>
        </w:numPr>
        <w:spacing w:after="160" w:line="259" w:lineRule="auto"/>
        <w:contextualSpacing/>
        <w:rPr>
          <w:rFonts w:ascii="Marianne" w:hAnsi="Marianne" w:cs="Arial"/>
        </w:rPr>
      </w:pPr>
      <w:r>
        <w:rPr>
          <w:rFonts w:ascii="Marianne" w:hAnsi="Marianne" w:cs="Arial"/>
        </w:rPr>
        <w:t>Un tableau regroupant le n</w:t>
      </w:r>
      <w:r>
        <w:rPr>
          <w:rFonts w:ascii="Marianne" w:hAnsi="Marianne"/>
        </w:rPr>
        <w:t xml:space="preserve">ombre et la liste des formateurs pressentis pour l’ensemble des actions de formation du lot sur la base de l’annexe 1 du CCTP. </w:t>
      </w:r>
    </w:p>
    <w:p>
      <w:pPr>
        <w:pStyle w:val="Paragraphedeliste"/>
        <w:numPr>
          <w:ilvl w:val="2"/>
          <w:numId w:val="32"/>
        </w:numPr>
        <w:spacing w:after="160" w:line="259" w:lineRule="auto"/>
        <w:contextualSpacing/>
        <w:rPr>
          <w:rFonts w:ascii="Marianne" w:hAnsi="Marianne" w:cs="Arial"/>
        </w:rPr>
      </w:pPr>
      <w:r>
        <w:rPr>
          <w:rFonts w:ascii="Marianne" w:hAnsi="Marianne" w:cs="Arial"/>
        </w:rPr>
        <w:t>De deux à cinq fiches « Formateur » au maximum pour chacune des actions de formation à analyser (</w:t>
      </w:r>
      <w:r>
        <w:rPr>
          <w:rFonts w:ascii="Marianne" w:hAnsi="Marianne" w:cs="Arial"/>
          <w:b/>
          <w:bCs/>
        </w:rPr>
        <w:t>Cf Annexe 3 du RC</w:t>
      </w:r>
      <w:r>
        <w:rPr>
          <w:rFonts w:ascii="Marianne" w:hAnsi="Marianne" w:cs="Arial"/>
        </w:rPr>
        <w:t xml:space="preserve">) : ses expériences dans les domaines de compétences visées (qualifications en achat public et/ou commande publique, niveau avéré de pratique en matière de formation professionnelle continue), types de publics formés, références clients, lettres de recommandation… (Cf Exemple de fiche « Formateur proposé »). Compléter et dupliquer autant que de besoin le modèle proposé. </w:t>
      </w:r>
    </w:p>
    <w:p>
      <w:pPr>
        <w:pStyle w:val="Paragraphedeliste"/>
        <w:spacing w:after="160" w:line="259" w:lineRule="auto"/>
        <w:ind w:left="720"/>
        <w:contextualSpacing/>
        <w:rPr>
          <w:rFonts w:ascii="Marianne" w:hAnsi="Marianne" w:cs="Arial"/>
        </w:rPr>
      </w:pPr>
      <w:r>
        <w:rPr>
          <w:rFonts w:ascii="Marianne" w:hAnsi="Marianne" w:cs="Arial"/>
        </w:rPr>
        <w:t>Il est à noter qu’un formateur peut être proposé sur plusieurs actions de formation, si ses compétences sont avérées dans le domaine d’intervention.</w:t>
      </w:r>
    </w:p>
    <w:p>
      <w:pPr>
        <w:pStyle w:val="Paragraphedeliste"/>
        <w:numPr>
          <w:ilvl w:val="2"/>
          <w:numId w:val="32"/>
        </w:numPr>
        <w:spacing w:after="160" w:line="259" w:lineRule="auto"/>
        <w:contextualSpacing/>
        <w:jc w:val="both"/>
        <w:rPr>
          <w:rFonts w:ascii="Marianne" w:hAnsi="Marianne" w:cs="Arial"/>
        </w:rPr>
      </w:pPr>
      <w:r>
        <w:rPr>
          <w:rFonts w:ascii="Marianne" w:hAnsi="Marianne" w:cs="Arial"/>
        </w:rPr>
        <w:t>Le modèle d’organisation et de coordination pédagogique envisagé pour le lot (1 page maximum).</w:t>
      </w:r>
    </w:p>
    <w:p>
      <w:pPr>
        <w:pStyle w:val="Paragraphedeliste"/>
        <w:numPr>
          <w:ilvl w:val="0"/>
          <w:numId w:val="23"/>
        </w:numPr>
        <w:spacing w:before="120" w:after="120" w:line="276" w:lineRule="auto"/>
        <w:contextualSpacing/>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br w:type="page"/>
      </w:r>
    </w:p>
    <w:p>
      <w:pPr>
        <w:spacing w:before="120" w:after="120" w:line="276" w:lineRule="auto"/>
        <w:jc w:val="both"/>
        <w:rPr>
          <w:rFonts w:ascii="Marianne" w:eastAsia="Calibri" w:hAnsi="Marianne" w:cs="Arial"/>
          <w:i/>
          <w:color w:val="FF0000"/>
          <w:sz w:val="20"/>
          <w:szCs w:val="20"/>
          <w:lang w:eastAsia="en-US"/>
        </w:rPr>
      </w:pPr>
      <w:bookmarkStart w:id="19" w:name="_Hlk152852431"/>
      <w:r>
        <w:rPr>
          <w:rFonts w:ascii="Marianne" w:eastAsia="Calibri" w:hAnsi="Marianne" w:cs="Arial"/>
          <w:i/>
          <w:color w:val="FF0000"/>
          <w:sz w:val="20"/>
          <w:szCs w:val="20"/>
          <w:highlight w:val="yellow"/>
          <w:lang w:eastAsia="en-US"/>
        </w:rPr>
        <w:lastRenderedPageBreak/>
        <w:t>Consignes - Dupliquer autant de pages que nécessaire ou ajouter autant de lignes que nécessaires dans les tableaux.</w:t>
      </w:r>
    </w:p>
    <w:bookmarkEnd w:id="19"/>
    <w:p>
      <w:pPr>
        <w:rPr>
          <w:rFonts w:ascii="Marianne" w:hAnsi="Marianne" w:cs="Arial"/>
          <w:b/>
          <w:sz w:val="22"/>
          <w:szCs w:val="22"/>
          <w:highlight w:val="yellow"/>
        </w:rPr>
      </w:pPr>
      <w:r>
        <w:rPr>
          <w:rFonts w:ascii="Marianne" w:hAnsi="Marianne" w:cs="Arial"/>
          <w:b/>
          <w:sz w:val="22"/>
          <w:szCs w:val="22"/>
          <w:highlight w:val="yellow"/>
        </w:rPr>
        <w:t>Exemple de fiche « Formateur proposé »</w:t>
      </w:r>
    </w:p>
    <w:p>
      <w:pPr>
        <w:rPr>
          <w:rFonts w:ascii="Montserrat" w:hAnsi="Montserrat"/>
          <w:sz w:val="18"/>
          <w:szCs w:val="18"/>
        </w:rPr>
      </w:pPr>
    </w:p>
    <w:p>
      <w:pPr>
        <w:rPr>
          <w:rFonts w:ascii="Montserrat" w:hAnsi="Montserrat"/>
          <w:b/>
          <w:i/>
          <w:sz w:val="18"/>
          <w:szCs w:val="18"/>
          <w:u w:val="dotted"/>
        </w:rPr>
      </w:pPr>
      <w:r>
        <w:rPr>
          <w:rFonts w:ascii="Montserrat" w:hAnsi="Montserrat"/>
          <w:b/>
          <w:sz w:val="18"/>
          <w:szCs w:val="18"/>
          <w:u w:val="dotted"/>
        </w:rPr>
        <w:t xml:space="preserve">INTERVENANT / FORMATEUR : </w:t>
      </w:r>
    </w:p>
    <w:p>
      <w:pPr>
        <w:rPr>
          <w:rFonts w:ascii="Montserrat" w:hAnsi="Montserrat"/>
          <w:sz w:val="18"/>
          <w:szCs w:val="18"/>
        </w:rPr>
      </w:pPr>
    </w:p>
    <w:p>
      <w:pPr>
        <w:rPr>
          <w:rFonts w:ascii="Montserrat" w:hAnsi="Montserrat"/>
          <w:sz w:val="18"/>
          <w:szCs w:val="18"/>
        </w:rPr>
      </w:pPr>
    </w:p>
    <w:p>
      <w:pPr>
        <w:rPr>
          <w:rFonts w:ascii="Montserrat" w:hAnsi="Montserrat"/>
          <w:sz w:val="18"/>
          <w:szCs w:val="18"/>
        </w:rPr>
      </w:pPr>
      <w:r>
        <w:rPr>
          <w:rFonts w:ascii="Montserrat" w:hAnsi="Montserrat"/>
          <w:sz w:val="18"/>
          <w:szCs w:val="18"/>
        </w:rPr>
        <w:t xml:space="preserve">Nombre d’années d’expériences professionnelle en achat et/ou formation : </w:t>
      </w:r>
    </w:p>
    <w:p>
      <w:pPr>
        <w:rPr>
          <w:rFonts w:ascii="Montserrat" w:hAnsi="Montserrat"/>
          <w:sz w:val="18"/>
          <w:szCs w:val="18"/>
        </w:rPr>
      </w:pPr>
      <w:r>
        <w:rPr>
          <w:rFonts w:ascii="Montserrat" w:hAnsi="Montserrat"/>
          <w:sz w:val="18"/>
          <w:szCs w:val="18"/>
        </w:rPr>
        <w:t xml:space="preserve">Nombre d’années d’expérience en tant que formateur sur les thématiques du marché : </w:t>
      </w:r>
    </w:p>
    <w:p>
      <w:pPr>
        <w:pBdr>
          <w:bottom w:val="single" w:sz="4" w:space="1" w:color="auto"/>
        </w:pBdr>
        <w:rPr>
          <w:rFonts w:ascii="Montserrat" w:hAnsi="Montserrat"/>
          <w:b/>
          <w:sz w:val="18"/>
          <w:szCs w:val="18"/>
        </w:rPr>
      </w:pPr>
    </w:p>
    <w:p>
      <w:pPr>
        <w:pBdr>
          <w:bottom w:val="single" w:sz="4" w:space="1" w:color="auto"/>
        </w:pBdr>
        <w:rPr>
          <w:rFonts w:ascii="Montserrat" w:hAnsi="Montserrat"/>
          <w:b/>
          <w:sz w:val="18"/>
          <w:szCs w:val="18"/>
        </w:rPr>
      </w:pPr>
      <w:r>
        <w:rPr>
          <w:rFonts w:ascii="Montserrat" w:hAnsi="Montserrat"/>
          <w:b/>
          <w:sz w:val="18"/>
          <w:szCs w:val="18"/>
        </w:rPr>
        <w:t>CURSUS DE FORMATION INITIALE ET CONTINUE / COMPETENCES DEVELOPPEES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r>
        <w:rPr>
          <w:rFonts w:ascii="Montserrat" w:hAnsi="Montserrat"/>
          <w:sz w:val="18"/>
          <w:szCs w:val="18"/>
        </w:rPr>
        <w:t>Préciser toute information/formation en lien avec l’objet du marché.</w:t>
      </w:r>
    </w:p>
    <w:p>
      <w:pPr>
        <w:pBdr>
          <w:bottom w:val="single" w:sz="4" w:space="1" w:color="auto"/>
        </w:pBdr>
        <w:rPr>
          <w:rFonts w:ascii="Montserrat" w:hAnsi="Montserrat"/>
          <w:b/>
          <w:sz w:val="18"/>
          <w:szCs w:val="18"/>
        </w:rPr>
      </w:pPr>
      <w:r>
        <w:rPr>
          <w:rFonts w:ascii="Montserrat" w:hAnsi="Montserrat"/>
          <w:b/>
          <w:sz w:val="18"/>
          <w:szCs w:val="18"/>
        </w:rPr>
        <w:t>Travaux réalisés en lien avec l’objet du marché (recherches, thèses, publications, certifications, séminaires, webinaires…) :</w:t>
      </w:r>
    </w:p>
    <w:p>
      <w:pPr>
        <w:rPr>
          <w:rFonts w:ascii="Montserrat" w:hAnsi="Montserrat"/>
          <w:sz w:val="18"/>
          <w:szCs w:val="18"/>
        </w:rPr>
      </w:pPr>
    </w:p>
    <w:p>
      <w:pPr>
        <w:numPr>
          <w:ilvl w:val="0"/>
          <w:numId w:val="5"/>
        </w:numPr>
        <w:spacing w:after="200" w:line="276" w:lineRule="auto"/>
        <w:jc w:val="both"/>
        <w:rPr>
          <w:rFonts w:ascii="Montserrat" w:hAnsi="Montserrat"/>
          <w:sz w:val="18"/>
          <w:szCs w:val="18"/>
        </w:rPr>
      </w:pPr>
    </w:p>
    <w:p>
      <w:pPr>
        <w:rPr>
          <w:rFonts w:ascii="Montserrat" w:hAnsi="Montserrat"/>
          <w:sz w:val="18"/>
          <w:szCs w:val="18"/>
        </w:rPr>
      </w:pPr>
    </w:p>
    <w:p>
      <w:pPr>
        <w:pBdr>
          <w:bottom w:val="single" w:sz="4" w:space="1" w:color="auto"/>
        </w:pBdr>
        <w:rPr>
          <w:rFonts w:ascii="Montserrat" w:hAnsi="Montserrat"/>
          <w:b/>
          <w:sz w:val="18"/>
          <w:szCs w:val="18"/>
        </w:rPr>
      </w:pPr>
      <w:r>
        <w:rPr>
          <w:rFonts w:ascii="Montserrat" w:hAnsi="Montserrat"/>
          <w:b/>
          <w:sz w:val="18"/>
          <w:szCs w:val="18"/>
        </w:rPr>
        <w:t>EXPERIENCES du formateur :</w:t>
      </w:r>
    </w:p>
    <w:p>
      <w:pPr>
        <w:rPr>
          <w:rFonts w:ascii="Montserrat" w:hAnsi="Montserrat"/>
          <w:sz w:val="18"/>
          <w:szCs w:val="18"/>
        </w:rPr>
      </w:pPr>
    </w:p>
    <w:p>
      <w:pPr>
        <w:rPr>
          <w:rFonts w:ascii="Montserrat" w:hAnsi="Montserrat"/>
          <w:sz w:val="18"/>
          <w:szCs w:val="18"/>
        </w:rPr>
      </w:pPr>
      <w:r>
        <w:rPr>
          <w:rFonts w:ascii="Montserrat" w:hAnsi="Montserrat"/>
          <w:sz w:val="18"/>
          <w:szCs w:val="18"/>
        </w:rPr>
        <w:t>Le candidat indique les expériences du formateur en précisant le nombre de formations animées par an, au cours des trois dernières années, ainsi que l’objet des formations et le profil des stagiaires formés. Il peut s’inspirer du tableau ci-après :</w:t>
      </w:r>
    </w:p>
    <w:p>
      <w:pPr>
        <w:rPr>
          <w:rFonts w:ascii="Montserrat" w:hAnsi="Montserrat"/>
          <w:sz w:val="18"/>
          <w:szCs w:val="18"/>
        </w:rPr>
      </w:pPr>
    </w:p>
    <w:tbl>
      <w:tblPr>
        <w:tblStyle w:val="Grilledutableau"/>
        <w:tblW w:w="0" w:type="auto"/>
        <w:tblLook w:val="04A0" w:firstRow="1" w:lastRow="0" w:firstColumn="1" w:lastColumn="0" w:noHBand="0" w:noVBand="1"/>
      </w:tblPr>
      <w:tblGrid>
        <w:gridCol w:w="1801"/>
        <w:gridCol w:w="1771"/>
        <w:gridCol w:w="1928"/>
        <w:gridCol w:w="1920"/>
        <w:gridCol w:w="1924"/>
      </w:tblGrid>
      <w:tr>
        <w:tc>
          <w:tcPr>
            <w:tcW w:w="1801" w:type="dxa"/>
          </w:tcPr>
          <w:p>
            <w:pPr>
              <w:jc w:val="center"/>
              <w:rPr>
                <w:rFonts w:ascii="Montserrat" w:hAnsi="Montserrat"/>
                <w:sz w:val="18"/>
                <w:szCs w:val="18"/>
              </w:rPr>
            </w:pPr>
            <w:r>
              <w:rPr>
                <w:rFonts w:ascii="Montserrat" w:hAnsi="Montserrat"/>
                <w:sz w:val="18"/>
                <w:szCs w:val="18"/>
              </w:rPr>
              <w:t>Année</w:t>
            </w:r>
          </w:p>
        </w:tc>
        <w:tc>
          <w:tcPr>
            <w:tcW w:w="1771" w:type="dxa"/>
          </w:tcPr>
          <w:p>
            <w:pPr>
              <w:rPr>
                <w:rFonts w:ascii="Montserrat" w:hAnsi="Montserrat"/>
                <w:sz w:val="18"/>
                <w:szCs w:val="18"/>
              </w:rPr>
            </w:pPr>
            <w:r>
              <w:rPr>
                <w:rFonts w:ascii="Montserrat" w:hAnsi="Montserrat"/>
                <w:sz w:val="18"/>
                <w:szCs w:val="18"/>
              </w:rPr>
              <w:t>Entité bénéficiaire de la formation</w:t>
            </w:r>
          </w:p>
        </w:tc>
        <w:tc>
          <w:tcPr>
            <w:tcW w:w="1928" w:type="dxa"/>
          </w:tcPr>
          <w:p>
            <w:pPr>
              <w:rPr>
                <w:rFonts w:ascii="Montserrat" w:hAnsi="Montserrat"/>
                <w:sz w:val="18"/>
                <w:szCs w:val="18"/>
              </w:rPr>
            </w:pPr>
            <w:r>
              <w:rPr>
                <w:rFonts w:ascii="Montserrat" w:hAnsi="Montserrat"/>
                <w:sz w:val="18"/>
                <w:szCs w:val="18"/>
              </w:rPr>
              <w:t>Intitulé de la formation</w:t>
            </w:r>
          </w:p>
        </w:tc>
        <w:tc>
          <w:tcPr>
            <w:tcW w:w="1920" w:type="dxa"/>
          </w:tcPr>
          <w:p>
            <w:pPr>
              <w:jc w:val="center"/>
              <w:rPr>
                <w:rFonts w:ascii="Montserrat" w:hAnsi="Montserrat"/>
                <w:sz w:val="18"/>
                <w:szCs w:val="18"/>
              </w:rPr>
            </w:pPr>
            <w:r>
              <w:rPr>
                <w:rFonts w:ascii="Montserrat" w:hAnsi="Montserrat"/>
                <w:sz w:val="18"/>
                <w:szCs w:val="18"/>
              </w:rPr>
              <w:t>Nbre de formations animées / nb de stagiaires</w:t>
            </w:r>
          </w:p>
        </w:tc>
        <w:tc>
          <w:tcPr>
            <w:tcW w:w="1924" w:type="dxa"/>
          </w:tcPr>
          <w:p>
            <w:pPr>
              <w:rPr>
                <w:rFonts w:ascii="Montserrat" w:hAnsi="Montserrat"/>
                <w:sz w:val="18"/>
                <w:szCs w:val="18"/>
              </w:rPr>
            </w:pPr>
            <w:r>
              <w:rPr>
                <w:rFonts w:ascii="Montserrat" w:hAnsi="Montserrat"/>
                <w:sz w:val="18"/>
                <w:szCs w:val="18"/>
              </w:rPr>
              <w:t>Profil des stagiaires accueillis</w:t>
            </w:r>
          </w:p>
        </w:tc>
      </w:tr>
      <w:tr>
        <w:tc>
          <w:tcPr>
            <w:tcW w:w="1801" w:type="dxa"/>
          </w:tcPr>
          <w:p>
            <w:pPr>
              <w:jc w:val="center"/>
              <w:rPr>
                <w:rFonts w:ascii="Montserrat" w:hAnsi="Montserrat"/>
                <w:sz w:val="18"/>
                <w:szCs w:val="18"/>
              </w:rPr>
            </w:pPr>
            <w:r>
              <w:rPr>
                <w:rFonts w:ascii="Montserrat" w:hAnsi="Montserrat"/>
                <w:sz w:val="18"/>
                <w:szCs w:val="18"/>
              </w:rPr>
              <w:t>2024</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2023</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2022</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r>
        <w:tc>
          <w:tcPr>
            <w:tcW w:w="1801" w:type="dxa"/>
          </w:tcPr>
          <w:p>
            <w:pPr>
              <w:jc w:val="center"/>
              <w:rPr>
                <w:rFonts w:ascii="Montserrat" w:hAnsi="Montserrat"/>
                <w:sz w:val="18"/>
                <w:szCs w:val="18"/>
              </w:rPr>
            </w:pPr>
            <w:r>
              <w:rPr>
                <w:rFonts w:ascii="Montserrat" w:hAnsi="Montserrat"/>
                <w:sz w:val="18"/>
                <w:szCs w:val="18"/>
              </w:rPr>
              <w:t>…</w:t>
            </w:r>
          </w:p>
        </w:tc>
        <w:tc>
          <w:tcPr>
            <w:tcW w:w="1771" w:type="dxa"/>
          </w:tcPr>
          <w:p>
            <w:pPr>
              <w:rPr>
                <w:rFonts w:ascii="Montserrat" w:hAnsi="Montserrat"/>
                <w:sz w:val="18"/>
                <w:szCs w:val="18"/>
              </w:rPr>
            </w:pPr>
          </w:p>
        </w:tc>
        <w:tc>
          <w:tcPr>
            <w:tcW w:w="1928" w:type="dxa"/>
          </w:tcPr>
          <w:p>
            <w:pPr>
              <w:rPr>
                <w:rFonts w:ascii="Montserrat" w:hAnsi="Montserrat"/>
                <w:sz w:val="18"/>
                <w:szCs w:val="18"/>
              </w:rPr>
            </w:pPr>
          </w:p>
        </w:tc>
        <w:tc>
          <w:tcPr>
            <w:tcW w:w="1920" w:type="dxa"/>
          </w:tcPr>
          <w:p>
            <w:pPr>
              <w:jc w:val="center"/>
              <w:rPr>
                <w:rFonts w:ascii="Montserrat" w:hAnsi="Montserrat"/>
                <w:sz w:val="18"/>
                <w:szCs w:val="18"/>
              </w:rPr>
            </w:pPr>
          </w:p>
        </w:tc>
        <w:tc>
          <w:tcPr>
            <w:tcW w:w="1924" w:type="dxa"/>
          </w:tcPr>
          <w:p>
            <w:pPr>
              <w:rPr>
                <w:rFonts w:ascii="Montserrat" w:hAnsi="Montserrat"/>
                <w:sz w:val="18"/>
                <w:szCs w:val="18"/>
              </w:rPr>
            </w:pPr>
          </w:p>
        </w:tc>
      </w:tr>
    </w:tbl>
    <w:p>
      <w:pPr>
        <w:rPr>
          <w:rFonts w:ascii="Montserrat" w:hAnsi="Montserrat"/>
          <w:sz w:val="18"/>
          <w:szCs w:val="18"/>
        </w:rPr>
      </w:pPr>
    </w:p>
    <w:p>
      <w:pPr>
        <w:rPr>
          <w:rFonts w:ascii="Marianne" w:hAnsi="Marianne" w:cs="Arial"/>
        </w:rPr>
      </w:pPr>
      <w:r>
        <w:rPr>
          <w:rFonts w:ascii="Montserrat" w:hAnsi="Montserrat"/>
          <w:b/>
          <w:sz w:val="18"/>
          <w:szCs w:val="18"/>
          <w:u w:val="dotted"/>
        </w:rPr>
        <w:br w:type="page"/>
      </w:r>
      <w:bookmarkStart w:id="20" w:name="_Hlk150778460"/>
    </w:p>
    <w:p>
      <w:pPr>
        <w:rPr>
          <w:rFonts w:ascii="Marianne" w:hAnsi="Marianne" w:cs="Arial"/>
          <w:b/>
          <w:sz w:val="22"/>
          <w:szCs w:val="22"/>
          <w:highlight w:val="yellow"/>
        </w:rPr>
      </w:pPr>
    </w:p>
    <w:bookmarkEnd w:id="18"/>
    <w:bookmarkEnd w:id="20"/>
    <w:p>
      <w:pPr>
        <w:spacing w:after="160" w:line="259" w:lineRule="auto"/>
        <w:ind w:right="-285"/>
        <w:contextualSpacing/>
        <w:jc w:val="both"/>
        <w:rPr>
          <w:rFonts w:ascii="Marianne" w:hAnsi="Marianne" w:cs="Arial"/>
        </w:rPr>
      </w:pPr>
      <w:r>
        <w:rPr>
          <w:rFonts w:ascii="Marianne" w:hAnsi="Marianne" w:cs="Arial"/>
          <w:b/>
          <w:u w:val="single"/>
        </w:rPr>
        <w:t xml:space="preserve">Sous-critère 2.3 </w:t>
      </w:r>
      <w:r>
        <w:rPr>
          <w:rFonts w:ascii="Marianne" w:hAnsi="Marianne" w:cs="Arial"/>
          <w:b/>
        </w:rPr>
        <w:t xml:space="preserve">: Pilotage et exécution du marché (organisation humaine, logistique (salles, matériels pédagogiques) et administrative)) (20 %) : </w:t>
      </w:r>
    </w:p>
    <w:p>
      <w:pPr>
        <w:spacing w:after="160" w:line="256" w:lineRule="auto"/>
        <w:contextualSpacing/>
        <w:jc w:val="both"/>
        <w:rPr>
          <w:rFonts w:ascii="Arial" w:hAnsi="Arial" w:cs="Arial"/>
        </w:rPr>
      </w:pPr>
    </w:p>
    <w:p>
      <w:pPr>
        <w:spacing w:after="160" w:line="256" w:lineRule="auto"/>
        <w:contextualSpacing/>
        <w:jc w:val="both"/>
        <w:rPr>
          <w:rFonts w:ascii="Arial" w:hAnsi="Arial" w:cs="Arial"/>
        </w:rPr>
      </w:pPr>
    </w:p>
    <w:p>
      <w:pPr>
        <w:spacing w:after="160" w:line="256" w:lineRule="auto"/>
        <w:contextualSpacing/>
        <w:jc w:val="both"/>
        <w:rPr>
          <w:rFonts w:ascii="Marianne" w:hAnsi="Marianne" w:cs="Arial"/>
        </w:rPr>
      </w:pPr>
      <w:r>
        <w:rPr>
          <w:rFonts w:ascii="Marianne" w:hAnsi="Marianne" w:cs="Arial"/>
        </w:rPr>
        <w:t>Ce sous-critère est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 xml:space="preserve">Eléments d’appréciation </w:t>
            </w:r>
          </w:p>
        </w:tc>
        <w:tc>
          <w:tcPr>
            <w:tcW w:w="1419" w:type="dxa"/>
            <w:tcBorders>
              <w:top w:val="single" w:sz="4" w:space="0" w:color="auto"/>
            </w:tcBorders>
          </w:tcPr>
          <w:p>
            <w:pPr>
              <w:jc w:val="center"/>
              <w:rPr>
                <w:rFonts w:ascii="Marianne" w:hAnsi="Marianne" w:cs="Arial"/>
                <w:b/>
                <w:bCs/>
                <w:sz w:val="20"/>
                <w:szCs w:val="20"/>
              </w:rPr>
            </w:pPr>
            <w:r>
              <w:rPr>
                <w:rFonts w:ascii="Marianne" w:hAnsi="Marianne" w:cs="Arial"/>
                <w:b/>
                <w:bCs/>
                <w:sz w:val="20"/>
                <w:szCs w:val="20"/>
              </w:rPr>
              <w:t>Pondération</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 </w:t>
            </w:r>
            <w:r>
              <w:rPr>
                <w:rFonts w:ascii="Marianne" w:hAnsi="Marianne" w:cs="Arial"/>
              </w:rPr>
              <w:t>Le processus de suivi des commandes de formations des bénéficiaires. Le suivi financier (facturation et paiement) dans le respect du présent accord-cadre. Les outils (extranet…) utilisés pour partager la traçabilité administrative et financière du marché (bilans/reporting…).</w:t>
            </w:r>
          </w:p>
          <w:p>
            <w:pPr>
              <w:spacing w:after="160" w:line="256" w:lineRule="auto"/>
              <w:contextualSpacing/>
              <w:jc w:val="both"/>
              <w:rPr>
                <w:rFonts w:ascii="Marianne" w:hAnsi="Marianne" w:cs="Arial"/>
              </w:rPr>
            </w:pPr>
          </w:p>
        </w:tc>
        <w:tc>
          <w:tcPr>
            <w:tcW w:w="1419" w:type="dxa"/>
          </w:tcPr>
          <w:p>
            <w:pPr>
              <w:jc w:val="center"/>
              <w:rPr>
                <w:rFonts w:ascii="Marianne" w:hAnsi="Marianne" w:cs="Arial"/>
              </w:rPr>
            </w:pPr>
            <w:r>
              <w:rPr>
                <w:rFonts w:ascii="Marianne" w:hAnsi="Marianne" w:cs="Arial"/>
              </w:rPr>
              <w:t>40%</w:t>
            </w:r>
          </w:p>
        </w:tc>
      </w:tr>
      <w:tr>
        <w:trPr>
          <w:trHeight w:val="477"/>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rPr>
              <w:t xml:space="preserve">Description de la procédure mise en place par le candidat afin de répondre aux obligations du marché en termes de mise à disposition de salle de formation. </w:t>
            </w:r>
          </w:p>
          <w:p>
            <w:pPr>
              <w:spacing w:after="160" w:line="256" w:lineRule="auto"/>
              <w:contextualSpacing/>
              <w:jc w:val="both"/>
              <w:rPr>
                <w:rFonts w:ascii="Marianne" w:hAnsi="Marianne" w:cs="Arial"/>
                <w:sz w:val="18"/>
                <w:szCs w:val="18"/>
              </w:rPr>
            </w:pPr>
          </w:p>
        </w:tc>
        <w:tc>
          <w:tcPr>
            <w:tcW w:w="1419" w:type="dxa"/>
          </w:tcPr>
          <w:p>
            <w:pPr>
              <w:jc w:val="center"/>
              <w:rPr>
                <w:rFonts w:ascii="Marianne" w:hAnsi="Marianne" w:cs="Arial"/>
              </w:rPr>
            </w:pPr>
            <w:r>
              <w:rPr>
                <w:rFonts w:ascii="Marianne" w:hAnsi="Marianne" w:cs="Arial"/>
              </w:rPr>
              <w:t>40%</w:t>
            </w:r>
          </w:p>
        </w:tc>
      </w:tr>
      <w:tr>
        <w:trPr>
          <w:jc w:val="center"/>
        </w:trPr>
        <w:tc>
          <w:tcPr>
            <w:tcW w:w="8955" w:type="dxa"/>
          </w:tcPr>
          <w:p>
            <w:pPr>
              <w:pStyle w:val="Paragraphedeliste"/>
              <w:numPr>
                <w:ilvl w:val="2"/>
                <w:numId w:val="27"/>
              </w:numPr>
              <w:spacing w:after="160" w:line="256" w:lineRule="auto"/>
              <w:contextualSpacing/>
              <w:jc w:val="both"/>
              <w:rPr>
                <w:rFonts w:ascii="Marianne" w:hAnsi="Marianne" w:cs="Arial"/>
              </w:rPr>
            </w:pPr>
            <w:r>
              <w:rPr>
                <w:rFonts w:ascii="Marianne" w:hAnsi="Marianne" w:cs="Arial"/>
              </w:rPr>
              <w:t xml:space="preserve">En cas de difficultés, voire de litiges de quelque nature que ce soit (insuffisance pédagogique, disponibilité de l’intervenant sur la session commandé, indisponibilité des locaux, difficulté de formation…), le candidat présente les moyens qu’il entend déployer pour les prévenir et/ou les résoudre dans le cadre du présent accord-cadre. </w:t>
            </w:r>
          </w:p>
          <w:p>
            <w:pPr>
              <w:rPr>
                <w:rFonts w:ascii="Marianne" w:hAnsi="Marianne"/>
              </w:rPr>
            </w:pPr>
          </w:p>
        </w:tc>
        <w:tc>
          <w:tcPr>
            <w:tcW w:w="1419" w:type="dxa"/>
          </w:tcPr>
          <w:p>
            <w:pPr>
              <w:jc w:val="center"/>
              <w:rPr>
                <w:rFonts w:ascii="Marianne" w:hAnsi="Marianne" w:cs="Arial"/>
              </w:rPr>
            </w:pPr>
            <w:r>
              <w:rPr>
                <w:rFonts w:ascii="Marianne" w:hAnsi="Marianne" w:cs="Arial"/>
              </w:rPr>
              <w:t>20%</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 xml:space="preserve">Pour étayer son offre, le candidat fournit les éléments de réponse aux points jugés ci-dessus (2 pages maximum par point) </w:t>
      </w:r>
    </w:p>
    <w:p>
      <w:pPr>
        <w:rPr>
          <w:rFonts w:ascii="Marianne" w:hAnsi="Marianne" w:cs="Arial"/>
        </w:rPr>
      </w:pPr>
    </w:p>
    <w:p>
      <w:pPr>
        <w:rPr>
          <w:rFonts w:ascii="Marianne" w:hAnsi="Marianne" w:cs="Arial"/>
          <w:b/>
          <w:u w:val="single"/>
        </w:rPr>
      </w:pPr>
      <w:r>
        <w:rPr>
          <w:rFonts w:ascii="Marianne" w:hAnsi="Marianne" w:cs="Arial"/>
          <w:b/>
          <w:u w:val="single"/>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 3. Considérations environnementales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 xml:space="preserve"> (</w:t>
      </w:r>
      <w:r>
        <w:rPr>
          <w:rFonts w:ascii="Marianne" w:hAnsi="Marianne" w:cs="Arial"/>
          <w:b/>
          <w:i/>
          <w:color w:val="FF0000"/>
          <w:sz w:val="28"/>
          <w:szCs w:val="28"/>
        </w:rPr>
        <w:t>Critère pondéré à 10%</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p>
    <w:p>
      <w:pPr>
        <w:spacing w:after="160" w:line="256" w:lineRule="auto"/>
        <w:contextualSpacing/>
        <w:jc w:val="both"/>
        <w:rPr>
          <w:rFonts w:ascii="Marianne" w:hAnsi="Marianne" w:cs="Arial"/>
        </w:rPr>
      </w:pPr>
      <w:r>
        <w:rPr>
          <w:rFonts w:ascii="Marianne" w:hAnsi="Marianne" w:cs="Arial"/>
        </w:rPr>
        <w:t>Ce critère 3 sera jugé sur les éléments suivants :</w:t>
      </w:r>
    </w:p>
    <w:p>
      <w:pPr>
        <w:spacing w:after="160" w:line="256" w:lineRule="auto"/>
        <w:contextualSpacing/>
        <w:jc w:val="both"/>
        <w:rPr>
          <w:rFonts w:ascii="Arial" w:hAnsi="Arial" w:cs="Arial"/>
        </w:rPr>
      </w:pPr>
    </w:p>
    <w:tbl>
      <w:tblPr>
        <w:tblStyle w:val="Grilledutableau"/>
        <w:tblW w:w="10374" w:type="dxa"/>
        <w:jc w:val="center"/>
        <w:tblLayout w:type="fixed"/>
        <w:tblLook w:val="04A0" w:firstRow="1" w:lastRow="0" w:firstColumn="1" w:lastColumn="0" w:noHBand="0" w:noVBand="1"/>
      </w:tblPr>
      <w:tblGrid>
        <w:gridCol w:w="8955"/>
        <w:gridCol w:w="1419"/>
      </w:tblGrid>
      <w:tr>
        <w:trPr>
          <w:jc w:val="center"/>
        </w:trPr>
        <w:tc>
          <w:tcPr>
            <w:tcW w:w="8955" w:type="dxa"/>
            <w:tcBorders>
              <w:top w:val="single" w:sz="4" w:space="0" w:color="auto"/>
            </w:tcBorders>
          </w:tcPr>
          <w:p>
            <w:pPr>
              <w:jc w:val="center"/>
              <w:rPr>
                <w:rFonts w:ascii="Marianne" w:hAnsi="Marianne" w:cs="Arial"/>
                <w:b/>
                <w:bCs/>
              </w:rPr>
            </w:pPr>
            <w:r>
              <w:rPr>
                <w:rFonts w:ascii="Marianne" w:hAnsi="Marianne" w:cs="Arial"/>
                <w:b/>
                <w:bCs/>
              </w:rPr>
              <w:t xml:space="preserve">Eléments d’appréciation </w:t>
            </w:r>
          </w:p>
        </w:tc>
        <w:tc>
          <w:tcPr>
            <w:tcW w:w="1419" w:type="dxa"/>
            <w:tcBorders>
              <w:top w:val="single" w:sz="4" w:space="0" w:color="auto"/>
            </w:tcBorders>
          </w:tcPr>
          <w:p>
            <w:pPr>
              <w:jc w:val="center"/>
              <w:rPr>
                <w:rFonts w:ascii="Marianne" w:hAnsi="Marianne" w:cs="Arial"/>
                <w:b/>
                <w:bCs/>
              </w:rPr>
            </w:pPr>
            <w:r>
              <w:rPr>
                <w:rFonts w:ascii="Marianne" w:hAnsi="Marianne" w:cs="Arial"/>
                <w:b/>
                <w:bCs/>
              </w:rPr>
              <w:t>Pondération</w:t>
            </w:r>
          </w:p>
        </w:tc>
      </w:tr>
      <w:tr>
        <w:trPr>
          <w:trHeight w:val="827"/>
          <w:jc w:val="center"/>
        </w:trPr>
        <w:tc>
          <w:tcPr>
            <w:tcW w:w="8955" w:type="dxa"/>
            <w:tcBorders>
              <w:top w:val="single" w:sz="4" w:space="0" w:color="auto"/>
            </w:tcBorders>
          </w:tcPr>
          <w:p>
            <w:pPr>
              <w:spacing w:after="160" w:line="256" w:lineRule="auto"/>
              <w:contextualSpacing/>
              <w:jc w:val="both"/>
              <w:rPr>
                <w:rFonts w:ascii="Marianne" w:hAnsi="Marianne" w:cs="Arial"/>
              </w:rPr>
            </w:pPr>
            <w:r>
              <w:rPr>
                <w:rFonts w:ascii="Marianne" w:hAnsi="Marianne" w:cs="Arial"/>
              </w:rPr>
              <w:t>3.1 Politique de limitation des émissions de gaz à effet de serre des déplacements mise en place applicable aux prestations objet du marché</w:t>
            </w:r>
          </w:p>
        </w:tc>
        <w:tc>
          <w:tcPr>
            <w:tcW w:w="1419" w:type="dxa"/>
            <w:tcBorders>
              <w:top w:val="single" w:sz="4" w:space="0" w:color="auto"/>
            </w:tcBorders>
          </w:tcPr>
          <w:p>
            <w:pPr>
              <w:jc w:val="center"/>
              <w:rPr>
                <w:rFonts w:ascii="Marianne" w:hAnsi="Marianne" w:cs="Arial"/>
              </w:rPr>
            </w:pPr>
            <w:r>
              <w:rPr>
                <w:rFonts w:ascii="Marianne" w:hAnsi="Marianne" w:cs="Arial"/>
              </w:rPr>
              <w:t>50%</w:t>
            </w:r>
          </w:p>
        </w:tc>
      </w:tr>
      <w:tr>
        <w:trPr>
          <w:jc w:val="center"/>
        </w:trPr>
        <w:tc>
          <w:tcPr>
            <w:tcW w:w="8955" w:type="dxa"/>
          </w:tcPr>
          <w:p>
            <w:pPr>
              <w:spacing w:after="160" w:line="256" w:lineRule="auto"/>
              <w:contextualSpacing/>
              <w:jc w:val="both"/>
              <w:rPr>
                <w:rFonts w:ascii="Marianne" w:hAnsi="Marianne" w:cs="Arial"/>
                <w:sz w:val="18"/>
                <w:szCs w:val="18"/>
              </w:rPr>
            </w:pPr>
            <w:r>
              <w:rPr>
                <w:rFonts w:ascii="Marianne" w:hAnsi="Marianne" w:cs="Arial"/>
              </w:rPr>
              <w:t xml:space="preserve">3.2 Les modalités mises en place afin d’alléger les flux numériques dans le cadre des échanges utiles à la préparation, validation et diffusion des supports pédagogiques </w:t>
            </w:r>
          </w:p>
        </w:tc>
        <w:tc>
          <w:tcPr>
            <w:tcW w:w="1419" w:type="dxa"/>
          </w:tcPr>
          <w:p>
            <w:pPr>
              <w:jc w:val="center"/>
              <w:rPr>
                <w:rFonts w:ascii="Marianne" w:hAnsi="Marianne" w:cs="Arial"/>
              </w:rPr>
            </w:pPr>
            <w:r>
              <w:rPr>
                <w:rFonts w:ascii="Marianne" w:hAnsi="Marianne" w:cs="Arial"/>
              </w:rPr>
              <w:t>50 %</w:t>
            </w:r>
          </w:p>
        </w:tc>
      </w:tr>
    </w:tbl>
    <w:p>
      <w:pPr>
        <w:spacing w:after="160" w:line="259" w:lineRule="auto"/>
        <w:contextualSpacing/>
        <w:jc w:val="both"/>
        <w:rPr>
          <w:rFonts w:ascii="Marianne" w:hAnsi="Marianne" w:cs="Arial"/>
          <w:b/>
        </w:rPr>
      </w:pPr>
    </w:p>
    <w:p>
      <w:pPr>
        <w:spacing w:after="160" w:line="256" w:lineRule="auto"/>
        <w:contextualSpacing/>
        <w:jc w:val="both"/>
        <w:rPr>
          <w:rFonts w:ascii="Marianne" w:hAnsi="Marianne" w:cs="Arial"/>
        </w:rPr>
      </w:pPr>
      <w:r>
        <w:rPr>
          <w:rFonts w:ascii="Marianne" w:hAnsi="Marianne" w:cs="Arial"/>
        </w:rPr>
        <w:t>Pour étayer son offre, le candidat fournit les documents suivants :</w:t>
      </w:r>
    </w:p>
    <w:p>
      <w:pPr>
        <w:pStyle w:val="Paragraphedeliste"/>
        <w:numPr>
          <w:ilvl w:val="0"/>
          <w:numId w:val="23"/>
        </w:numPr>
        <w:spacing w:after="160" w:line="256" w:lineRule="auto"/>
        <w:contextualSpacing/>
        <w:jc w:val="both"/>
        <w:rPr>
          <w:rFonts w:ascii="Marianne" w:hAnsi="Marianne" w:cs="Arial"/>
          <w:vanish/>
        </w:rPr>
      </w:pPr>
    </w:p>
    <w:p>
      <w:pPr>
        <w:pStyle w:val="Paragraphedeliste"/>
        <w:numPr>
          <w:ilvl w:val="1"/>
          <w:numId w:val="23"/>
        </w:numPr>
        <w:spacing w:after="160" w:line="256" w:lineRule="auto"/>
        <w:contextualSpacing/>
        <w:jc w:val="both"/>
        <w:rPr>
          <w:rFonts w:ascii="Marianne" w:hAnsi="Marianne" w:cs="Arial"/>
          <w:vanish/>
        </w:rPr>
      </w:pPr>
    </w:p>
    <w:p>
      <w:pPr>
        <w:pStyle w:val="Paragraphedeliste"/>
        <w:numPr>
          <w:ilvl w:val="2"/>
          <w:numId w:val="35"/>
        </w:numPr>
        <w:spacing w:after="160" w:line="256" w:lineRule="auto"/>
        <w:contextualSpacing/>
        <w:jc w:val="both"/>
        <w:rPr>
          <w:rFonts w:ascii="Marianne" w:hAnsi="Marianne" w:cs="Arial"/>
        </w:rPr>
      </w:pPr>
      <w:r>
        <w:rPr>
          <w:rFonts w:ascii="Marianne" w:hAnsi="Marianne" w:cs="Arial"/>
        </w:rPr>
        <w:t>Description de la politique de limitation des émissions de gaz à effet de serre applicable aux déplacements des formateurs à la réalisation des prestations objet du présent marché incluant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 xml:space="preserve">Mesures mise en place pour limiter les déplacements en optimisant la ressource à mobiliser et le besoin du pouvoir adjudicateur. </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Ile de France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Types de transport privilégiés pour l’animation des formations en France métropolitaine hors Corse</w:t>
      </w:r>
    </w:p>
    <w:p>
      <w:pPr>
        <w:pStyle w:val="Paragraphedeliste"/>
        <w:numPr>
          <w:ilvl w:val="1"/>
          <w:numId w:val="19"/>
        </w:numPr>
        <w:spacing w:after="160" w:line="256" w:lineRule="auto"/>
        <w:contextualSpacing/>
        <w:jc w:val="both"/>
        <w:rPr>
          <w:rFonts w:ascii="Marianne" w:hAnsi="Marianne" w:cs="Arial"/>
        </w:rPr>
      </w:pPr>
      <w:r>
        <w:rPr>
          <w:rFonts w:ascii="Marianne" w:hAnsi="Marianne" w:cs="Arial"/>
        </w:rPr>
        <w:t>Mesures d’aide mises en place pour les déplacements des formateurs.</w:t>
      </w:r>
    </w:p>
    <w:p>
      <w:pPr>
        <w:pStyle w:val="Paragraphedeliste"/>
        <w:numPr>
          <w:ilvl w:val="2"/>
          <w:numId w:val="36"/>
        </w:numPr>
        <w:spacing w:after="160" w:line="256" w:lineRule="auto"/>
        <w:contextualSpacing/>
        <w:jc w:val="both"/>
        <w:rPr>
          <w:rFonts w:ascii="Marianne" w:hAnsi="Marianne" w:cs="Arial"/>
          <w:b/>
          <w:sz w:val="22"/>
          <w:szCs w:val="22"/>
        </w:rPr>
      </w:pPr>
      <w:r>
        <w:rPr>
          <w:rFonts w:ascii="Marianne" w:hAnsi="Marianne" w:cs="Arial"/>
        </w:rPr>
        <w:t xml:space="preserve">Description de la démarche mise en œuvre pour alléger l’impact carbone des flux numériques objet du présent marché incluant : </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 niveau de compression utilisé pour les supports de cours dans le respect qualitatif des obligations d’accessibilité indiquées à l’article 9.5 du CCAP</w:t>
      </w:r>
    </w:p>
    <w:p>
      <w:pPr>
        <w:pStyle w:val="Paragraphedeliste"/>
        <w:numPr>
          <w:ilvl w:val="0"/>
          <w:numId w:val="29"/>
        </w:numPr>
        <w:spacing w:after="160" w:line="256" w:lineRule="auto"/>
        <w:contextualSpacing/>
        <w:jc w:val="both"/>
        <w:rPr>
          <w:rFonts w:ascii="Marianne" w:hAnsi="Marianne" w:cs="Arial"/>
          <w:b/>
          <w:sz w:val="22"/>
          <w:szCs w:val="22"/>
        </w:rPr>
      </w:pPr>
      <w:r>
        <w:rPr>
          <w:rFonts w:ascii="Marianne" w:hAnsi="Marianne" w:cs="Arial"/>
        </w:rPr>
        <w:t>Les modalités de transmissions des documents proposées pour les prestations objets du présent marché (espace de travail collaboratif…).</w:t>
      </w:r>
    </w:p>
    <w:p>
      <w:pPr>
        <w:spacing w:after="160" w:line="256" w:lineRule="auto"/>
        <w:contextualSpacing/>
        <w:jc w:val="both"/>
        <w:rPr>
          <w:rFonts w:ascii="Marianne" w:hAnsi="Marianne" w:cs="Arial"/>
          <w:strike/>
          <w:highlight w:val="yellow"/>
        </w:rPr>
      </w:pPr>
    </w:p>
    <w:sectPr>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r>
      <w:rPr>
        <w:rFonts w:ascii="Arial" w:hAnsi="Arial" w:cs="Arial"/>
        <w:b/>
        <w:sz w:val="16"/>
        <w:szCs w:val="16"/>
        <w:lang w:eastAsia="ar-SA"/>
      </w:rPr>
      <w:t>Cadre de réponse du mémoire technique Lot N°1</w:t>
    </w:r>
    <w:r>
      <w:rPr>
        <w:rFonts w:ascii="Arial" w:hAnsi="Arial" w:cs="Arial"/>
        <w:sz w:val="16"/>
        <w:szCs w:val="16"/>
      </w:rPr>
      <w:ptab w:relativeTo="margin" w:alignment="center" w:leader="none"/>
    </w:r>
    <w:r>
      <w:rPr>
        <w:rFonts w:ascii="Marianne" w:hAnsi="Marianne"/>
      </w:rPr>
      <w:t xml:space="preserve"> </w:t>
    </w:r>
    <w:sdt>
      <w:sdtPr>
        <w:rPr>
          <w:rFonts w:ascii="Arial" w:hAnsi="Arial"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Arial" w:hAnsi="Arial" w:cs="Arial"/>
              <w:b/>
              <w:iCs/>
              <w:sz w:val="16"/>
              <w:szCs w:val="16"/>
              <w:lang w:eastAsia="ar-SA"/>
            </w:rPr>
            <w:id w:val="130227534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777530803"/>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769616900"/>
                    <w:docPartObj>
                      <w:docPartGallery w:val="Page Numbers (Top of Page)"/>
                      <w:docPartUnique/>
                    </w:docPartObj>
                  </w:sdtPr>
                  <w:sdtContent>
                    <w:r>
                      <w:rPr>
                        <w:rFonts w:ascii="Arial" w:hAnsi="Arial" w:cs="Arial"/>
                        <w:b/>
                        <w:iCs/>
                        <w:sz w:val="16"/>
                        <w:szCs w:val="16"/>
                        <w:lang w:eastAsia="ar-SA"/>
                      </w:rPr>
                      <w:tab/>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8</w:t>
                    </w:r>
                    <w:r>
                      <w:rPr>
                        <w:rFonts w:ascii="Arial" w:hAnsi="Arial" w:cs="Arial"/>
                        <w:b/>
                        <w:iCs/>
                        <w:sz w:val="16"/>
                        <w:szCs w:val="16"/>
                        <w:lang w:eastAsia="ar-SA"/>
                      </w:rPr>
                      <w:fldChar w:fldCharType="end"/>
                    </w:r>
                  </w:sdtContent>
                </w:sdt>
              </w:sdtContent>
            </w:sdt>
            <w:r>
              <w:t xml:space="preserve">  </w:t>
            </w:r>
          </w:sdtContent>
        </w:sdt>
      </w:sdtContent>
    </w:sdt>
  </w:p>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sz w:val="16"/>
        <w:szCs w:val="16"/>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DE REPONSE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78A"/>
    <w:multiLevelType w:val="multilevel"/>
    <w:tmpl w:val="21003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2"/>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C2547"/>
    <w:multiLevelType w:val="hybridMultilevel"/>
    <w:tmpl w:val="CC9068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C7252"/>
    <w:multiLevelType w:val="hybridMultilevel"/>
    <w:tmpl w:val="EDCA1B1E"/>
    <w:lvl w:ilvl="0" w:tplc="4DB469CA">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9C31559"/>
    <w:multiLevelType w:val="hybridMultilevel"/>
    <w:tmpl w:val="9F6694DC"/>
    <w:lvl w:ilvl="0" w:tplc="C876E8B2">
      <w:start w:val="1"/>
      <w:numFmt w:val="decimal"/>
      <w:lvlText w:val="%1-"/>
      <w:lvlJc w:val="left"/>
      <w:pPr>
        <w:ind w:left="1080" w:hanging="360"/>
      </w:pPr>
      <w:rPr>
        <w:rFonts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09C3264"/>
    <w:multiLevelType w:val="multilevel"/>
    <w:tmpl w:val="E9FACBE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50683E"/>
    <w:multiLevelType w:val="hybridMultilevel"/>
    <w:tmpl w:val="AC70DC1C"/>
    <w:lvl w:ilvl="0" w:tplc="393ABDA6">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E6819"/>
    <w:multiLevelType w:val="hybridMultilevel"/>
    <w:tmpl w:val="96E2024E"/>
    <w:lvl w:ilvl="0" w:tplc="393AB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FF2CEA"/>
    <w:multiLevelType w:val="multilevel"/>
    <w:tmpl w:val="A54855AA"/>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0944AC"/>
    <w:multiLevelType w:val="multilevel"/>
    <w:tmpl w:val="76E00382"/>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AC1332"/>
    <w:multiLevelType w:val="hybridMultilevel"/>
    <w:tmpl w:val="E8BE5646"/>
    <w:lvl w:ilvl="0" w:tplc="3A30A704">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D63722"/>
    <w:multiLevelType w:val="multilevel"/>
    <w:tmpl w:val="9EDCEA2C"/>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074075E"/>
    <w:multiLevelType w:val="multilevel"/>
    <w:tmpl w:val="8482143E"/>
    <w:lvl w:ilvl="0">
      <w:start w:val="1"/>
      <w:numFmt w:val="decimal"/>
      <w:lvlText w:val="%1"/>
      <w:lvlJc w:val="left"/>
      <w:pPr>
        <w:ind w:left="405" w:hanging="405"/>
      </w:pPr>
      <w:rPr>
        <w:rFonts w:hint="default"/>
        <w:sz w:val="24"/>
      </w:rPr>
    </w:lvl>
    <w:lvl w:ilvl="1">
      <w:start w:val="1"/>
      <w:numFmt w:val="decimal"/>
      <w:lvlText w:val="%1.%2"/>
      <w:lvlJc w:val="left"/>
      <w:pPr>
        <w:ind w:left="405" w:hanging="40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1FA0BAF"/>
    <w:multiLevelType w:val="hybridMultilevel"/>
    <w:tmpl w:val="E8327AF8"/>
    <w:lvl w:ilvl="0" w:tplc="52CA7CB0">
      <w:start w:val="7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B45FA7"/>
    <w:multiLevelType w:val="hybridMultilevel"/>
    <w:tmpl w:val="67AA83CA"/>
    <w:lvl w:ilvl="0" w:tplc="81ECCAE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090"/>
    <w:multiLevelType w:val="hybridMultilevel"/>
    <w:tmpl w:val="2C1EE62E"/>
    <w:lvl w:ilvl="0" w:tplc="040C0019">
      <w:start w:val="1"/>
      <w:numFmt w:val="low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9" w15:restartNumberingAfterBreak="0">
    <w:nsid w:val="3BE73EBB"/>
    <w:multiLevelType w:val="hybridMultilevel"/>
    <w:tmpl w:val="0E867A08"/>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F794317"/>
    <w:multiLevelType w:val="hybridMultilevel"/>
    <w:tmpl w:val="6A92D746"/>
    <w:lvl w:ilvl="0" w:tplc="3C5AB092">
      <w:start w:val="4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16787"/>
    <w:multiLevelType w:val="multilevel"/>
    <w:tmpl w:val="D1008FE2"/>
    <w:lvl w:ilvl="0">
      <w:start w:val="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8721DD"/>
    <w:multiLevelType w:val="multilevel"/>
    <w:tmpl w:val="9BB0203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9B1C25"/>
    <w:multiLevelType w:val="hybridMultilevel"/>
    <w:tmpl w:val="7B783466"/>
    <w:lvl w:ilvl="0" w:tplc="FF0C359E">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962003"/>
    <w:multiLevelType w:val="hybridMultilevel"/>
    <w:tmpl w:val="8B221306"/>
    <w:lvl w:ilvl="0" w:tplc="B8BEF110">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4F1E54"/>
    <w:multiLevelType w:val="hybridMultilevel"/>
    <w:tmpl w:val="4B2A019C"/>
    <w:lvl w:ilvl="0" w:tplc="040C0001">
      <w:start w:val="1"/>
      <w:numFmt w:val="bullet"/>
      <w:lvlText w:val=""/>
      <w:lvlJc w:val="left"/>
      <w:pPr>
        <w:ind w:left="1080" w:hanging="360"/>
      </w:pPr>
      <w:rPr>
        <w:rFonts w:ascii="Symbol" w:hAnsi="Symbol" w:hint="default"/>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9C1E24"/>
    <w:multiLevelType w:val="multilevel"/>
    <w:tmpl w:val="0EF65BA6"/>
    <w:lvl w:ilvl="0">
      <w:start w:val="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C08579F"/>
    <w:multiLevelType w:val="hybridMultilevel"/>
    <w:tmpl w:val="911AF52C"/>
    <w:lvl w:ilvl="0" w:tplc="8F5A0F1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CE199E"/>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5AA7656"/>
    <w:multiLevelType w:val="hybridMultilevel"/>
    <w:tmpl w:val="68028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C54E76"/>
    <w:multiLevelType w:val="multilevel"/>
    <w:tmpl w:val="865607A4"/>
    <w:lvl w:ilvl="0">
      <w:start w:val="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225996"/>
    <w:multiLevelType w:val="multilevel"/>
    <w:tmpl w:val="2B6646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04969D9"/>
    <w:multiLevelType w:val="multilevel"/>
    <w:tmpl w:val="7ED426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3"/>
      <w:numFmt w:val="none"/>
      <w:lvlText w:val="3.1"/>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FD478A"/>
    <w:multiLevelType w:val="hybridMultilevel"/>
    <w:tmpl w:val="7130CC9E"/>
    <w:lvl w:ilvl="0" w:tplc="7B5AA182">
      <w:start w:val="1"/>
      <w:numFmt w:val="lowerLetter"/>
      <w:lvlText w:val="%1."/>
      <w:lvlJc w:val="left"/>
      <w:pPr>
        <w:ind w:left="1779" w:hanging="360"/>
      </w:pPr>
      <w:rPr>
        <w:b w:val="0"/>
        <w:bCs/>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5" w15:restartNumberingAfterBreak="0">
    <w:nsid w:val="7261320F"/>
    <w:multiLevelType w:val="hybridMultilevel"/>
    <w:tmpl w:val="A0D0E3FA"/>
    <w:lvl w:ilvl="0" w:tplc="841CCD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1A5"/>
    <w:multiLevelType w:val="multilevel"/>
    <w:tmpl w:val="9BB0203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30"/>
  </w:num>
  <w:num w:numId="3">
    <w:abstractNumId w:val="28"/>
  </w:num>
  <w:num w:numId="4">
    <w:abstractNumId w:val="1"/>
  </w:num>
  <w:num w:numId="5">
    <w:abstractNumId w:val="5"/>
  </w:num>
  <w:num w:numId="6">
    <w:abstractNumId w:val="9"/>
  </w:num>
  <w:num w:numId="7">
    <w:abstractNumId w:val="16"/>
  </w:num>
  <w:num w:numId="8">
    <w:abstractNumId w:val="35"/>
  </w:num>
  <w:num w:numId="9">
    <w:abstractNumId w:val="17"/>
  </w:num>
  <w:num w:numId="10">
    <w:abstractNumId w:val="3"/>
  </w:num>
  <w:num w:numId="11">
    <w:abstractNumId w:val="8"/>
  </w:num>
  <w:num w:numId="12">
    <w:abstractNumId w:val="20"/>
  </w:num>
  <w:num w:numId="13">
    <w:abstractNumId w:val="23"/>
  </w:num>
  <w:num w:numId="14">
    <w:abstractNumId w:val="6"/>
  </w:num>
  <w:num w:numId="15">
    <w:abstractNumId w:val="25"/>
  </w:num>
  <w:num w:numId="16">
    <w:abstractNumId w:val="24"/>
  </w:num>
  <w:num w:numId="17">
    <w:abstractNumId w:val="4"/>
  </w:num>
  <w:num w:numId="18">
    <w:abstractNumId w:val="15"/>
  </w:num>
  <w:num w:numId="19">
    <w:abstractNumId w:val="19"/>
  </w:num>
  <w:num w:numId="20">
    <w:abstractNumId w:val="14"/>
  </w:num>
  <w:num w:numId="21">
    <w:abstractNumId w:val="36"/>
  </w:num>
  <w:num w:numId="22">
    <w:abstractNumId w:val="29"/>
  </w:num>
  <w:num w:numId="23">
    <w:abstractNumId w:val="32"/>
  </w:num>
  <w:num w:numId="24">
    <w:abstractNumId w:val="22"/>
  </w:num>
  <w:num w:numId="25">
    <w:abstractNumId w:val="31"/>
  </w:num>
  <w:num w:numId="26">
    <w:abstractNumId w:val="12"/>
  </w:num>
  <w:num w:numId="27">
    <w:abstractNumId w:val="11"/>
  </w:num>
  <w:num w:numId="28">
    <w:abstractNumId w:val="18"/>
  </w:num>
  <w:num w:numId="29">
    <w:abstractNumId w:val="34"/>
  </w:num>
  <w:num w:numId="30">
    <w:abstractNumId w:val="7"/>
  </w:num>
  <w:num w:numId="31">
    <w:abstractNumId w:val="27"/>
  </w:num>
  <w:num w:numId="32">
    <w:abstractNumId w:val="21"/>
  </w:num>
  <w:num w:numId="33">
    <w:abstractNumId w:val="13"/>
  </w:num>
  <w:num w:numId="34">
    <w:abstractNumId w:val="10"/>
  </w:num>
  <w:num w:numId="35">
    <w:abstractNumId w:val="33"/>
  </w:num>
  <w:num w:numId="36">
    <w:abstractNumId w:val="0"/>
  </w:num>
  <w:num w:numId="37">
    <w:abstractNumId w:val="2"/>
  </w:num>
  <w:num w:numId="38">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qForma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qFormat/>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Textbody">
    <w:name w:val="Text body"/>
    <w:basedOn w:val="Normal"/>
    <w:link w:val="TextbodyCar"/>
    <w:autoRedefine/>
    <w:qFormat/>
    <w:pPr>
      <w:widowControl w:val="0"/>
      <w:suppressAutoHyphens/>
      <w:autoSpaceDN w:val="0"/>
      <w:spacing w:before="160" w:after="240" w:line="276" w:lineRule="auto"/>
      <w:ind w:left="501" w:hanging="501"/>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NCOM">
    <w:name w:val="N_COM"/>
    <w:basedOn w:val="Normal"/>
    <w:qFormat/>
    <w:pPr>
      <w:autoSpaceDE w:val="0"/>
      <w:autoSpaceDN w:val="0"/>
      <w:adjustRightInd w:val="0"/>
      <w:spacing w:before="240" w:after="120"/>
      <w:jc w:val="both"/>
    </w:pPr>
    <w:rPr>
      <w:rFonts w:ascii="Marianne" w:eastAsiaTheme="minorHAnsi" w:hAnsi="Marianne" w:cs="Marianne"/>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829567309">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12157836">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443111880">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08610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1845</Words>
  <Characters>10268</Characters>
  <Application>Microsoft Office Word</Application>
  <DocSecurity>4</DocSecurity>
  <Lines>85</Lines>
  <Paragraphs>24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HOAREAU Melanie</cp:lastModifiedBy>
  <cp:revision>2</cp:revision>
  <cp:lastPrinted>2025-01-15T15:11:00Z</cp:lastPrinted>
  <dcterms:created xsi:type="dcterms:W3CDTF">2025-02-19T08:13:00Z</dcterms:created>
  <dcterms:modified xsi:type="dcterms:W3CDTF">2025-02-19T08:13:00Z</dcterms:modified>
</cp:coreProperties>
</file>