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t>Secrétariat</w:t>
      </w:r>
    </w:p>
    <w:p>
      <w:pPr>
        <w:pStyle w:val="ServiceInfoHeader"/>
        <w:rPr>
          <w:rFonts w:ascii="Marianne" w:hAnsi="Marianne"/>
        </w:rPr>
      </w:pPr>
      <w:r>
        <w:rPr>
          <w:rFonts w:ascii="Marianne" w:hAnsi="Marianne"/>
        </w:rPr>
        <w:t>Général</w:t>
      </w:r>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interministériel relatif à la réalisation d’actions de formation en techniques achat et commande publique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hAnsi="Arial" w:cs="Arial"/>
          <w:b/>
          <w:bCs/>
          <w:sz w:val="20"/>
          <w:szCs w:val="20"/>
        </w:rPr>
      </w:pPr>
      <w:bookmarkStart w:id="0" w:name="_Hlk165273925"/>
      <w:r>
        <w:rPr>
          <w:rFonts w:ascii="Arial" w:eastAsia="Calibri" w:hAnsi="Arial" w:cs="Arial"/>
          <w:b/>
          <w:sz w:val="28"/>
          <w:szCs w:val="28"/>
          <w:lang w:eastAsia="en-US"/>
        </w:rPr>
        <w:t>Lot 6 : Actions de formation en compétences juridiques - marchés publics de travaux</w:t>
      </w: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Groupement</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 :</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color w:val="FF0000"/>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rPr>
      </w:pPr>
      <w:r>
        <w:rPr>
          <w:rFonts w:ascii="Marianne" w:hAnsi="Marianne" w:cs="Arial"/>
          <w:b/>
          <w:u w:val="single"/>
        </w:rPr>
        <w:t>Sous-critère 2.1</w:t>
      </w:r>
      <w:r>
        <w:rPr>
          <w:rFonts w:ascii="Marianne" w:hAnsi="Marianne" w:cs="Arial"/>
          <w:b/>
        </w:rPr>
        <w:t> : Qualité pédagogique de l’offre (50 %)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bookmarkStart w:id="6" w:name="_Hlk152852156"/>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026"/>
          <w:jc w:val="center"/>
        </w:trPr>
        <w:tc>
          <w:tcPr>
            <w:tcW w:w="7933" w:type="dxa"/>
            <w:tcBorders>
              <w:top w:val="single" w:sz="4" w:space="0" w:color="auto"/>
            </w:tcBorders>
          </w:tcPr>
          <w:p>
            <w:pPr>
              <w:jc w:val="both"/>
              <w:rPr>
                <w:rFonts w:ascii="Marianne" w:hAnsi="Marianne" w:cs="Arial"/>
                <w:sz w:val="18"/>
                <w:szCs w:val="18"/>
              </w:rPr>
            </w:pPr>
            <w:r>
              <w:rPr>
                <w:rFonts w:ascii="Marianne" w:hAnsi="Marianne" w:cs="Arial"/>
              </w:rPr>
              <w:t>2.1.1 - Qualité pédagogique (complétude, clarté des méthodes et des déroulés pédagogiques)</w:t>
            </w:r>
          </w:p>
        </w:tc>
        <w:tc>
          <w:tcPr>
            <w:tcW w:w="1707" w:type="dxa"/>
            <w:tcBorders>
              <w:top w:val="single" w:sz="4" w:space="0" w:color="auto"/>
            </w:tcBorders>
          </w:tcPr>
          <w:p>
            <w:pPr>
              <w:jc w:val="center"/>
              <w:rPr>
                <w:rFonts w:ascii="Marianne" w:hAnsi="Marianne" w:cs="Arial"/>
              </w:rPr>
            </w:pPr>
            <w:r>
              <w:rPr>
                <w:rFonts w:ascii="Marianne" w:hAnsi="Marianne" w:cs="Arial"/>
              </w:rPr>
              <w:t>50 %</w:t>
            </w:r>
          </w:p>
        </w:tc>
      </w:tr>
      <w:tr>
        <w:trPr>
          <w:trHeight w:val="1231"/>
          <w:jc w:val="center"/>
        </w:trPr>
        <w:tc>
          <w:tcPr>
            <w:tcW w:w="7933" w:type="dxa"/>
          </w:tcPr>
          <w:p>
            <w:pPr>
              <w:jc w:val="both"/>
              <w:rPr>
                <w:rFonts w:ascii="Marianne" w:hAnsi="Marianne" w:cs="Arial"/>
                <w:sz w:val="18"/>
                <w:szCs w:val="18"/>
              </w:rPr>
            </w:pPr>
            <w:r>
              <w:rPr>
                <w:rFonts w:ascii="Marianne" w:hAnsi="Marianne" w:cs="Arial"/>
              </w:rPr>
              <w:t>2.1.2 - Niveau d’adéquation des supports et fiches descriptives de l’offre avec les fiches du CCTP (Cf annexes 1 et 10 du CCTP)</w:t>
            </w:r>
          </w:p>
        </w:tc>
        <w:tc>
          <w:tcPr>
            <w:tcW w:w="1707" w:type="dxa"/>
          </w:tcPr>
          <w:p>
            <w:pPr>
              <w:jc w:val="center"/>
              <w:rPr>
                <w:rFonts w:ascii="Marianne" w:hAnsi="Marianne" w:cs="Arial"/>
              </w:rPr>
            </w:pPr>
            <w:r>
              <w:rPr>
                <w:rFonts w:ascii="Marianne" w:hAnsi="Marianne" w:cs="Arial"/>
              </w:rPr>
              <w:t>35 %</w:t>
            </w:r>
          </w:p>
        </w:tc>
      </w:tr>
      <w:tr>
        <w:trPr>
          <w:trHeight w:val="1239"/>
          <w:jc w:val="center"/>
        </w:trPr>
        <w:tc>
          <w:tcPr>
            <w:tcW w:w="7933" w:type="dxa"/>
          </w:tcPr>
          <w:p>
            <w:pPr>
              <w:jc w:val="both"/>
              <w:rPr>
                <w:rFonts w:ascii="Marianne" w:hAnsi="Marianne" w:cs="Arial"/>
                <w:sz w:val="18"/>
                <w:szCs w:val="18"/>
              </w:rPr>
            </w:pPr>
            <w:r>
              <w:rPr>
                <w:rFonts w:ascii="Marianne" w:hAnsi="Marianne" w:cs="Arial"/>
              </w:rPr>
              <w:t>2.1.3 - Dispositif d’évaluation des stagiaires (avant et/ou après les actions de formation)</w:t>
            </w:r>
          </w:p>
        </w:tc>
        <w:tc>
          <w:tcPr>
            <w:tcW w:w="1707" w:type="dxa"/>
          </w:tcPr>
          <w:p>
            <w:pPr>
              <w:jc w:val="center"/>
              <w:rPr>
                <w:rFonts w:ascii="Marianne" w:hAnsi="Marianne" w:cs="Arial"/>
              </w:rPr>
            </w:pPr>
            <w:r>
              <w:rPr>
                <w:rFonts w:ascii="Marianne" w:hAnsi="Marianne" w:cs="Arial"/>
              </w:rPr>
              <w:t>15%</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sz w:val="16"/>
          <w:szCs w:val="16"/>
        </w:rPr>
      </w:pPr>
      <w:bookmarkStart w:id="7" w:name="_Hlk146809160"/>
    </w:p>
    <w:p>
      <w:pPr>
        <w:spacing w:after="160" w:line="256" w:lineRule="auto"/>
        <w:contextualSpacing/>
        <w:jc w:val="both"/>
        <w:rPr>
          <w:rFonts w:ascii="Marianne" w:hAnsi="Marianne" w:cs="Arial"/>
        </w:rPr>
      </w:pPr>
    </w:p>
    <w:p>
      <w:pPr>
        <w:rPr>
          <w:rFonts w:ascii="Marianne" w:hAnsi="Marianne" w:cs="Arial"/>
        </w:rPr>
      </w:pPr>
      <w:bookmarkStart w:id="8" w:name="_Hlk152853204"/>
      <w:r>
        <w:rPr>
          <w:rFonts w:ascii="Marianne" w:hAnsi="Marianne" w:cs="Arial"/>
        </w:rPr>
        <w:br w:type="page"/>
      </w:r>
    </w:p>
    <w:p>
      <w:pPr>
        <w:spacing w:after="160" w:line="256" w:lineRule="auto"/>
        <w:contextualSpacing/>
        <w:jc w:val="both"/>
        <w:rPr>
          <w:rFonts w:ascii="Marianne" w:hAnsi="Marianne" w:cs="Arial"/>
        </w:rPr>
      </w:pPr>
      <w:r>
        <w:rPr>
          <w:rFonts w:ascii="Marianne" w:hAnsi="Marianne" w:cs="Arial"/>
        </w:rPr>
        <w:lastRenderedPageBreak/>
        <w:t>Pour étayer son offre et</w:t>
      </w:r>
      <w:r>
        <w:t xml:space="preserve"> </w:t>
      </w:r>
      <w:bookmarkStart w:id="9" w:name="_Hlk190780180"/>
      <w:r>
        <w:rPr>
          <w:rFonts w:ascii="Marianne" w:hAnsi="Marianne" w:cs="Arial"/>
        </w:rPr>
        <w:t xml:space="preserve">pour chacune des formations à analyser </w:t>
      </w:r>
      <w:bookmarkEnd w:id="9"/>
      <w:r>
        <w:rPr>
          <w:rFonts w:ascii="Marianne" w:hAnsi="Marianne" w:cs="Arial"/>
        </w:rPr>
        <w:t>(</w:t>
      </w:r>
      <w:r>
        <w:rPr>
          <w:rFonts w:ascii="Marianne" w:hAnsi="Marianne" w:cs="Arial"/>
          <w:b/>
          <w:bCs/>
        </w:rPr>
        <w:t xml:space="preserve">uniquement celles des échantillons pour les lots 1, 4, 5, 6, </w:t>
      </w:r>
      <w:bookmarkStart w:id="10" w:name="_Hlk190780717"/>
      <w:r>
        <w:rPr>
          <w:rFonts w:ascii="Marianne" w:hAnsi="Marianne" w:cs="Arial"/>
          <w:b/>
          <w:bCs/>
        </w:rPr>
        <w:t>et, pour la totalité des actions de formation pour les lots 2 et 3 du présent accord-cadre</w:t>
      </w:r>
      <w:bookmarkEnd w:id="10"/>
      <w:r>
        <w:rPr>
          <w:rFonts w:ascii="Marianne" w:hAnsi="Marianne" w:cs="Arial"/>
          <w:b/>
          <w:bCs/>
        </w:rPr>
        <w:t xml:space="preserve"> – Cf Annexe 3 du RC</w:t>
      </w:r>
      <w:r>
        <w:rPr>
          <w:rFonts w:ascii="Marianne" w:hAnsi="Marianne" w:cs="Arial"/>
        </w:rPr>
        <w:t>), le candidat fournit les documents suivants :</w:t>
      </w:r>
    </w:p>
    <w:bookmarkEnd w:id="8"/>
    <w:p>
      <w:pPr>
        <w:spacing w:after="160" w:line="256" w:lineRule="auto"/>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pPr>
      <w:r>
        <w:rPr>
          <w:rFonts w:ascii="Marianne" w:hAnsi="Marianne" w:cs="Arial"/>
        </w:rPr>
        <w:t xml:space="preserve">Un déroulé pédagogique (Cf modèle de déroulé infra pour exemple) </w:t>
      </w:r>
      <w:r>
        <w:rPr>
          <w:rFonts w:ascii="Marianne" w:hAnsi="Marianne"/>
        </w:rPr>
        <w:t xml:space="preserve">reprenant les items du modèle </w:t>
      </w:r>
      <w:r>
        <w:rPr>
          <w:rFonts w:ascii="Marianne" w:hAnsi="Marianne" w:cs="Arial"/>
          <w:b/>
          <w:bCs/>
        </w:rPr>
        <w:t>pour chacune des actions de formation à analyser (Cf Annexe 3 du RC)</w:t>
      </w:r>
      <w:r>
        <w:rPr>
          <w:rFonts w:ascii="Marianne" w:hAnsi="Marianne" w:cs="Arial"/>
        </w:rPr>
        <w:t>. Ce déroulé vise à apprécier la pédagogie mise en œuvre. Le candidat peut expliciter les approches, méthodes et outils pédagogiques qu’il compte mettre en œuvre pour l’animation des actions de formation (2 pages maximum).</w:t>
      </w:r>
    </w:p>
    <w:p>
      <w:pPr>
        <w:pStyle w:val="Paragraphedeliste"/>
        <w:spacing w:after="160" w:line="256" w:lineRule="auto"/>
        <w:ind w:left="720"/>
        <w:contextualSpacing/>
        <w:jc w:val="both"/>
        <w:rPr>
          <w:rFonts w:ascii="Marianne" w:hAnsi="Marianne" w:cs="Arial"/>
        </w:rPr>
      </w:pPr>
    </w:p>
    <w:p>
      <w:pPr>
        <w:pStyle w:val="Paragraphedeliste"/>
        <w:numPr>
          <w:ilvl w:val="2"/>
          <w:numId w:val="34"/>
        </w:numPr>
        <w:rPr>
          <w:rFonts w:ascii="Marianne" w:hAnsi="Marianne" w:cs="Arial"/>
        </w:rPr>
      </w:pPr>
      <w:r>
        <w:rPr>
          <w:rFonts w:ascii="Marianne" w:hAnsi="Marianne" w:cs="Arial"/>
        </w:rPr>
        <w:t xml:space="preserve">La fiche descriptive issue de l’annexe 10 du CCTP complétée des items évoqués dans l’article VI.7.2 du CCTP </w:t>
      </w:r>
      <w:r>
        <w:rPr>
          <w:rFonts w:ascii="Marianne" w:hAnsi="Marianne" w:cs="Arial"/>
          <w:b/>
          <w:bCs/>
        </w:rPr>
        <w:t>pour chacune des actions de formation à analyser (Cf Annexe 3 du RC)</w:t>
      </w:r>
      <w:r>
        <w:rPr>
          <w:rFonts w:ascii="Marianne" w:hAnsi="Marianne" w:cs="Arial"/>
        </w:rPr>
        <w:t xml:space="preserve"> : ces documents visent à apprécier le contenu métier des formations (2 pages maximum)</w:t>
      </w:r>
    </w:p>
    <w:p>
      <w:pPr>
        <w:pStyle w:val="Paragraphedeliste"/>
        <w:rPr>
          <w:rFonts w:ascii="Marianne" w:hAnsi="Marianne" w:cs="Arial"/>
        </w:rPr>
      </w:pPr>
    </w:p>
    <w:p>
      <w:pPr>
        <w:pStyle w:val="Paragraphedeliste"/>
        <w:ind w:left="720"/>
        <w:rPr>
          <w:rFonts w:ascii="Marianne" w:hAnsi="Marianne" w:cs="Arial"/>
        </w:rPr>
      </w:pPr>
      <w:r>
        <w:rPr>
          <w:rFonts w:ascii="Marianne" w:hAnsi="Marianne" w:cs="Arial"/>
        </w:rPr>
        <w:t xml:space="preserve">Un extrait de 5 à 6 planches du support prévu correspondant à la thématique centrale </w:t>
      </w:r>
      <w:r>
        <w:rPr>
          <w:rFonts w:ascii="Marianne" w:hAnsi="Marianne" w:cs="Arial"/>
          <w:b/>
          <w:bCs/>
        </w:rPr>
        <w:t>pour chacune des actions de formation à analyser (Cf annexe 3 du RC)</w:t>
      </w:r>
      <w:r>
        <w:rPr>
          <w:rFonts w:ascii="Marianne" w:hAnsi="Marianne" w:cs="Arial"/>
        </w:rPr>
        <w:t xml:space="preserve"> : cet extract sert à apprécier la qualité du contenu de formation ainsi que celles des prestations d’ingénierie pédagogique mobilisées par le candidat.</w:t>
      </w:r>
      <w:bookmarkEnd w:id="7"/>
      <w:r>
        <w:rPr>
          <w:rFonts w:ascii="Marianne" w:hAnsi="Marianne" w:cs="Arial"/>
        </w:rPr>
        <w:t xml:space="preserve"> </w:t>
      </w:r>
    </w:p>
    <w:p>
      <w:pPr>
        <w:spacing w:after="160" w:line="256" w:lineRule="auto"/>
        <w:ind w:left="709"/>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sectPr>
          <w:headerReference w:type="default" r:id="rId13"/>
          <w:footerReference w:type="first" r:id="rId14"/>
          <w:pgSz w:w="11906" w:h="16838"/>
          <w:pgMar w:top="1418" w:right="1418" w:bottom="1418" w:left="1134" w:header="709" w:footer="709" w:gutter="0"/>
          <w:cols w:space="708"/>
          <w:docGrid w:linePitch="360"/>
        </w:sectPr>
      </w:pPr>
      <w:r>
        <w:rPr>
          <w:rFonts w:ascii="Marianne" w:hAnsi="Marianne" w:cs="Arial"/>
        </w:rPr>
        <w:t xml:space="preserve">Un dispositif d’évaluation des stagiaires proposé par le candidat (avant et/ou en fin de formation) (Cf Article VI.10 du CCTP). Cette prestation doit être entendue comme un moyen de mieux évaluer les attentes et/ou le niveau des stagiaires avant la formation et, le cas échéant, évaluer leur progression en fin de formation (1 page maximum). </w:t>
      </w: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bookmarkStart w:id="11" w:name="_Hlk152852863"/>
    </w:p>
    <w:p>
      <w:pPr>
        <w:spacing w:before="120" w:after="120" w:line="276" w:lineRule="auto"/>
        <w:jc w:val="both"/>
        <w:rPr>
          <w:rFonts w:ascii="Marianne" w:eastAsia="Calibri" w:hAnsi="Marianne" w:cs="Arial"/>
          <w:i/>
          <w:color w:val="FF0000"/>
          <w:sz w:val="20"/>
          <w:szCs w:val="20"/>
          <w:lang w:eastAsia="en-US"/>
        </w:rPr>
      </w:pPr>
      <w:bookmarkStart w:id="12" w:name="_Hlk152852233"/>
      <w:r>
        <w:rPr>
          <w:rFonts w:ascii="Marianne" w:eastAsia="Calibri" w:hAnsi="Marianne" w:cs="Arial"/>
          <w:i/>
          <w:color w:val="FF0000"/>
          <w:sz w:val="20"/>
          <w:szCs w:val="20"/>
          <w:lang w:eastAsia="en-US"/>
        </w:rPr>
        <w:t xml:space="preserve">Consigne </w:t>
      </w:r>
      <w:r>
        <w:rPr>
          <w:rFonts w:ascii="Marianne" w:eastAsia="Calibri" w:hAnsi="Marianne" w:cs="Arial"/>
          <w:i/>
          <w:color w:val="FF0000"/>
          <w:sz w:val="20"/>
          <w:szCs w:val="20"/>
          <w:lang w:eastAsia="en-US"/>
        </w:rPr>
        <w:sym w:font="Wingdings" w:char="F0E0"/>
      </w:r>
      <w:r>
        <w:rPr>
          <w:rFonts w:ascii="Marianne" w:eastAsia="Calibri" w:hAnsi="Marianne" w:cs="Arial"/>
          <w:i/>
          <w:color w:val="FF0000"/>
          <w:sz w:val="20"/>
          <w:szCs w:val="20"/>
          <w:lang w:eastAsia="en-US"/>
        </w:rPr>
        <w:t xml:space="preserve"> Dupliquer autant de pages que nécessaire ou ajouter autant de lignes que nécessaires dans les tableaux.</w:t>
      </w: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Modèle de déroulé pédagogique (Sous-sous-critère 2.1.1)</w:t>
      </w:r>
    </w:p>
    <w:bookmarkEnd w:id="11"/>
    <w:bookmarkEnd w:id="12"/>
    <w:p>
      <w:pPr>
        <w:jc w:val="both"/>
        <w:rPr>
          <w:rFonts w:ascii="Marianne" w:hAnsi="Marianne" w:cs="Arial"/>
          <w:color w:val="000000" w:themeColor="text1"/>
          <w:szCs w:val="20"/>
        </w:rPr>
      </w:pPr>
      <w:r>
        <w:rPr>
          <w:rFonts w:ascii="Marianne" w:hAnsi="Marianne" w:cs="Arial"/>
          <w:color w:val="000000" w:themeColor="text1"/>
          <w:szCs w:val="20"/>
        </w:rPr>
        <w:t xml:space="preserve">Compléter le déroulé pédagogique ci-dessous </w:t>
      </w:r>
      <w:bookmarkStart w:id="13" w:name="_Hlk190780051"/>
      <w:r>
        <w:rPr>
          <w:rFonts w:ascii="Marianne" w:hAnsi="Marianne" w:cs="Arial"/>
          <w:color w:val="000000" w:themeColor="text1"/>
          <w:szCs w:val="20"/>
        </w:rPr>
        <w:t xml:space="preserve">pour chacune des actions de formation à </w:t>
      </w:r>
      <w:r>
        <w:rPr>
          <w:rFonts w:ascii="Marianne" w:hAnsi="Marianne" w:cs="Arial"/>
          <w:b/>
          <w:bCs/>
          <w:color w:val="000000" w:themeColor="text1"/>
          <w:szCs w:val="20"/>
        </w:rPr>
        <w:t>analyser (</w:t>
      </w:r>
      <w:r>
        <w:rPr>
          <w:rFonts w:ascii="Marianne" w:hAnsi="Marianne" w:cs="Arial"/>
          <w:b/>
          <w:bCs/>
        </w:rPr>
        <w:t>uniquement celles des échantillons pour les lots 1, 4, 5, 6, et, pour la totalité des actions de formation pour les lots 2 et 3 du présent accord-cadre – Cf Annexe 3 du RC</w:t>
      </w:r>
      <w:r>
        <w:rPr>
          <w:rFonts w:ascii="Marianne" w:hAnsi="Marianne" w:cs="Arial"/>
          <w:b/>
          <w:bCs/>
          <w:color w:val="000000" w:themeColor="text1"/>
          <w:szCs w:val="20"/>
        </w:rPr>
        <w:t>).</w:t>
      </w:r>
      <w:r>
        <w:rPr>
          <w:rFonts w:ascii="Marianne" w:hAnsi="Marianne" w:cs="Arial"/>
          <w:color w:val="000000" w:themeColor="text1"/>
          <w:szCs w:val="20"/>
        </w:rPr>
        <w:t xml:space="preserve"> </w:t>
      </w:r>
      <w:bookmarkEnd w:id="13"/>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bookmarkStart w:id="14" w:name="_Hlk150778627"/>
      <w:bookmarkStart w:id="15" w:name="_Hlk150778393"/>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bookmarkStart w:id="16" w:name="_Hlk152852905"/>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bookmarkEnd w:id="14"/>
      <w:bookmarkEnd w:id="16"/>
    </w:tbl>
    <w:p>
      <w:pPr>
        <w:jc w:val="both"/>
        <w:rPr>
          <w:rFonts w:ascii="Marianne" w:hAnsi="Marianne" w:cs="Arial"/>
          <w:color w:val="000000" w:themeColor="text1"/>
          <w:szCs w:val="20"/>
        </w:rPr>
      </w:pPr>
    </w:p>
    <w:bookmarkEnd w:id="15"/>
    <w:p>
      <w:pPr>
        <w:rPr>
          <w:rFonts w:ascii="Marianne" w:hAnsi="Marianne" w:cs="Arial"/>
          <w:color w:val="000000" w:themeColor="text1"/>
          <w:szCs w:val="20"/>
        </w:rPr>
      </w:pPr>
      <w:r>
        <w:rPr>
          <w:rFonts w:ascii="Marianne" w:hAnsi="Marianne" w:cs="Arial"/>
          <w:color w:val="000000" w:themeColor="text1"/>
          <w:szCs w:val="20"/>
        </w:rPr>
        <w:br w:type="page"/>
      </w:r>
    </w:p>
    <w:p>
      <w:pPr>
        <w:jc w:val="both"/>
        <w:rPr>
          <w:rFonts w:ascii="Marianne" w:hAnsi="Marianne" w:cs="Tahoma"/>
          <w:b/>
          <w:sz w:val="20"/>
          <w:szCs w:val="20"/>
        </w:rPr>
        <w:sectPr>
          <w:pgSz w:w="16838" w:h="11906" w:orient="landscape"/>
          <w:pgMar w:top="1134" w:right="1418" w:bottom="1418" w:left="1418" w:header="709" w:footer="709" w:gutter="0"/>
          <w:cols w:space="708"/>
          <w:docGrid w:linePitch="360"/>
        </w:sectPr>
      </w:pPr>
    </w:p>
    <w:p>
      <w:pPr>
        <w:spacing w:after="160" w:line="259" w:lineRule="auto"/>
        <w:ind w:right="-285"/>
        <w:contextualSpacing/>
        <w:jc w:val="both"/>
        <w:rPr>
          <w:rFonts w:ascii="Marianne" w:hAnsi="Marianne" w:cs="Arial"/>
        </w:rPr>
      </w:pPr>
      <w:r>
        <w:rPr>
          <w:rFonts w:ascii="Marianne" w:hAnsi="Marianne" w:cs="Arial"/>
          <w:b/>
          <w:u w:val="single"/>
        </w:rPr>
        <w:lastRenderedPageBreak/>
        <w:t xml:space="preserve">Sous-critère 2.2 </w:t>
      </w:r>
      <w:r>
        <w:rPr>
          <w:rFonts w:ascii="Marianne" w:hAnsi="Marianne" w:cs="Arial"/>
          <w:b/>
        </w:rPr>
        <w:t xml:space="preserve">: </w:t>
      </w:r>
      <w:bookmarkStart w:id="17" w:name="_Hlk189756882"/>
      <w:r>
        <w:rPr>
          <w:rFonts w:ascii="Marianne" w:hAnsi="Marianne" w:cs="Arial"/>
          <w:b/>
        </w:rPr>
        <w:t xml:space="preserve">Compétences, expériences des formateurs proposés et dispositif de coordination pédagogique </w:t>
      </w:r>
      <w:bookmarkEnd w:id="17"/>
      <w:r>
        <w:rPr>
          <w:rFonts w:ascii="Marianne" w:hAnsi="Marianne" w:cs="Arial"/>
          <w:b/>
        </w:rPr>
        <w:t xml:space="preserve">(30 %) :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r>
        <w:rPr>
          <w:rFonts w:ascii="Marianne" w:hAnsi="Marianne" w:cs="Arial"/>
        </w:rPr>
        <w:t>Ce sous-critère est jugé sur les éléments suivants :</w:t>
      </w:r>
    </w:p>
    <w:p>
      <w:pPr>
        <w:spacing w:after="160" w:line="259" w:lineRule="auto"/>
        <w:contextualSpacing/>
        <w:jc w:val="both"/>
        <w:rPr>
          <w:rFonts w:ascii="Marianne" w:hAnsi="Marianne" w:cs="Arial"/>
          <w:b/>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68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421"/>
          <w:jc w:val="center"/>
        </w:trPr>
        <w:tc>
          <w:tcPr>
            <w:tcW w:w="8377" w:type="dxa"/>
            <w:tcBorders>
              <w:top w:val="single" w:sz="4" w:space="0" w:color="auto"/>
            </w:tcBorders>
          </w:tcPr>
          <w:p>
            <w:pPr>
              <w:spacing w:line="252" w:lineRule="auto"/>
              <w:jc w:val="both"/>
              <w:rPr>
                <w:rFonts w:ascii="Marianne" w:hAnsi="Marianne" w:cs="Arial"/>
                <w:sz w:val="18"/>
                <w:szCs w:val="18"/>
              </w:rPr>
            </w:pPr>
            <w:r>
              <w:rPr>
                <w:rFonts w:ascii="Marianne" w:hAnsi="Marianne" w:cs="Arial"/>
              </w:rPr>
              <w:t>2.2.1 – Un tableau indiquant le n</w:t>
            </w:r>
            <w:r>
              <w:rPr>
                <w:rFonts w:ascii="Marianne" w:hAnsi="Marianne"/>
              </w:rPr>
              <w:t>ombre de formateurs permettant de mesurer la capacité à répondre à la volumétrie estimée et au périmètre géographique (Les actions de formation peuvent être dispensées simultanément sur plusieurs lieux géographiques, sans limite du nombre de sessions pour la même formation).</w:t>
            </w:r>
          </w:p>
        </w:tc>
        <w:tc>
          <w:tcPr>
            <w:tcW w:w="1683" w:type="dxa"/>
            <w:tcBorders>
              <w:top w:val="single" w:sz="4" w:space="0" w:color="auto"/>
            </w:tcBorders>
          </w:tcPr>
          <w:p>
            <w:pPr>
              <w:jc w:val="center"/>
              <w:rPr>
                <w:rFonts w:ascii="Marianne" w:hAnsi="Marianne" w:cs="Arial"/>
              </w:rPr>
            </w:pPr>
            <w:r>
              <w:rPr>
                <w:rFonts w:ascii="Marianne" w:hAnsi="Marianne" w:cs="Arial"/>
              </w:rPr>
              <w:t>40 %</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2.2.2 - Adéquation du profil des formateurs aux actions de formation (Expériences en matière d’animation de formations au sein de la sphère publique et, le cas échéant, parcours de praticien en achat et/ou commande publique) selon les lots.</w:t>
            </w:r>
          </w:p>
        </w:tc>
        <w:tc>
          <w:tcPr>
            <w:tcW w:w="1683" w:type="dxa"/>
          </w:tcPr>
          <w:p>
            <w:pPr>
              <w:jc w:val="center"/>
              <w:rPr>
                <w:rFonts w:ascii="Marianne" w:hAnsi="Marianne" w:cs="Arial"/>
              </w:rPr>
            </w:pPr>
            <w:r>
              <w:rPr>
                <w:rFonts w:ascii="Marianne" w:hAnsi="Marianne" w:cs="Arial"/>
              </w:rPr>
              <w:t>40%</w:t>
            </w:r>
          </w:p>
        </w:tc>
      </w:tr>
      <w:tr>
        <w:trPr>
          <w:jc w:val="center"/>
        </w:trPr>
        <w:tc>
          <w:tcPr>
            <w:tcW w:w="8377" w:type="dxa"/>
          </w:tcPr>
          <w:p>
            <w:pPr>
              <w:spacing w:after="160" w:line="256" w:lineRule="auto"/>
              <w:contextualSpacing/>
              <w:jc w:val="both"/>
              <w:rPr>
                <w:rFonts w:ascii="Marianne" w:hAnsi="Marianne" w:cs="Arial"/>
                <w:sz w:val="18"/>
                <w:szCs w:val="18"/>
              </w:rPr>
            </w:pPr>
            <w:r>
              <w:rPr>
                <w:rFonts w:ascii="Marianne" w:hAnsi="Marianne" w:cs="Arial"/>
              </w:rPr>
              <w:t>2.2.3 - Organisation proposée pour la coordination pédagogique entre le(s) titulaire(s), le Représentant du pouvoir adjudicateur (RPA), les prescripteurs et bénéficiaires.</w:t>
            </w:r>
          </w:p>
        </w:tc>
        <w:tc>
          <w:tcPr>
            <w:tcW w:w="1683" w:type="dxa"/>
          </w:tcPr>
          <w:p>
            <w:pPr>
              <w:jc w:val="center"/>
              <w:rPr>
                <w:rFonts w:ascii="Marianne" w:hAnsi="Marianne" w:cs="Arial"/>
              </w:rPr>
            </w:pPr>
            <w:r>
              <w:rPr>
                <w:rFonts w:ascii="Marianne" w:hAnsi="Marianne" w:cs="Arial"/>
              </w:rPr>
              <w:t>20 %</w:t>
            </w:r>
          </w:p>
        </w:tc>
      </w:tr>
    </w:tbl>
    <w:p>
      <w:pPr>
        <w:pStyle w:val="Paragraphedeliste"/>
        <w:spacing w:after="160" w:line="256" w:lineRule="auto"/>
        <w:ind w:left="0"/>
        <w:contextualSpacing/>
        <w:jc w:val="both"/>
        <w:rPr>
          <w:rFonts w:ascii="Marianne" w:hAnsi="Marianne" w:cs="Arial"/>
        </w:rPr>
      </w:pPr>
      <w:bookmarkStart w:id="18" w:name="_Hlk146809811"/>
    </w:p>
    <w:p>
      <w:pPr>
        <w:pStyle w:val="Paragraphedeliste"/>
        <w:spacing w:after="160" w:line="256" w:lineRule="auto"/>
        <w:ind w:left="0"/>
        <w:contextualSpacing/>
        <w:jc w:val="both"/>
        <w:rPr>
          <w:rFonts w:ascii="Marianne" w:hAnsi="Marianne" w:cs="Arial"/>
        </w:rPr>
      </w:pPr>
      <w:r>
        <w:rPr>
          <w:rFonts w:ascii="Marianne" w:hAnsi="Marianne" w:cs="Arial"/>
        </w:rPr>
        <w:t>Pour étayer son offre, le candidat fournit les documents suivants :</w:t>
      </w:r>
    </w:p>
    <w:p>
      <w:pPr>
        <w:pStyle w:val="Paragraphedeliste"/>
        <w:spacing w:after="160" w:line="256" w:lineRule="auto"/>
        <w:ind w:left="720"/>
        <w:contextualSpacing/>
        <w:jc w:val="both"/>
        <w:rPr>
          <w:rFonts w:ascii="Marianne" w:hAnsi="Marianne" w:cs="Arial"/>
        </w:rPr>
      </w:pPr>
    </w:p>
    <w:p>
      <w:pPr>
        <w:pStyle w:val="Paragraphedeliste"/>
        <w:numPr>
          <w:ilvl w:val="2"/>
          <w:numId w:val="32"/>
        </w:numPr>
        <w:spacing w:after="160" w:line="259" w:lineRule="auto"/>
        <w:contextualSpacing/>
        <w:rPr>
          <w:rFonts w:ascii="Marianne" w:hAnsi="Marianne" w:cs="Arial"/>
        </w:rPr>
      </w:pPr>
      <w:r>
        <w:rPr>
          <w:rFonts w:ascii="Marianne" w:hAnsi="Marianne" w:cs="Arial"/>
        </w:rPr>
        <w:t>Un tableau regroupant le n</w:t>
      </w:r>
      <w:r>
        <w:rPr>
          <w:rFonts w:ascii="Marianne" w:hAnsi="Marianne"/>
        </w:rPr>
        <w:t xml:space="preserve">ombre et la liste des formateurs pressentis pour l’ensemble des actions de formation du lot sur la base de l’annexe 1 du CCTP. </w:t>
      </w:r>
    </w:p>
    <w:p>
      <w:pPr>
        <w:pStyle w:val="Paragraphedeliste"/>
        <w:numPr>
          <w:ilvl w:val="2"/>
          <w:numId w:val="32"/>
        </w:numPr>
        <w:spacing w:after="160" w:line="259" w:lineRule="auto"/>
        <w:contextualSpacing/>
        <w:rPr>
          <w:rFonts w:ascii="Marianne" w:hAnsi="Marianne" w:cs="Arial"/>
        </w:rPr>
      </w:pPr>
      <w:r>
        <w:rPr>
          <w:rFonts w:ascii="Marianne" w:hAnsi="Marianne" w:cs="Arial"/>
        </w:rPr>
        <w:t>De deux à cinq fiches « Formateur » au maximum pour chacune des actions de formation à analyser (</w:t>
      </w:r>
      <w:r>
        <w:rPr>
          <w:rFonts w:ascii="Marianne" w:hAnsi="Marianne" w:cs="Arial"/>
          <w:b/>
          <w:bCs/>
        </w:rPr>
        <w:t>Cf Annexe 3 du RC</w:t>
      </w:r>
      <w:r>
        <w:rPr>
          <w:rFonts w:ascii="Marianne" w:hAnsi="Marianne" w:cs="Arial"/>
        </w:rPr>
        <w:t xml:space="preserve">) : ses expériences dans les domaines de compétences visées (qualifications en achat public et/ou commande publique, niveau avéré de pratique en matière de formation professionnelle continue), types de publics formés, références clients, lettres de recommandation… (Cf Exemple de fiche « Formateur proposé »). Compléter et dupliquer autant que de besoin le modèle proposé. </w:t>
      </w:r>
    </w:p>
    <w:p>
      <w:pPr>
        <w:pStyle w:val="Paragraphedeliste"/>
        <w:spacing w:after="160" w:line="259" w:lineRule="auto"/>
        <w:ind w:left="720"/>
        <w:contextualSpacing/>
        <w:rPr>
          <w:rFonts w:ascii="Marianne" w:hAnsi="Marianne" w:cs="Arial"/>
        </w:rPr>
      </w:pPr>
      <w:r>
        <w:rPr>
          <w:rFonts w:ascii="Marianne" w:hAnsi="Marianne" w:cs="Arial"/>
        </w:rPr>
        <w:t>Il est à noter qu’un formateur peut être proposé sur plusieurs actions de formation, si ses compétences sont avérées dans le domaine d’intervention.</w:t>
      </w:r>
    </w:p>
    <w:p>
      <w:pPr>
        <w:pStyle w:val="Paragraphedeliste"/>
        <w:numPr>
          <w:ilvl w:val="2"/>
          <w:numId w:val="32"/>
        </w:numPr>
        <w:spacing w:after="160" w:line="259" w:lineRule="auto"/>
        <w:contextualSpacing/>
        <w:jc w:val="both"/>
        <w:rPr>
          <w:rFonts w:ascii="Marianne" w:hAnsi="Marianne" w:cs="Arial"/>
        </w:rPr>
      </w:pPr>
      <w:r>
        <w:rPr>
          <w:rFonts w:ascii="Marianne" w:hAnsi="Marianne" w:cs="Arial"/>
        </w:rPr>
        <w:t>Le modèle d’organisation et de coordination pédagogique envisagé pour le lot (1 page maximum).</w:t>
      </w:r>
    </w:p>
    <w:p>
      <w:pPr>
        <w:pStyle w:val="Paragraphedeliste"/>
        <w:numPr>
          <w:ilvl w:val="0"/>
          <w:numId w:val="23"/>
        </w:numPr>
        <w:spacing w:before="120" w:after="120" w:line="276" w:lineRule="auto"/>
        <w:contextualSpacing/>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br w:type="page"/>
      </w:r>
    </w:p>
    <w:p>
      <w:pPr>
        <w:spacing w:before="120" w:after="120" w:line="276" w:lineRule="auto"/>
        <w:jc w:val="both"/>
        <w:rPr>
          <w:rFonts w:ascii="Marianne" w:eastAsia="Calibri" w:hAnsi="Marianne" w:cs="Arial"/>
          <w:i/>
          <w:color w:val="FF0000"/>
          <w:sz w:val="20"/>
          <w:szCs w:val="20"/>
          <w:lang w:eastAsia="en-US"/>
        </w:rPr>
      </w:pPr>
      <w:bookmarkStart w:id="19" w:name="_Hlk152852431"/>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p>
    <w:bookmarkEnd w:id="19"/>
    <w:p>
      <w:pPr>
        <w:rPr>
          <w:rFonts w:ascii="Marianne" w:hAnsi="Marianne" w:cs="Arial"/>
          <w:b/>
          <w:sz w:val="22"/>
          <w:szCs w:val="22"/>
          <w:highlight w:val="yellow"/>
        </w:rPr>
      </w:pPr>
      <w:r>
        <w:rPr>
          <w:rFonts w:ascii="Marianne" w:hAnsi="Marianne" w:cs="Arial"/>
          <w:b/>
          <w:sz w:val="22"/>
          <w:szCs w:val="22"/>
          <w:highlight w:val="yellow"/>
        </w:rPr>
        <w:t>Exemple de fiche « Formateur proposé »</w:t>
      </w:r>
    </w:p>
    <w:p>
      <w:pPr>
        <w:rPr>
          <w:rFonts w:ascii="Montserrat" w:hAnsi="Montserrat"/>
          <w:sz w:val="18"/>
          <w:szCs w:val="18"/>
        </w:rPr>
      </w:pPr>
    </w:p>
    <w:p>
      <w:pPr>
        <w:rPr>
          <w:rFonts w:ascii="Montserrat" w:hAnsi="Montserrat"/>
          <w:b/>
          <w:i/>
          <w:sz w:val="18"/>
          <w:szCs w:val="18"/>
          <w:u w:val="dotted"/>
        </w:rPr>
      </w:pPr>
      <w:r>
        <w:rPr>
          <w:rFonts w:ascii="Montserrat" w:hAnsi="Montserrat"/>
          <w:b/>
          <w:sz w:val="18"/>
          <w:szCs w:val="18"/>
          <w:u w:val="dotted"/>
        </w:rPr>
        <w:t xml:space="preserve">INTERVENANT / FORMATEUR : </w:t>
      </w:r>
    </w:p>
    <w:p>
      <w:pPr>
        <w:rPr>
          <w:rFonts w:ascii="Montserrat" w:hAnsi="Montserrat"/>
          <w:sz w:val="18"/>
          <w:szCs w:val="18"/>
        </w:rPr>
      </w:pPr>
    </w:p>
    <w:p>
      <w:pPr>
        <w:rPr>
          <w:rFonts w:ascii="Montserrat" w:hAnsi="Montserrat"/>
          <w:sz w:val="18"/>
          <w:szCs w:val="18"/>
        </w:rPr>
      </w:pPr>
    </w:p>
    <w:p>
      <w:pPr>
        <w:rPr>
          <w:rFonts w:ascii="Montserrat" w:hAnsi="Montserrat"/>
          <w:sz w:val="18"/>
          <w:szCs w:val="18"/>
        </w:rPr>
      </w:pPr>
      <w:r>
        <w:rPr>
          <w:rFonts w:ascii="Montserrat" w:hAnsi="Montserrat"/>
          <w:sz w:val="18"/>
          <w:szCs w:val="18"/>
        </w:rPr>
        <w:t xml:space="preserve">Nombre d’années d’expériences professionnelle en achat et/ou formation : </w:t>
      </w:r>
    </w:p>
    <w:p>
      <w:pPr>
        <w:rPr>
          <w:rFonts w:ascii="Montserrat" w:hAnsi="Montserrat"/>
          <w:sz w:val="18"/>
          <w:szCs w:val="18"/>
        </w:rPr>
      </w:pPr>
      <w:r>
        <w:rPr>
          <w:rFonts w:ascii="Montserrat" w:hAnsi="Montserrat"/>
          <w:sz w:val="18"/>
          <w:szCs w:val="18"/>
        </w:rPr>
        <w:t xml:space="preserve">Nombre d’années d’expérience en tant que formateur sur les thématiques du marché : </w:t>
      </w:r>
    </w:p>
    <w:p>
      <w:pPr>
        <w:pBdr>
          <w:bottom w:val="single" w:sz="4" w:space="1" w:color="auto"/>
        </w:pBdr>
        <w:rPr>
          <w:rFonts w:ascii="Montserrat" w:hAnsi="Montserrat"/>
          <w:b/>
          <w:sz w:val="18"/>
          <w:szCs w:val="18"/>
        </w:rPr>
      </w:pPr>
    </w:p>
    <w:p>
      <w:pPr>
        <w:pBdr>
          <w:bottom w:val="single" w:sz="4" w:space="1" w:color="auto"/>
        </w:pBdr>
        <w:rPr>
          <w:rFonts w:ascii="Montserrat" w:hAnsi="Montserrat"/>
          <w:b/>
          <w:sz w:val="18"/>
          <w:szCs w:val="18"/>
        </w:rPr>
      </w:pPr>
      <w:r>
        <w:rPr>
          <w:rFonts w:ascii="Montserrat" w:hAnsi="Montserrat"/>
          <w:b/>
          <w:sz w:val="18"/>
          <w:szCs w:val="18"/>
        </w:rPr>
        <w:t>CURSUS DE FORMATION INITIALE ET CONTINUE / COMPETENCES DEVELOPPEES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r>
        <w:rPr>
          <w:rFonts w:ascii="Montserrat" w:hAnsi="Montserrat"/>
          <w:sz w:val="18"/>
          <w:szCs w:val="18"/>
        </w:rPr>
        <w:t>Préciser toute information/formation en lien avec l’objet du marché.</w:t>
      </w:r>
    </w:p>
    <w:p>
      <w:pPr>
        <w:pBdr>
          <w:bottom w:val="single" w:sz="4" w:space="1" w:color="auto"/>
        </w:pBdr>
        <w:rPr>
          <w:rFonts w:ascii="Montserrat" w:hAnsi="Montserrat"/>
          <w:b/>
          <w:sz w:val="18"/>
          <w:szCs w:val="18"/>
        </w:rPr>
      </w:pPr>
      <w:r>
        <w:rPr>
          <w:rFonts w:ascii="Montserrat" w:hAnsi="Montserrat"/>
          <w:b/>
          <w:sz w:val="18"/>
          <w:szCs w:val="18"/>
        </w:rPr>
        <w:t>Travaux réalisés en lien avec l’objet du marché (recherches, thèses, publications, certifications, séminaires, webinaires…)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p>
    <w:p>
      <w:pPr>
        <w:rPr>
          <w:rFonts w:ascii="Montserrat" w:hAnsi="Montserrat"/>
          <w:sz w:val="18"/>
          <w:szCs w:val="18"/>
        </w:rPr>
      </w:pPr>
    </w:p>
    <w:p>
      <w:pPr>
        <w:pBdr>
          <w:bottom w:val="single" w:sz="4" w:space="1" w:color="auto"/>
        </w:pBdr>
        <w:rPr>
          <w:rFonts w:ascii="Montserrat" w:hAnsi="Montserrat"/>
          <w:b/>
          <w:sz w:val="18"/>
          <w:szCs w:val="18"/>
        </w:rPr>
      </w:pPr>
      <w:r>
        <w:rPr>
          <w:rFonts w:ascii="Montserrat" w:hAnsi="Montserrat"/>
          <w:b/>
          <w:sz w:val="18"/>
          <w:szCs w:val="18"/>
        </w:rPr>
        <w:t>EXPERIENCES du formateur :</w:t>
      </w:r>
    </w:p>
    <w:p>
      <w:pPr>
        <w:rPr>
          <w:rFonts w:ascii="Montserrat" w:hAnsi="Montserrat"/>
          <w:sz w:val="18"/>
          <w:szCs w:val="18"/>
        </w:rPr>
      </w:pPr>
    </w:p>
    <w:p>
      <w:pPr>
        <w:rPr>
          <w:rFonts w:ascii="Montserrat" w:hAnsi="Montserrat"/>
          <w:sz w:val="18"/>
          <w:szCs w:val="18"/>
        </w:rPr>
      </w:pPr>
      <w:r>
        <w:rPr>
          <w:rFonts w:ascii="Montserrat" w:hAnsi="Montserrat"/>
          <w:sz w:val="18"/>
          <w:szCs w:val="18"/>
        </w:rPr>
        <w:t>Le candidat indique les expériences du formateur en précisant le nombre de formations animées par an, au cours des trois dernières années, ainsi que l’objet des formations et le profil des stagiaires formés. Il peut s’inspirer du tableau ci-après :</w:t>
      </w:r>
    </w:p>
    <w:p>
      <w:pPr>
        <w:rPr>
          <w:rFonts w:ascii="Montserrat" w:hAnsi="Montserrat"/>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ontserrat" w:hAnsi="Montserrat"/>
                <w:sz w:val="18"/>
                <w:szCs w:val="18"/>
              </w:rPr>
            </w:pPr>
            <w:r>
              <w:rPr>
                <w:rFonts w:ascii="Montserrat" w:hAnsi="Montserrat"/>
                <w:sz w:val="18"/>
                <w:szCs w:val="18"/>
              </w:rPr>
              <w:t>Année</w:t>
            </w:r>
          </w:p>
        </w:tc>
        <w:tc>
          <w:tcPr>
            <w:tcW w:w="1771" w:type="dxa"/>
          </w:tcPr>
          <w:p>
            <w:pPr>
              <w:rPr>
                <w:rFonts w:ascii="Montserrat" w:hAnsi="Montserrat"/>
                <w:sz w:val="18"/>
                <w:szCs w:val="18"/>
              </w:rPr>
            </w:pPr>
            <w:r>
              <w:rPr>
                <w:rFonts w:ascii="Montserrat" w:hAnsi="Montserrat"/>
                <w:sz w:val="18"/>
                <w:szCs w:val="18"/>
              </w:rPr>
              <w:t>Entité bénéficiaire de la formation</w:t>
            </w:r>
          </w:p>
        </w:tc>
        <w:tc>
          <w:tcPr>
            <w:tcW w:w="1928" w:type="dxa"/>
          </w:tcPr>
          <w:p>
            <w:pPr>
              <w:rPr>
                <w:rFonts w:ascii="Montserrat" w:hAnsi="Montserrat"/>
                <w:sz w:val="18"/>
                <w:szCs w:val="18"/>
              </w:rPr>
            </w:pPr>
            <w:r>
              <w:rPr>
                <w:rFonts w:ascii="Montserrat" w:hAnsi="Montserrat"/>
                <w:sz w:val="18"/>
                <w:szCs w:val="18"/>
              </w:rPr>
              <w:t>Intitulé de la formation</w:t>
            </w:r>
          </w:p>
        </w:tc>
        <w:tc>
          <w:tcPr>
            <w:tcW w:w="1920" w:type="dxa"/>
          </w:tcPr>
          <w:p>
            <w:pPr>
              <w:jc w:val="center"/>
              <w:rPr>
                <w:rFonts w:ascii="Montserrat" w:hAnsi="Montserrat"/>
                <w:sz w:val="18"/>
                <w:szCs w:val="18"/>
              </w:rPr>
            </w:pPr>
            <w:r>
              <w:rPr>
                <w:rFonts w:ascii="Montserrat" w:hAnsi="Montserrat"/>
                <w:sz w:val="18"/>
                <w:szCs w:val="18"/>
              </w:rPr>
              <w:t>Nbre de formations animées / nb de stagiaires</w:t>
            </w:r>
          </w:p>
        </w:tc>
        <w:tc>
          <w:tcPr>
            <w:tcW w:w="1924" w:type="dxa"/>
          </w:tcPr>
          <w:p>
            <w:pPr>
              <w:rPr>
                <w:rFonts w:ascii="Montserrat" w:hAnsi="Montserrat"/>
                <w:sz w:val="18"/>
                <w:szCs w:val="18"/>
              </w:rPr>
            </w:pPr>
            <w:r>
              <w:rPr>
                <w:rFonts w:ascii="Montserrat" w:hAnsi="Montserrat"/>
                <w:sz w:val="18"/>
                <w:szCs w:val="18"/>
              </w:rPr>
              <w:t>Profil des stagiaires accueillis</w:t>
            </w:r>
          </w:p>
        </w:tc>
      </w:tr>
      <w:tr>
        <w:tc>
          <w:tcPr>
            <w:tcW w:w="1801" w:type="dxa"/>
          </w:tcPr>
          <w:p>
            <w:pPr>
              <w:jc w:val="center"/>
              <w:rPr>
                <w:rFonts w:ascii="Montserrat" w:hAnsi="Montserrat"/>
                <w:sz w:val="18"/>
                <w:szCs w:val="18"/>
              </w:rPr>
            </w:pPr>
            <w:r>
              <w:rPr>
                <w:rFonts w:ascii="Montserrat" w:hAnsi="Montserrat"/>
                <w:sz w:val="18"/>
                <w:szCs w:val="18"/>
              </w:rPr>
              <w:t>2024</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2023</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2022</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bl>
    <w:p>
      <w:pPr>
        <w:rPr>
          <w:rFonts w:ascii="Montserrat" w:hAnsi="Montserrat"/>
          <w:sz w:val="18"/>
          <w:szCs w:val="18"/>
        </w:rPr>
      </w:pPr>
    </w:p>
    <w:p>
      <w:pPr>
        <w:rPr>
          <w:rFonts w:ascii="Marianne" w:hAnsi="Marianne" w:cs="Arial"/>
        </w:rPr>
      </w:pPr>
      <w:r>
        <w:rPr>
          <w:rFonts w:ascii="Montserrat" w:hAnsi="Montserrat"/>
          <w:b/>
          <w:sz w:val="18"/>
          <w:szCs w:val="18"/>
          <w:u w:val="dotted"/>
        </w:rPr>
        <w:br w:type="page"/>
      </w:r>
      <w:bookmarkStart w:id="20" w:name="_Hlk150778460"/>
    </w:p>
    <w:p>
      <w:pPr>
        <w:rPr>
          <w:rFonts w:ascii="Marianne" w:hAnsi="Marianne" w:cs="Arial"/>
          <w:b/>
          <w:sz w:val="22"/>
          <w:szCs w:val="22"/>
          <w:highlight w:val="yellow"/>
        </w:rPr>
      </w:pPr>
    </w:p>
    <w:bookmarkEnd w:id="18"/>
    <w:bookmarkEnd w:id="20"/>
    <w:p>
      <w:pPr>
        <w:spacing w:after="160" w:line="259" w:lineRule="auto"/>
        <w:ind w:right="-285"/>
        <w:contextualSpacing/>
        <w:jc w:val="both"/>
        <w:rPr>
          <w:rFonts w:ascii="Marianne" w:hAnsi="Marianne" w:cs="Arial"/>
        </w:rPr>
      </w:pPr>
      <w:r>
        <w:rPr>
          <w:rFonts w:ascii="Marianne" w:hAnsi="Marianne" w:cs="Arial"/>
          <w:b/>
          <w:u w:val="single"/>
        </w:rPr>
        <w:t xml:space="preserve">Sous-critère 2.3 </w:t>
      </w:r>
      <w:r>
        <w:rPr>
          <w:rFonts w:ascii="Marianne" w:hAnsi="Marianne" w:cs="Arial"/>
          <w:b/>
        </w:rPr>
        <w:t xml:space="preserve">: Pilotage et exécution du marché (organisation humaine, logistique (salles, matériels pédagogiques) et administrative)) (20 %) : </w:t>
      </w:r>
    </w:p>
    <w:p>
      <w:pPr>
        <w:spacing w:after="160" w:line="256" w:lineRule="auto"/>
        <w:contextualSpacing/>
        <w:jc w:val="both"/>
        <w:rPr>
          <w:rFonts w:ascii="Arial" w:hAnsi="Arial" w:cs="Arial"/>
        </w:rPr>
      </w:pPr>
    </w:p>
    <w:p>
      <w:pPr>
        <w:spacing w:after="160" w:line="256" w:lineRule="auto"/>
        <w:contextualSpacing/>
        <w:jc w:val="both"/>
        <w:rPr>
          <w:rFonts w:ascii="Arial" w:hAnsi="Arial" w:cs="Arial"/>
        </w:rPr>
      </w:pPr>
    </w:p>
    <w:p>
      <w:pPr>
        <w:spacing w:after="160" w:line="256" w:lineRule="auto"/>
        <w:contextualSpacing/>
        <w:jc w:val="both"/>
        <w:rPr>
          <w:rFonts w:ascii="Marianne" w:hAnsi="Marianne" w:cs="Arial"/>
        </w:rPr>
      </w:pPr>
      <w:r>
        <w:rPr>
          <w:rFonts w:ascii="Marianne" w:hAnsi="Marianne" w:cs="Arial"/>
        </w:rPr>
        <w:t>Ce sous-critère est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 xml:space="preserve">Eléments d’appréciation </w:t>
            </w:r>
          </w:p>
        </w:tc>
        <w:tc>
          <w:tcPr>
            <w:tcW w:w="1419"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 Le processus de suivi des commandes de formations des bénéficiaires. Le suivi financier (facturation et paiement) dans le respect du présent accord-cadre. Les outils (extranet…) utilisés pour partager la traçabilité administrative et financière du marché (bilans/reporting…).</w:t>
            </w:r>
          </w:p>
          <w:p>
            <w:pPr>
              <w:spacing w:after="160" w:line="256" w:lineRule="auto"/>
              <w:contextualSpacing/>
              <w:jc w:val="both"/>
              <w:rPr>
                <w:rFonts w:ascii="Marianne" w:hAnsi="Marianne" w:cs="Arial"/>
              </w:rPr>
            </w:pPr>
          </w:p>
        </w:tc>
        <w:tc>
          <w:tcPr>
            <w:tcW w:w="1419" w:type="dxa"/>
          </w:tcPr>
          <w:p>
            <w:pPr>
              <w:jc w:val="center"/>
              <w:rPr>
                <w:rFonts w:ascii="Marianne" w:hAnsi="Marianne" w:cs="Arial"/>
              </w:rPr>
            </w:pPr>
            <w:r>
              <w:rPr>
                <w:rFonts w:ascii="Marianne" w:hAnsi="Marianne" w:cs="Arial"/>
              </w:rPr>
              <w:t>40%</w:t>
            </w:r>
          </w:p>
        </w:tc>
      </w:tr>
      <w:tr>
        <w:trPr>
          <w:trHeight w:val="477"/>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rPr>
              <w:t xml:space="preserve">Description de la procédure mise en place par le candidat afin de répondre aux obligations du marché en termes de mise à disposition de salle de formation. </w:t>
            </w:r>
          </w:p>
          <w:p>
            <w:pPr>
              <w:spacing w:after="160" w:line="256" w:lineRule="auto"/>
              <w:contextualSpacing/>
              <w:jc w:val="both"/>
              <w:rPr>
                <w:rFonts w:ascii="Marianne" w:hAnsi="Marianne" w:cs="Arial"/>
                <w:sz w:val="18"/>
                <w:szCs w:val="18"/>
              </w:rPr>
            </w:pPr>
          </w:p>
        </w:tc>
        <w:tc>
          <w:tcPr>
            <w:tcW w:w="1419" w:type="dxa"/>
          </w:tcPr>
          <w:p>
            <w:pPr>
              <w:jc w:val="center"/>
              <w:rPr>
                <w:rFonts w:ascii="Marianne" w:hAnsi="Marianne" w:cs="Arial"/>
              </w:rPr>
            </w:pPr>
            <w:r>
              <w:rPr>
                <w:rFonts w:ascii="Marianne" w:hAnsi="Marianne" w:cs="Arial"/>
              </w:rPr>
              <w:t>40%</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En cas de difficultés, voire de litiges de quelque nature que ce soit (insuffisance pédagogique, disponibilité de l’intervenant sur la session commandé, indisponibilité des locaux, difficulté de formation…), le candidat présente les moyens qu’il entend déployer pour les prévenir et/ou les résoudre dans le cadre du présent accord-cadre. </w:t>
            </w:r>
          </w:p>
          <w:p>
            <w:pPr>
              <w:rPr>
                <w:rFonts w:ascii="Marianne" w:hAnsi="Marianne"/>
              </w:rPr>
            </w:pPr>
          </w:p>
        </w:tc>
        <w:tc>
          <w:tcPr>
            <w:tcW w:w="1419" w:type="dxa"/>
          </w:tcPr>
          <w:p>
            <w:pPr>
              <w:jc w:val="center"/>
              <w:rPr>
                <w:rFonts w:ascii="Marianne" w:hAnsi="Marianne" w:cs="Arial"/>
              </w:rPr>
            </w:pPr>
            <w:r>
              <w:rPr>
                <w:rFonts w:ascii="Marianne" w:hAnsi="Marianne" w:cs="Arial"/>
              </w:rPr>
              <w:t>20%</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 xml:space="preserve">Pour étayer son offre, le candidat fournit les éléments de réponse aux points jugés ci-dessus (2 pages maximum par point) </w:t>
      </w:r>
    </w:p>
    <w:p>
      <w:pPr>
        <w:rPr>
          <w:rFonts w:ascii="Marianne" w:hAnsi="Marianne" w:cs="Arial"/>
        </w:rPr>
      </w:pPr>
    </w:p>
    <w:p>
      <w:pPr>
        <w:rPr>
          <w:rFonts w:ascii="Marianne" w:hAnsi="Marianne" w:cs="Arial"/>
          <w:b/>
          <w:u w:val="single"/>
        </w:rPr>
      </w:pPr>
      <w:r>
        <w:rPr>
          <w:rFonts w:ascii="Marianne" w:hAnsi="Marianne" w:cs="Arial"/>
          <w:b/>
          <w:u w:val="single"/>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rPr>
            </w:pPr>
            <w:r>
              <w:rPr>
                <w:rFonts w:ascii="Marianne" w:hAnsi="Marianne" w:cs="Arial"/>
                <w:b/>
                <w:bCs/>
              </w:rPr>
              <w:t xml:space="preserve">Eléments d’appréciation </w:t>
            </w:r>
          </w:p>
        </w:tc>
        <w:tc>
          <w:tcPr>
            <w:tcW w:w="1419"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955"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Politique de limitation des émissions de gaz à effet de serre des déplacements mise en place applicable aux prestations objet du marché</w:t>
            </w:r>
          </w:p>
        </w:tc>
        <w:tc>
          <w:tcPr>
            <w:tcW w:w="1419"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955"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419"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Pour étayer son offre, le candidat fournit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9.5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N°6</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9"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5"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30"/>
  </w:num>
  <w:num w:numId="3">
    <w:abstractNumId w:val="28"/>
  </w:num>
  <w:num w:numId="4">
    <w:abstractNumId w:val="1"/>
  </w:num>
  <w:num w:numId="5">
    <w:abstractNumId w:val="5"/>
  </w:num>
  <w:num w:numId="6">
    <w:abstractNumId w:val="9"/>
  </w:num>
  <w:num w:numId="7">
    <w:abstractNumId w:val="16"/>
  </w:num>
  <w:num w:numId="8">
    <w:abstractNumId w:val="35"/>
  </w:num>
  <w:num w:numId="9">
    <w:abstractNumId w:val="17"/>
  </w:num>
  <w:num w:numId="10">
    <w:abstractNumId w:val="3"/>
  </w:num>
  <w:num w:numId="11">
    <w:abstractNumId w:val="8"/>
  </w:num>
  <w:num w:numId="12">
    <w:abstractNumId w:val="20"/>
  </w:num>
  <w:num w:numId="13">
    <w:abstractNumId w:val="23"/>
  </w:num>
  <w:num w:numId="14">
    <w:abstractNumId w:val="6"/>
  </w:num>
  <w:num w:numId="15">
    <w:abstractNumId w:val="25"/>
  </w:num>
  <w:num w:numId="16">
    <w:abstractNumId w:val="24"/>
  </w:num>
  <w:num w:numId="17">
    <w:abstractNumId w:val="4"/>
  </w:num>
  <w:num w:numId="18">
    <w:abstractNumId w:val="15"/>
  </w:num>
  <w:num w:numId="19">
    <w:abstractNumId w:val="19"/>
  </w:num>
  <w:num w:numId="20">
    <w:abstractNumId w:val="14"/>
  </w:num>
  <w:num w:numId="21">
    <w:abstractNumId w:val="36"/>
  </w:num>
  <w:num w:numId="22">
    <w:abstractNumId w:val="29"/>
  </w:num>
  <w:num w:numId="23">
    <w:abstractNumId w:val="32"/>
  </w:num>
  <w:num w:numId="24">
    <w:abstractNumId w:val="22"/>
  </w:num>
  <w:num w:numId="25">
    <w:abstractNumId w:val="31"/>
  </w:num>
  <w:num w:numId="26">
    <w:abstractNumId w:val="12"/>
  </w:num>
  <w:num w:numId="27">
    <w:abstractNumId w:val="11"/>
  </w:num>
  <w:num w:numId="28">
    <w:abstractNumId w:val="18"/>
  </w:num>
  <w:num w:numId="29">
    <w:abstractNumId w:val="34"/>
  </w:num>
  <w:num w:numId="30">
    <w:abstractNumId w:val="7"/>
  </w:num>
  <w:num w:numId="31">
    <w:abstractNumId w:val="27"/>
  </w:num>
  <w:num w:numId="32">
    <w:abstractNumId w:val="21"/>
  </w:num>
  <w:num w:numId="33">
    <w:abstractNumId w:val="13"/>
  </w:num>
  <w:num w:numId="34">
    <w:abstractNumId w:val="10"/>
  </w:num>
  <w:num w:numId="35">
    <w:abstractNumId w:val="33"/>
  </w:num>
  <w:num w:numId="36">
    <w:abstractNumId w:val="0"/>
  </w:num>
  <w:num w:numId="37">
    <w:abstractNumId w:val="2"/>
  </w:num>
  <w:num w:numId="38">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941911475">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1846</Words>
  <Characters>10263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2</cp:revision>
  <cp:lastPrinted>2025-01-15T15:11:00Z</cp:lastPrinted>
  <dcterms:created xsi:type="dcterms:W3CDTF">2025-02-20T10:17:00Z</dcterms:created>
  <dcterms:modified xsi:type="dcterms:W3CDTF">2025-02-20T10:17:00Z</dcterms:modified>
</cp:coreProperties>
</file>