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hAnsi="Arial" w:cs="Arial"/>
          <w:b/>
          <w:bCs/>
          <w:sz w:val="20"/>
          <w:szCs w:val="20"/>
        </w:rPr>
      </w:pPr>
      <w:bookmarkStart w:id="0" w:name="_Hlk165273925"/>
      <w:r>
        <w:rPr>
          <w:rFonts w:ascii="Arial" w:eastAsia="Calibri" w:hAnsi="Arial" w:cs="Arial"/>
          <w:b/>
          <w:sz w:val="28"/>
          <w:szCs w:val="28"/>
          <w:lang w:eastAsia="en-US"/>
        </w:rPr>
        <w:t>Lot 4 : Actions de formation en compétences juridiques générales – Commande publique</w:t>
      </w: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N°4</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1844</Words>
  <Characters>10266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2025-02-20T10:06:00Z</dcterms:created>
  <dcterms:modified xsi:type="dcterms:W3CDTF">2025-02-20T10:06:00Z</dcterms:modified>
</cp:coreProperties>
</file>