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71F09C5B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805675">
        <w:rPr>
          <w:rFonts w:ascii="Arial" w:hAnsi="Arial" w:cs="Arial"/>
          <w:b/>
          <w:bCs/>
          <w:sz w:val="22"/>
          <w:szCs w:val="22"/>
        </w:rPr>
        <w:t>5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257A016E" w:rsidR="009E4E52" w:rsidRDefault="0080567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80567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1D7A924" wp14:editId="5337C2F0">
            <wp:extent cx="1797050" cy="2224186"/>
            <wp:effectExtent l="0" t="0" r="0" b="5080"/>
            <wp:docPr id="329493487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431" cy="223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E5E1" w14:textId="37AAF8EE" w:rsidR="009078A5" w:rsidRPr="009078A5" w:rsidRDefault="009078A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9078A5">
        <w:rPr>
          <w:rFonts w:ascii="Arial" w:hAnsi="Arial" w:cs="Arial"/>
          <w:b/>
          <w:bCs/>
          <w:sz w:val="22"/>
          <w:szCs w:val="22"/>
        </w:rPr>
        <w:t xml:space="preserve">ecteur </w:t>
      </w:r>
      <w:r w:rsidR="00805675" w:rsidRPr="00805675">
        <w:rPr>
          <w:rFonts w:ascii="Arial" w:hAnsi="Arial" w:cs="Arial"/>
          <w:b/>
          <w:bCs/>
          <w:sz w:val="22"/>
          <w:szCs w:val="22"/>
        </w:rPr>
        <w:t>de l’unité territoriale Bauges Lac du Bourget</w:t>
      </w:r>
    </w:p>
    <w:p w14:paraId="7AF7E9A7" w14:textId="77777777" w:rsidR="00CB41E1" w:rsidRPr="002B603F" w:rsidRDefault="00CB41E1" w:rsidP="00CB41E1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60DC355C" w14:textId="77777777" w:rsidR="00CB41E1" w:rsidRDefault="00CB41E1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76ACDE61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494F5EAC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805675">
            <w:rPr>
              <w:rFonts w:ascii="Arial" w:hAnsi="Arial" w:cs="Arial"/>
              <w:b/>
              <w:bCs/>
              <w:sz w:val="20"/>
            </w:rPr>
            <w:t>5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24A4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675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078A5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0D23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1E1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3</cp:revision>
  <cp:lastPrinted>2024-12-06T08:08:00Z</cp:lastPrinted>
  <dcterms:created xsi:type="dcterms:W3CDTF">2024-12-06T14:08:00Z</dcterms:created>
  <dcterms:modified xsi:type="dcterms:W3CDTF">2024-12-12T08:38:00Z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