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70078798"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BE15F3"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3CED434B"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5910CA">
        <w:rPr>
          <w:rFonts w:ascii="Arial" w:hAnsi="Arial" w:cs="Arial"/>
          <w:b/>
          <w:bCs/>
          <w:sz w:val="28"/>
          <w:szCs w:val="28"/>
        </w:rPr>
        <w:t>202</w:t>
      </w:r>
      <w:r w:rsidR="00C11084">
        <w:rPr>
          <w:rFonts w:ascii="Arial" w:hAnsi="Arial" w:cs="Arial"/>
          <w:b/>
          <w:bCs/>
          <w:sz w:val="28"/>
          <w:szCs w:val="28"/>
        </w:rPr>
        <w:t>4</w:t>
      </w:r>
      <w:r w:rsidR="005910CA">
        <w:rPr>
          <w:rFonts w:ascii="Arial" w:hAnsi="Arial" w:cs="Arial"/>
          <w:b/>
          <w:bCs/>
          <w:sz w:val="28"/>
          <w:szCs w:val="28"/>
        </w:rPr>
        <w:t>-8845-02</w:t>
      </w:r>
      <w:r w:rsidR="00C11084">
        <w:rPr>
          <w:rFonts w:ascii="Arial" w:hAnsi="Arial" w:cs="Arial"/>
          <w:b/>
          <w:bCs/>
          <w:sz w:val="28"/>
          <w:szCs w:val="28"/>
        </w:rPr>
        <w:t>8</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0B8F5759"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w:t>
      </w:r>
      <w:r w:rsidRPr="00C83261">
        <w:rPr>
          <w:rFonts w:ascii="Arial" w:hAnsi="Arial" w:cs="Arial"/>
          <w:b/>
          <w:bCs/>
          <w:sz w:val="22"/>
          <w:szCs w:val="22"/>
        </w:rPr>
        <w:t xml:space="preserve">t n° </w:t>
      </w:r>
      <w:r w:rsidR="00573289">
        <w:rPr>
          <w:rFonts w:ascii="Arial" w:hAnsi="Arial" w:cs="Arial"/>
          <w:b/>
          <w:bCs/>
          <w:sz w:val="22"/>
          <w:szCs w:val="22"/>
        </w:rPr>
        <w:t>2</w:t>
      </w:r>
      <w:r w:rsidR="0099399F">
        <w:rPr>
          <w:rFonts w:ascii="Arial" w:hAnsi="Arial" w:cs="Arial"/>
          <w:b/>
          <w:bCs/>
          <w:sz w:val="22"/>
          <w:szCs w:val="22"/>
        </w:rPr>
        <w:t>2</w:t>
      </w:r>
    </w:p>
    <w:p w14:paraId="498DFA64" w14:textId="77777777" w:rsidR="009E4E52" w:rsidRDefault="009E4E52"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p>
    <w:p w14:paraId="14A365AD" w14:textId="74167EE9" w:rsidR="009E4E52" w:rsidRDefault="009E4E52"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6A3594">
        <w:rPr>
          <w:rFonts w:ascii="Arial" w:hAnsi="Arial" w:cs="Arial"/>
          <w:b/>
          <w:bCs/>
          <w:sz w:val="22"/>
          <w:szCs w:val="22"/>
        </w:rPr>
        <w:t>Abattage</w:t>
      </w:r>
      <w:r w:rsidR="006A3594" w:rsidRPr="006A3594">
        <w:rPr>
          <w:rFonts w:ascii="Arial" w:hAnsi="Arial" w:cs="Arial"/>
          <w:b/>
          <w:bCs/>
          <w:sz w:val="22"/>
          <w:szCs w:val="22"/>
        </w:rPr>
        <w:t xml:space="preserve">, </w:t>
      </w:r>
      <w:r w:rsidRPr="006A3594">
        <w:rPr>
          <w:rFonts w:ascii="Arial" w:hAnsi="Arial" w:cs="Arial"/>
          <w:b/>
          <w:bCs/>
          <w:sz w:val="22"/>
          <w:szCs w:val="22"/>
        </w:rPr>
        <w:t>façonnage m</w:t>
      </w:r>
      <w:r w:rsidR="00573289">
        <w:rPr>
          <w:rFonts w:ascii="Arial" w:hAnsi="Arial" w:cs="Arial"/>
          <w:b/>
          <w:bCs/>
          <w:sz w:val="22"/>
          <w:szCs w:val="22"/>
        </w:rPr>
        <w:t>écanisés</w:t>
      </w:r>
      <w:r w:rsidRPr="006A3594">
        <w:rPr>
          <w:rFonts w:ascii="Arial" w:hAnsi="Arial" w:cs="Arial"/>
          <w:b/>
          <w:bCs/>
          <w:sz w:val="22"/>
          <w:szCs w:val="22"/>
        </w:rPr>
        <w:t xml:space="preserve"> </w:t>
      </w:r>
      <w:r w:rsidR="006A3594" w:rsidRPr="006A3594">
        <w:rPr>
          <w:rFonts w:ascii="Arial" w:hAnsi="Arial" w:cs="Arial"/>
          <w:b/>
          <w:bCs/>
          <w:sz w:val="22"/>
          <w:szCs w:val="22"/>
        </w:rPr>
        <w:t>et</w:t>
      </w:r>
      <w:r w:rsidRPr="006A3594">
        <w:rPr>
          <w:rFonts w:ascii="Arial" w:hAnsi="Arial" w:cs="Arial"/>
          <w:b/>
          <w:bCs/>
          <w:sz w:val="22"/>
          <w:szCs w:val="22"/>
        </w:rPr>
        <w:t xml:space="preserve"> débardage de </w:t>
      </w:r>
      <w:r w:rsidR="00D372A7" w:rsidRPr="006A3594">
        <w:rPr>
          <w:rFonts w:ascii="Arial" w:hAnsi="Arial" w:cs="Arial"/>
          <w:b/>
          <w:bCs/>
          <w:sz w:val="22"/>
          <w:szCs w:val="22"/>
        </w:rPr>
        <w:t>boi</w:t>
      </w:r>
      <w:r w:rsidRPr="006A3594">
        <w:rPr>
          <w:rFonts w:ascii="Arial" w:hAnsi="Arial" w:cs="Arial"/>
          <w:b/>
          <w:bCs/>
          <w:sz w:val="22"/>
          <w:szCs w:val="22"/>
        </w:rPr>
        <w:t xml:space="preserve">s </w:t>
      </w:r>
      <w:r w:rsidR="006A3594" w:rsidRPr="006A3594">
        <w:rPr>
          <w:rFonts w:ascii="Arial" w:hAnsi="Arial" w:cs="Arial"/>
          <w:b/>
          <w:bCs/>
          <w:sz w:val="22"/>
          <w:szCs w:val="22"/>
        </w:rPr>
        <w:t>feuillus</w:t>
      </w:r>
      <w:r w:rsidR="00573289">
        <w:rPr>
          <w:rFonts w:ascii="Arial" w:hAnsi="Arial" w:cs="Arial"/>
          <w:b/>
          <w:bCs/>
          <w:sz w:val="22"/>
          <w:szCs w:val="22"/>
        </w:rPr>
        <w:t xml:space="preserve"> ou résineux</w:t>
      </w:r>
    </w:p>
    <w:p w14:paraId="739E3BB8" w14:textId="77777777" w:rsidR="009E4E52" w:rsidRDefault="009E4E52"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p>
    <w:p w14:paraId="6E2DCB65" w14:textId="481EFCDC" w:rsidR="009E4E52" w:rsidRDefault="0099399F" w:rsidP="0057328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99399F">
        <w:rPr>
          <w:rFonts w:ascii="Arial" w:hAnsi="Arial" w:cs="Arial"/>
          <w:noProof/>
          <w:sz w:val="22"/>
          <w:szCs w:val="22"/>
        </w:rPr>
        <w:drawing>
          <wp:inline distT="0" distB="0" distL="0" distR="0" wp14:anchorId="594CAF79" wp14:editId="09FEB1E9">
            <wp:extent cx="2100334" cy="2533650"/>
            <wp:effectExtent l="0" t="0" r="0" b="0"/>
            <wp:docPr id="2169110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7832" cy="2554758"/>
                    </a:xfrm>
                    <a:prstGeom prst="rect">
                      <a:avLst/>
                    </a:prstGeom>
                    <a:noFill/>
                    <a:ln>
                      <a:noFill/>
                    </a:ln>
                  </pic:spPr>
                </pic:pic>
              </a:graphicData>
            </a:graphic>
          </wp:inline>
        </w:drawing>
      </w:r>
    </w:p>
    <w:p w14:paraId="5CF7E433" w14:textId="5CC2A9B8" w:rsidR="00437C90" w:rsidRPr="00437C90" w:rsidRDefault="00437C90" w:rsidP="0057328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437C90">
        <w:rPr>
          <w:rFonts w:ascii="Arial" w:hAnsi="Arial" w:cs="Arial"/>
          <w:b/>
          <w:bCs/>
          <w:sz w:val="22"/>
          <w:szCs w:val="22"/>
        </w:rPr>
        <w:t xml:space="preserve">Agence Savoie Mont-Blanc – </w:t>
      </w:r>
      <w:r w:rsidR="0099399F">
        <w:rPr>
          <w:rFonts w:ascii="Arial" w:hAnsi="Arial" w:cs="Arial"/>
          <w:b/>
          <w:bCs/>
          <w:sz w:val="22"/>
          <w:szCs w:val="22"/>
        </w:rPr>
        <w:t>Sols sensibles au tassement</w:t>
      </w:r>
    </w:p>
    <w:p w14:paraId="02A58B97" w14:textId="7D7F747B" w:rsidR="00A5412E" w:rsidRPr="00573289" w:rsidRDefault="007E25EB" w:rsidP="00573289">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7A7972CD" w14:textId="0CBA3236" w:rsidR="00A5412E" w:rsidRDefault="00A5412E" w:rsidP="00A5412E">
      <w:pPr>
        <w:autoSpaceDE w:val="0"/>
        <w:autoSpaceDN w:val="0"/>
        <w:adjustRightInd w:val="0"/>
        <w:jc w:val="both"/>
        <w:outlineLvl w:val="0"/>
        <w:rPr>
          <w:b/>
          <w:bCs/>
          <w:color w:val="006600"/>
          <w:sz w:val="22"/>
          <w:szCs w:val="22"/>
        </w:rPr>
      </w:pPr>
    </w:p>
    <w:p w14:paraId="616E9DE6" w14:textId="5A701044" w:rsidR="005D4E9C" w:rsidRDefault="00063248" w:rsidP="005D4E9C">
      <w:pPr>
        <w:autoSpaceDE w:val="0"/>
        <w:autoSpaceDN w:val="0"/>
        <w:adjustRightInd w:val="0"/>
        <w:jc w:val="both"/>
        <w:rPr>
          <w:sz w:val="22"/>
          <w:szCs w:val="22"/>
        </w:rPr>
      </w:pPr>
      <w:bookmarkStart w:id="0" w:name="_Hlk179384334"/>
      <w:r>
        <w:rPr>
          <w:sz w:val="22"/>
          <w:szCs w:val="22"/>
        </w:rPr>
        <w:t xml:space="preserve">Les données figurant dans les lignes </w:t>
      </w:r>
      <w:r w:rsidR="006F4462">
        <w:rPr>
          <w:sz w:val="22"/>
          <w:szCs w:val="22"/>
        </w:rPr>
        <w:t xml:space="preserve">colorées en gris </w:t>
      </w:r>
      <w:r>
        <w:rPr>
          <w:sz w:val="22"/>
          <w:szCs w:val="22"/>
        </w:rPr>
        <w:t>ne peuvent</w:t>
      </w:r>
      <w:r w:rsidR="006F4462">
        <w:rPr>
          <w:sz w:val="22"/>
          <w:szCs w:val="22"/>
        </w:rPr>
        <w:t xml:space="preserve"> être modifiées par le titulaire</w:t>
      </w:r>
      <w:r w:rsidR="0057017B">
        <w:rPr>
          <w:sz w:val="22"/>
          <w:szCs w:val="22"/>
        </w:rPr>
        <w:t>.</w:t>
      </w:r>
    </w:p>
    <w:p w14:paraId="1DD1DF3B" w14:textId="1DD5148C" w:rsidR="009E4E52" w:rsidRDefault="009E4E52" w:rsidP="005D4E9C">
      <w:pPr>
        <w:autoSpaceDE w:val="0"/>
        <w:autoSpaceDN w:val="0"/>
        <w:adjustRightInd w:val="0"/>
        <w:jc w:val="both"/>
        <w:rPr>
          <w:sz w:val="22"/>
          <w:szCs w:val="22"/>
        </w:rPr>
      </w:pPr>
      <w:r>
        <w:rPr>
          <w:sz w:val="22"/>
          <w:szCs w:val="22"/>
        </w:rPr>
        <w:t>Les prix sont à renseigner en euros hors taxes.</w:t>
      </w:r>
    </w:p>
    <w:p w14:paraId="15B7E497" w14:textId="77777777" w:rsidR="009E4E52" w:rsidRDefault="009E4E52" w:rsidP="005D4E9C">
      <w:pPr>
        <w:autoSpaceDE w:val="0"/>
        <w:autoSpaceDN w:val="0"/>
        <w:adjustRightInd w:val="0"/>
        <w:jc w:val="both"/>
        <w:rPr>
          <w:sz w:val="22"/>
          <w:szCs w:val="22"/>
        </w:rPr>
      </w:pPr>
    </w:p>
    <w:p w14:paraId="0561943B" w14:textId="77777777" w:rsidR="009E4E52" w:rsidRDefault="009E4E52" w:rsidP="005D4E9C">
      <w:pPr>
        <w:autoSpaceDE w:val="0"/>
        <w:autoSpaceDN w:val="0"/>
        <w:adjustRightInd w:val="0"/>
        <w:jc w:val="both"/>
        <w:rPr>
          <w:sz w:val="22"/>
          <w:szCs w:val="22"/>
        </w:rPr>
      </w:pPr>
    </w:p>
    <w:p w14:paraId="365382A4" w14:textId="375489F4" w:rsidR="009E4E52" w:rsidRDefault="009E4E52" w:rsidP="006A3594">
      <w:pPr>
        <w:autoSpaceDE w:val="0"/>
        <w:autoSpaceDN w:val="0"/>
        <w:adjustRightInd w:val="0"/>
        <w:jc w:val="both"/>
        <w:outlineLvl w:val="0"/>
        <w:rPr>
          <w:b/>
          <w:bCs/>
          <w:color w:val="006600"/>
          <w:sz w:val="22"/>
          <w:szCs w:val="22"/>
        </w:rPr>
      </w:pPr>
      <w:r w:rsidRPr="008A1736">
        <w:rPr>
          <w:b/>
          <w:bCs/>
          <w:color w:val="006600"/>
          <w:sz w:val="22"/>
          <w:szCs w:val="22"/>
        </w:rPr>
        <w:t xml:space="preserve">Prix des prestations </w:t>
      </w:r>
      <w:r>
        <w:rPr>
          <w:b/>
          <w:bCs/>
          <w:color w:val="006600"/>
          <w:sz w:val="22"/>
          <w:szCs w:val="22"/>
        </w:rPr>
        <w:t>principale</w:t>
      </w:r>
      <w:r w:rsidRPr="008A1736">
        <w:rPr>
          <w:b/>
          <w:bCs/>
          <w:color w:val="006600"/>
          <w:sz w:val="22"/>
          <w:szCs w:val="22"/>
        </w:rPr>
        <w:t>s</w:t>
      </w:r>
      <w:r>
        <w:rPr>
          <w:b/>
          <w:bCs/>
          <w:color w:val="006600"/>
          <w:sz w:val="22"/>
          <w:szCs w:val="22"/>
        </w:rPr>
        <w:t> :</w:t>
      </w:r>
    </w:p>
    <w:p w14:paraId="5B2876C6" w14:textId="77777777" w:rsidR="00573289" w:rsidRDefault="00573289" w:rsidP="006A3594">
      <w:pPr>
        <w:autoSpaceDE w:val="0"/>
        <w:autoSpaceDN w:val="0"/>
        <w:adjustRightInd w:val="0"/>
        <w:jc w:val="both"/>
        <w:outlineLvl w:val="0"/>
        <w:rPr>
          <w:b/>
          <w:bCs/>
          <w:color w:val="006600"/>
          <w:sz w:val="22"/>
          <w:szCs w:val="22"/>
        </w:rPr>
      </w:pP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2552"/>
        <w:gridCol w:w="3544"/>
      </w:tblGrid>
      <w:tr w:rsidR="00573289" w:rsidRPr="00D4232B" w14:paraId="4CA0156C" w14:textId="77777777" w:rsidTr="00265B47">
        <w:tc>
          <w:tcPr>
            <w:tcW w:w="4962" w:type="dxa"/>
            <w:tcBorders>
              <w:top w:val="single" w:sz="4" w:space="0" w:color="auto"/>
              <w:left w:val="single" w:sz="4" w:space="0" w:color="auto"/>
              <w:bottom w:val="single" w:sz="4" w:space="0" w:color="auto"/>
              <w:right w:val="single" w:sz="6" w:space="0" w:color="auto"/>
            </w:tcBorders>
            <w:shd w:val="clear" w:color="auto" w:fill="auto"/>
          </w:tcPr>
          <w:p w14:paraId="236DE327" w14:textId="77777777" w:rsidR="00573289" w:rsidRPr="00D4232B" w:rsidRDefault="00573289" w:rsidP="00265B47">
            <w:pPr>
              <w:autoSpaceDE w:val="0"/>
              <w:autoSpaceDN w:val="0"/>
              <w:adjustRightInd w:val="0"/>
              <w:jc w:val="center"/>
              <w:rPr>
                <w:b/>
                <w:sz w:val="22"/>
                <w:szCs w:val="22"/>
              </w:rPr>
            </w:pPr>
            <w:r w:rsidRPr="00D4232B">
              <w:rPr>
                <w:b/>
                <w:sz w:val="22"/>
                <w:szCs w:val="22"/>
              </w:rPr>
              <w:t>Prestations</w:t>
            </w:r>
          </w:p>
        </w:tc>
        <w:tc>
          <w:tcPr>
            <w:tcW w:w="2552" w:type="dxa"/>
            <w:tcBorders>
              <w:top w:val="single" w:sz="4" w:space="0" w:color="auto"/>
              <w:left w:val="single" w:sz="6" w:space="0" w:color="auto"/>
              <w:bottom w:val="single" w:sz="4" w:space="0" w:color="auto"/>
              <w:right w:val="single" w:sz="6" w:space="0" w:color="auto"/>
            </w:tcBorders>
            <w:shd w:val="clear" w:color="auto" w:fill="auto"/>
          </w:tcPr>
          <w:p w14:paraId="49B019F2" w14:textId="77777777" w:rsidR="00573289" w:rsidRPr="00D4232B" w:rsidRDefault="00573289" w:rsidP="00265B47">
            <w:pPr>
              <w:autoSpaceDE w:val="0"/>
              <w:autoSpaceDN w:val="0"/>
              <w:adjustRightInd w:val="0"/>
              <w:jc w:val="center"/>
              <w:rPr>
                <w:b/>
                <w:sz w:val="22"/>
                <w:szCs w:val="22"/>
              </w:rPr>
            </w:pPr>
            <w:r w:rsidRPr="00D4232B">
              <w:rPr>
                <w:b/>
                <w:sz w:val="22"/>
                <w:szCs w:val="22"/>
              </w:rPr>
              <w:t>Prix de base en € HT</w:t>
            </w:r>
          </w:p>
        </w:tc>
        <w:tc>
          <w:tcPr>
            <w:tcW w:w="3544" w:type="dxa"/>
            <w:tcBorders>
              <w:top w:val="single" w:sz="4" w:space="0" w:color="auto"/>
              <w:left w:val="single" w:sz="6" w:space="0" w:color="auto"/>
              <w:bottom w:val="single" w:sz="4" w:space="0" w:color="auto"/>
              <w:right w:val="single" w:sz="4" w:space="0" w:color="auto"/>
            </w:tcBorders>
            <w:shd w:val="clear" w:color="auto" w:fill="auto"/>
          </w:tcPr>
          <w:p w14:paraId="03E03D66" w14:textId="77777777" w:rsidR="00573289" w:rsidRPr="00D4232B" w:rsidRDefault="00573289" w:rsidP="00265B47">
            <w:pPr>
              <w:autoSpaceDE w:val="0"/>
              <w:autoSpaceDN w:val="0"/>
              <w:adjustRightInd w:val="0"/>
              <w:jc w:val="center"/>
              <w:rPr>
                <w:b/>
                <w:sz w:val="22"/>
                <w:szCs w:val="22"/>
              </w:rPr>
            </w:pPr>
            <w:r w:rsidRPr="00D4232B">
              <w:rPr>
                <w:b/>
                <w:sz w:val="22"/>
                <w:szCs w:val="22"/>
              </w:rPr>
              <w:t>Unité</w:t>
            </w:r>
          </w:p>
        </w:tc>
      </w:tr>
      <w:tr w:rsidR="00573289" w:rsidRPr="00D4232B" w14:paraId="4217CA65" w14:textId="77777777" w:rsidTr="00265B47">
        <w:trPr>
          <w:trHeight w:val="472"/>
        </w:trPr>
        <w:tc>
          <w:tcPr>
            <w:tcW w:w="4962" w:type="dxa"/>
            <w:tcBorders>
              <w:top w:val="single" w:sz="4" w:space="0" w:color="auto"/>
              <w:left w:val="single" w:sz="4" w:space="0" w:color="auto"/>
              <w:bottom w:val="single" w:sz="4" w:space="0" w:color="auto"/>
              <w:right w:val="single" w:sz="6" w:space="0" w:color="auto"/>
            </w:tcBorders>
            <w:shd w:val="clear" w:color="auto" w:fill="A6A6A6" w:themeFill="background1" w:themeFillShade="A6"/>
            <w:vAlign w:val="center"/>
          </w:tcPr>
          <w:p w14:paraId="34629FE2" w14:textId="77777777" w:rsidR="00573289" w:rsidRPr="00D4232B" w:rsidRDefault="00573289" w:rsidP="00265B47">
            <w:pPr>
              <w:autoSpaceDE w:val="0"/>
              <w:autoSpaceDN w:val="0"/>
              <w:adjustRightInd w:val="0"/>
              <w:rPr>
                <w:b/>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25"/>
                  <w:enabled/>
                  <w:calcOnExit w:val="0"/>
                  <w:checkBox>
                    <w:sizeAuto/>
                    <w:default w:val="1"/>
                  </w:checkBox>
                </w:ffData>
              </w:fldChar>
            </w:r>
            <w:bookmarkStart w:id="1" w:name="CaseACocher25"/>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1"/>
            <w:r w:rsidRPr="00D4232B">
              <w:rPr>
                <w:i/>
                <w:iCs/>
                <w:sz w:val="22"/>
                <w:szCs w:val="22"/>
              </w:rPr>
              <w:t xml:space="preserve"> </w:t>
            </w:r>
            <w:r>
              <w:rPr>
                <w:b/>
                <w:bCs/>
                <w:sz w:val="22"/>
                <w:szCs w:val="22"/>
              </w:rPr>
              <w:t>Installation du chantier</w:t>
            </w:r>
          </w:p>
        </w:tc>
        <w:tc>
          <w:tcPr>
            <w:tcW w:w="2552" w:type="dxa"/>
            <w:tcBorders>
              <w:top w:val="single" w:sz="4" w:space="0" w:color="auto"/>
              <w:left w:val="single" w:sz="6" w:space="0" w:color="auto"/>
              <w:bottom w:val="single" w:sz="4" w:space="0" w:color="auto"/>
              <w:right w:val="single" w:sz="6" w:space="0" w:color="auto"/>
            </w:tcBorders>
            <w:shd w:val="clear" w:color="auto" w:fill="A6A6A6" w:themeFill="background1" w:themeFillShade="A6"/>
            <w:vAlign w:val="center"/>
          </w:tcPr>
          <w:p w14:paraId="469C7E2A" w14:textId="77777777" w:rsidR="00573289" w:rsidRPr="00D4232B" w:rsidRDefault="00573289" w:rsidP="00265B47">
            <w:pPr>
              <w:autoSpaceDE w:val="0"/>
              <w:autoSpaceDN w:val="0"/>
              <w:adjustRightInd w:val="0"/>
              <w:jc w:val="center"/>
              <w:rPr>
                <w:b/>
                <w:sz w:val="22"/>
                <w:szCs w:val="22"/>
              </w:rPr>
            </w:pPr>
            <w:r>
              <w:rPr>
                <w:b/>
                <w:sz w:val="22"/>
                <w:szCs w:val="22"/>
              </w:rPr>
              <w:t>200</w:t>
            </w:r>
          </w:p>
        </w:tc>
        <w:tc>
          <w:tcPr>
            <w:tcW w:w="3544" w:type="dxa"/>
            <w:tcBorders>
              <w:top w:val="single" w:sz="4" w:space="0" w:color="auto"/>
              <w:left w:val="single" w:sz="6" w:space="0" w:color="auto"/>
              <w:bottom w:val="single" w:sz="4" w:space="0" w:color="auto"/>
              <w:right w:val="single" w:sz="4" w:space="0" w:color="auto"/>
            </w:tcBorders>
            <w:shd w:val="clear" w:color="auto" w:fill="A6A6A6" w:themeFill="background1" w:themeFillShade="A6"/>
            <w:vAlign w:val="center"/>
          </w:tcPr>
          <w:p w14:paraId="7CA0DBA9" w14:textId="77777777" w:rsidR="00573289" w:rsidRPr="00D4232B" w:rsidRDefault="00573289" w:rsidP="00265B47">
            <w:pPr>
              <w:autoSpaceDE w:val="0"/>
              <w:autoSpaceDN w:val="0"/>
              <w:adjustRightInd w:val="0"/>
              <w:jc w:val="center"/>
              <w:rPr>
                <w:b/>
                <w:sz w:val="22"/>
                <w:szCs w:val="22"/>
              </w:rPr>
            </w:pPr>
            <w:commentRangeStart w:id="2"/>
            <w:r>
              <w:rPr>
                <w:b/>
                <w:sz w:val="22"/>
                <w:szCs w:val="22"/>
              </w:rPr>
              <w:t>Forfait</w:t>
            </w:r>
            <w:commentRangeEnd w:id="2"/>
            <w:r>
              <w:rPr>
                <w:rStyle w:val="Marquedecommentaire"/>
              </w:rPr>
              <w:commentReference w:id="2"/>
            </w:r>
          </w:p>
        </w:tc>
      </w:tr>
      <w:tr w:rsidR="00573289" w:rsidRPr="00D4232B" w14:paraId="4CB0206C" w14:textId="77777777" w:rsidTr="00265B47">
        <w:trPr>
          <w:trHeight w:val="472"/>
        </w:trPr>
        <w:tc>
          <w:tcPr>
            <w:tcW w:w="49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5BC6307" w14:textId="77777777" w:rsidR="00573289" w:rsidRPr="00D4232B" w:rsidRDefault="00573289" w:rsidP="00265B47">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Pr>
                <w:b/>
                <w:bCs/>
                <w:sz w:val="22"/>
                <w:szCs w:val="22"/>
              </w:rPr>
              <w:t xml:space="preserve">Transfert d’engin d’abattage ou </w:t>
            </w:r>
            <w:r w:rsidRPr="00797572">
              <w:rPr>
                <w:b/>
                <w:bCs/>
                <w:sz w:val="22"/>
                <w:szCs w:val="22"/>
              </w:rPr>
              <w:t>de débardage</w:t>
            </w:r>
          </w:p>
        </w:tc>
        <w:tc>
          <w:tcPr>
            <w:tcW w:w="25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2FD152" w14:textId="77777777" w:rsidR="00573289" w:rsidRPr="001D3E8D" w:rsidRDefault="00573289" w:rsidP="00265B47">
            <w:pPr>
              <w:autoSpaceDE w:val="0"/>
              <w:autoSpaceDN w:val="0"/>
              <w:adjustRightInd w:val="0"/>
              <w:jc w:val="center"/>
              <w:rPr>
                <w:b/>
                <w:bCs/>
                <w:sz w:val="22"/>
                <w:szCs w:val="22"/>
              </w:rPr>
            </w:pPr>
            <w:r w:rsidRPr="001D3E8D">
              <w:rPr>
                <w:b/>
                <w:bCs/>
                <w:sz w:val="22"/>
                <w:szCs w:val="22"/>
              </w:rPr>
              <w:t>500</w:t>
            </w:r>
          </w:p>
        </w:tc>
        <w:tc>
          <w:tcPr>
            <w:tcW w:w="35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07DFF19" w14:textId="77777777" w:rsidR="00573289" w:rsidRPr="00966B3F" w:rsidRDefault="00573289" w:rsidP="00265B47">
            <w:pPr>
              <w:autoSpaceDE w:val="0"/>
              <w:autoSpaceDN w:val="0"/>
              <w:adjustRightInd w:val="0"/>
              <w:jc w:val="center"/>
              <w:rPr>
                <w:b/>
                <w:bCs/>
                <w:sz w:val="22"/>
                <w:szCs w:val="22"/>
              </w:rPr>
            </w:pPr>
            <w:commentRangeStart w:id="3"/>
            <w:r w:rsidRPr="00966B3F">
              <w:rPr>
                <w:b/>
                <w:bCs/>
                <w:sz w:val="22"/>
                <w:szCs w:val="22"/>
              </w:rPr>
              <w:t>Forfait</w:t>
            </w:r>
            <w:commentRangeEnd w:id="3"/>
            <w:r>
              <w:rPr>
                <w:rStyle w:val="Marquedecommentaire"/>
              </w:rPr>
              <w:commentReference w:id="3"/>
            </w:r>
          </w:p>
        </w:tc>
      </w:tr>
      <w:tr w:rsidR="00573289" w:rsidRPr="00D4232B" w14:paraId="2452D3D4" w14:textId="77777777" w:rsidTr="00573289">
        <w:trPr>
          <w:trHeight w:val="107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BD8ADDF" w14:textId="359358D6" w:rsidR="00573289" w:rsidRPr="00D4232B" w:rsidRDefault="00573289" w:rsidP="00265B47">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Pr="00D4232B">
              <w:rPr>
                <w:i/>
                <w:iCs/>
                <w:sz w:val="22"/>
                <w:szCs w:val="22"/>
              </w:rPr>
              <w:fldChar w:fldCharType="begin">
                <w:ffData>
                  <w:name w:val="CaseACocher25"/>
                  <w:enabled/>
                  <w:calcOnExit w:val="0"/>
                  <w:checkBox>
                    <w:sizeAuto/>
                    <w:default w:val="0"/>
                  </w:checkBox>
                </w:ffData>
              </w:fldChar>
            </w:r>
            <w:r w:rsidRPr="00D4232B">
              <w:rPr>
                <w:i/>
                <w:iCs/>
                <w:sz w:val="22"/>
                <w:szCs w:val="22"/>
              </w:rPr>
              <w:instrText xml:space="preserve"> FORMCHECKBOX </w:instrText>
            </w:r>
            <w:r w:rsidRPr="00D4232B">
              <w:rPr>
                <w:i/>
                <w:iCs/>
                <w:sz w:val="22"/>
                <w:szCs w:val="22"/>
              </w:rPr>
            </w:r>
            <w:r w:rsidRPr="00D4232B">
              <w:rPr>
                <w:i/>
                <w:iCs/>
                <w:sz w:val="22"/>
                <w:szCs w:val="22"/>
              </w:rPr>
              <w:fldChar w:fldCharType="separate"/>
            </w:r>
            <w:r w:rsidRPr="00D4232B">
              <w:rPr>
                <w:i/>
                <w:iCs/>
                <w:sz w:val="22"/>
                <w:szCs w:val="22"/>
              </w:rPr>
              <w:fldChar w:fldCharType="end"/>
            </w:r>
            <w:r w:rsidRPr="00D4232B">
              <w:rPr>
                <w:i/>
                <w:iCs/>
                <w:sz w:val="22"/>
                <w:szCs w:val="22"/>
              </w:rPr>
              <w:t xml:space="preserve"> </w:t>
            </w:r>
            <w:r w:rsidRPr="00D4232B">
              <w:rPr>
                <w:b/>
                <w:bCs/>
                <w:sz w:val="22"/>
                <w:szCs w:val="22"/>
              </w:rPr>
              <w:t>Abattage</w:t>
            </w:r>
            <w:r>
              <w:rPr>
                <w:b/>
                <w:bCs/>
                <w:sz w:val="22"/>
                <w:szCs w:val="22"/>
              </w:rPr>
              <w:t>, f</w:t>
            </w:r>
            <w:r w:rsidRPr="00D4232B">
              <w:rPr>
                <w:b/>
                <w:bCs/>
                <w:sz w:val="22"/>
                <w:szCs w:val="22"/>
              </w:rPr>
              <w:t>açonnage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293074C" w14:textId="77777777" w:rsidR="00573289" w:rsidRDefault="00573289" w:rsidP="00265B47">
            <w:pPr>
              <w:autoSpaceDE w:val="0"/>
              <w:autoSpaceDN w:val="0"/>
              <w:adjustRightInd w:val="0"/>
              <w:jc w:val="both"/>
              <w:rPr>
                <w:sz w:val="22"/>
                <w:szCs w:val="22"/>
              </w:rPr>
            </w:pPr>
          </w:p>
          <w:p w14:paraId="3D8BCCCB" w14:textId="77777777" w:rsidR="00573289" w:rsidRPr="00797572" w:rsidRDefault="00573289" w:rsidP="00265B47">
            <w:pPr>
              <w:autoSpaceDE w:val="0"/>
              <w:autoSpaceDN w:val="0"/>
              <w:adjustRightInd w:val="0"/>
              <w:jc w:val="both"/>
              <w:rPr>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73C6DF3" w14:textId="331F8E3A" w:rsidR="00573289" w:rsidRPr="00797572" w:rsidRDefault="00573289" w:rsidP="00265B47">
            <w:pPr>
              <w:autoSpaceDE w:val="0"/>
              <w:autoSpaceDN w:val="0"/>
              <w:adjustRightInd w:val="0"/>
              <w:jc w:val="center"/>
              <w:rPr>
                <w:b/>
                <w:bCs/>
                <w:sz w:val="22"/>
                <w:szCs w:val="22"/>
              </w:rPr>
            </w:pPr>
            <w:r w:rsidRPr="00797572">
              <w:rPr>
                <w:b/>
                <w:bCs/>
                <w:sz w:val="22"/>
                <w:szCs w:val="22"/>
              </w:rPr>
              <w:t>m3a</w:t>
            </w:r>
            <w:r>
              <w:rPr>
                <w:rStyle w:val="Appelnotedebasdep"/>
                <w:b/>
                <w:bCs/>
                <w:sz w:val="22"/>
                <w:szCs w:val="22"/>
              </w:rPr>
              <w:footnoteReference w:id="1"/>
            </w:r>
          </w:p>
        </w:tc>
      </w:tr>
      <w:tr w:rsidR="00573289" w:rsidRPr="00D4232B" w14:paraId="2F504961" w14:textId="77777777" w:rsidTr="00573289">
        <w:trPr>
          <w:trHeight w:val="107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895299C" w14:textId="77777777" w:rsidR="00573289" w:rsidRPr="00D4232B" w:rsidRDefault="00573289" w:rsidP="00265B47">
            <w:pPr>
              <w:autoSpaceDE w:val="0"/>
              <w:autoSpaceDN w:val="0"/>
              <w:adjustRightInd w:val="0"/>
              <w:jc w:val="both"/>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bookmarkStart w:id="4" w:name="CaseACocher31"/>
            <w:r w:rsidRPr="00D4232B">
              <w:rPr>
                <w:i/>
                <w:iCs/>
                <w:sz w:val="22"/>
                <w:szCs w:val="22"/>
              </w:rPr>
              <w:fldChar w:fldCharType="begin">
                <w:ffData>
                  <w:name w:val="CaseACocher31"/>
                  <w:enabled/>
                  <w:calcOnExit w:val="0"/>
                  <w:checkBox>
                    <w:sizeAuto/>
                    <w:default w:val="0"/>
                  </w:checkBox>
                </w:ffData>
              </w:fldChar>
            </w:r>
            <w:r w:rsidRPr="00D4232B">
              <w:rPr>
                <w:i/>
                <w:iCs/>
                <w:sz w:val="22"/>
                <w:szCs w:val="22"/>
              </w:rPr>
              <w:instrText xml:space="preserve"> FORMCHECKBOX </w:instrText>
            </w:r>
            <w:r w:rsidRPr="00D4232B">
              <w:rPr>
                <w:i/>
                <w:iCs/>
                <w:sz w:val="22"/>
                <w:szCs w:val="22"/>
              </w:rPr>
            </w:r>
            <w:r w:rsidRPr="00D4232B">
              <w:rPr>
                <w:i/>
                <w:iCs/>
                <w:sz w:val="22"/>
                <w:szCs w:val="22"/>
              </w:rPr>
              <w:fldChar w:fldCharType="separate"/>
            </w:r>
            <w:r w:rsidRPr="00D4232B">
              <w:rPr>
                <w:i/>
                <w:iCs/>
                <w:sz w:val="22"/>
                <w:szCs w:val="22"/>
              </w:rPr>
              <w:fldChar w:fldCharType="end"/>
            </w:r>
            <w:bookmarkEnd w:id="4"/>
            <w:r w:rsidRPr="00D4232B">
              <w:rPr>
                <w:i/>
                <w:iCs/>
                <w:sz w:val="22"/>
                <w:szCs w:val="22"/>
              </w:rPr>
              <w:t xml:space="preserve"> </w:t>
            </w:r>
            <w:r w:rsidRPr="00D4232B">
              <w:rPr>
                <w:b/>
                <w:bCs/>
                <w:sz w:val="22"/>
                <w:szCs w:val="22"/>
              </w:rPr>
              <w:t>Débardage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D6A04FD" w14:textId="77777777" w:rsidR="00573289" w:rsidRDefault="00573289" w:rsidP="00265B47">
            <w:pPr>
              <w:autoSpaceDE w:val="0"/>
              <w:autoSpaceDN w:val="0"/>
              <w:adjustRightInd w:val="0"/>
              <w:jc w:val="both"/>
              <w:rPr>
                <w:sz w:val="22"/>
                <w:szCs w:val="22"/>
              </w:rPr>
            </w:pPr>
          </w:p>
          <w:p w14:paraId="574E240B" w14:textId="77777777" w:rsidR="00573289" w:rsidRPr="00D4232B" w:rsidRDefault="00573289" w:rsidP="00265B47">
            <w:pPr>
              <w:autoSpaceDE w:val="0"/>
              <w:autoSpaceDN w:val="0"/>
              <w:adjustRightInd w:val="0"/>
              <w:jc w:val="both"/>
              <w:rPr>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BC9946F" w14:textId="77777777" w:rsidR="00573289" w:rsidRPr="001D3E8D" w:rsidRDefault="00573289" w:rsidP="00265B47">
            <w:pPr>
              <w:autoSpaceDE w:val="0"/>
              <w:autoSpaceDN w:val="0"/>
              <w:adjustRightInd w:val="0"/>
              <w:jc w:val="center"/>
              <w:rPr>
                <w:sz w:val="22"/>
                <w:szCs w:val="22"/>
                <w:highlight w:val="cyan"/>
              </w:rPr>
            </w:pPr>
            <w:r w:rsidRPr="00797572">
              <w:rPr>
                <w:b/>
                <w:bCs/>
                <w:sz w:val="22"/>
                <w:szCs w:val="22"/>
              </w:rPr>
              <w:t>m3a</w:t>
            </w:r>
          </w:p>
        </w:tc>
      </w:tr>
      <w:bookmarkEnd w:id="0"/>
    </w:tbl>
    <w:p w14:paraId="3A1D062C" w14:textId="77777777" w:rsidR="0005708B" w:rsidRDefault="0005708B" w:rsidP="00F452F1">
      <w:pPr>
        <w:autoSpaceDE w:val="0"/>
        <w:autoSpaceDN w:val="0"/>
        <w:adjustRightInd w:val="0"/>
        <w:jc w:val="both"/>
        <w:rPr>
          <w:i/>
          <w:color w:val="0000FF"/>
          <w:sz w:val="22"/>
          <w:szCs w:val="22"/>
        </w:rPr>
      </w:pPr>
    </w:p>
    <w:p w14:paraId="19A21612" w14:textId="77777777" w:rsidR="00573289" w:rsidRDefault="00573289" w:rsidP="00F452F1">
      <w:pPr>
        <w:autoSpaceDE w:val="0"/>
        <w:autoSpaceDN w:val="0"/>
        <w:adjustRightInd w:val="0"/>
        <w:jc w:val="both"/>
        <w:rPr>
          <w:i/>
          <w:color w:val="0000FF"/>
          <w:sz w:val="22"/>
          <w:szCs w:val="22"/>
        </w:rPr>
      </w:pPr>
    </w:p>
    <w:p w14:paraId="451BF7B8" w14:textId="77777777" w:rsidR="00437C90" w:rsidRDefault="00437C90" w:rsidP="00F452F1">
      <w:pPr>
        <w:autoSpaceDE w:val="0"/>
        <w:autoSpaceDN w:val="0"/>
        <w:adjustRightInd w:val="0"/>
        <w:jc w:val="both"/>
        <w:rPr>
          <w:i/>
          <w:color w:val="0000FF"/>
          <w:sz w:val="22"/>
          <w:szCs w:val="22"/>
        </w:rPr>
      </w:pPr>
    </w:p>
    <w:p w14:paraId="71FAC1CC" w14:textId="7026770D" w:rsidR="00F452F1" w:rsidRDefault="007A6A18" w:rsidP="00F452F1">
      <w:pPr>
        <w:autoSpaceDE w:val="0"/>
        <w:autoSpaceDN w:val="0"/>
        <w:adjustRightInd w:val="0"/>
        <w:jc w:val="both"/>
        <w:outlineLvl w:val="0"/>
        <w:rPr>
          <w:b/>
          <w:bCs/>
          <w:color w:val="006600"/>
          <w:sz w:val="22"/>
          <w:szCs w:val="22"/>
        </w:rPr>
      </w:pPr>
      <w:r w:rsidRPr="008A1736">
        <w:rPr>
          <w:b/>
          <w:bCs/>
          <w:color w:val="006600"/>
          <w:sz w:val="22"/>
          <w:szCs w:val="22"/>
        </w:rPr>
        <w:t>Prix</w:t>
      </w:r>
      <w:r w:rsidR="00F452F1" w:rsidRPr="008A1736">
        <w:rPr>
          <w:b/>
          <w:bCs/>
          <w:color w:val="006600"/>
          <w:sz w:val="22"/>
          <w:szCs w:val="22"/>
        </w:rPr>
        <w:t xml:space="preserve"> des prestations complémentaires</w:t>
      </w:r>
      <w:r w:rsidR="00717AD4">
        <w:rPr>
          <w:b/>
          <w:bCs/>
          <w:color w:val="006600"/>
          <w:sz w:val="22"/>
          <w:szCs w:val="22"/>
        </w:rPr>
        <w:t> :</w:t>
      </w:r>
    </w:p>
    <w:p w14:paraId="2E01FE5F" w14:textId="77777777" w:rsidR="00063248" w:rsidRDefault="00063248" w:rsidP="00F452F1">
      <w:pPr>
        <w:autoSpaceDE w:val="0"/>
        <w:autoSpaceDN w:val="0"/>
        <w:adjustRightInd w:val="0"/>
        <w:jc w:val="both"/>
        <w:outlineLvl w:val="0"/>
        <w:rPr>
          <w:b/>
          <w:bCs/>
          <w:color w:val="006600"/>
          <w:sz w:val="22"/>
          <w:szCs w:val="22"/>
        </w:rPr>
      </w:pP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3"/>
        <w:gridCol w:w="1701"/>
        <w:gridCol w:w="1134"/>
      </w:tblGrid>
      <w:tr w:rsidR="0046437E" w14:paraId="448F51C1" w14:textId="77777777" w:rsidTr="001B67DE">
        <w:tc>
          <w:tcPr>
            <w:tcW w:w="3970" w:type="dxa"/>
            <w:tcBorders>
              <w:top w:val="single" w:sz="4" w:space="0" w:color="auto"/>
              <w:left w:val="single" w:sz="4" w:space="0" w:color="auto"/>
              <w:bottom w:val="single" w:sz="4" w:space="0" w:color="auto"/>
              <w:right w:val="single" w:sz="4" w:space="0" w:color="auto"/>
            </w:tcBorders>
            <w:hideMark/>
          </w:tcPr>
          <w:p w14:paraId="12B65503" w14:textId="77777777" w:rsidR="0046437E" w:rsidRDefault="0046437E" w:rsidP="001B67DE">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5954" w:type="dxa"/>
            <w:gridSpan w:val="2"/>
            <w:tcBorders>
              <w:top w:val="single" w:sz="4" w:space="0" w:color="auto"/>
              <w:left w:val="single" w:sz="4" w:space="0" w:color="auto"/>
              <w:bottom w:val="single" w:sz="4" w:space="0" w:color="auto"/>
              <w:right w:val="single" w:sz="4" w:space="0" w:color="auto"/>
            </w:tcBorders>
            <w:hideMark/>
          </w:tcPr>
          <w:p w14:paraId="77E80F21" w14:textId="77777777" w:rsidR="0046437E" w:rsidRDefault="0046437E" w:rsidP="001B67DE">
            <w:pPr>
              <w:autoSpaceDE w:val="0"/>
              <w:autoSpaceDN w:val="0"/>
              <w:adjustRightInd w:val="0"/>
              <w:jc w:val="center"/>
              <w:rPr>
                <w:b/>
                <w:bCs/>
                <w:sz w:val="22"/>
                <w:szCs w:val="22"/>
              </w:rPr>
            </w:pPr>
            <w:r>
              <w:rPr>
                <w:b/>
                <w:bCs/>
                <w:sz w:val="22"/>
                <w:szCs w:val="22"/>
              </w:rPr>
              <w:t>Prix en € HT</w:t>
            </w:r>
          </w:p>
        </w:tc>
        <w:tc>
          <w:tcPr>
            <w:tcW w:w="1134" w:type="dxa"/>
            <w:tcBorders>
              <w:top w:val="single" w:sz="4" w:space="0" w:color="auto"/>
              <w:left w:val="single" w:sz="4" w:space="0" w:color="auto"/>
              <w:bottom w:val="single" w:sz="4" w:space="0" w:color="auto"/>
              <w:right w:val="single" w:sz="4" w:space="0" w:color="auto"/>
            </w:tcBorders>
            <w:hideMark/>
          </w:tcPr>
          <w:p w14:paraId="1C996A4A" w14:textId="77777777" w:rsidR="0046437E" w:rsidRDefault="0046437E" w:rsidP="001B67DE">
            <w:pPr>
              <w:autoSpaceDE w:val="0"/>
              <w:autoSpaceDN w:val="0"/>
              <w:adjustRightInd w:val="0"/>
              <w:jc w:val="center"/>
              <w:rPr>
                <w:b/>
                <w:bCs/>
                <w:sz w:val="22"/>
                <w:szCs w:val="22"/>
              </w:rPr>
            </w:pPr>
            <w:r>
              <w:rPr>
                <w:b/>
                <w:bCs/>
                <w:sz w:val="22"/>
                <w:szCs w:val="22"/>
              </w:rPr>
              <w:t xml:space="preserve">Unité </w:t>
            </w:r>
          </w:p>
        </w:tc>
      </w:tr>
      <w:tr w:rsidR="00D277B4" w14:paraId="31640771" w14:textId="77777777" w:rsidTr="00D277B4">
        <w:trPr>
          <w:trHeight w:val="397"/>
        </w:trPr>
        <w:tc>
          <w:tcPr>
            <w:tcW w:w="3970"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49402DC8" w14:textId="77777777" w:rsidR="00D277B4" w:rsidRPr="007A09E6" w:rsidRDefault="00D277B4" w:rsidP="00D277B4">
            <w:pPr>
              <w:autoSpaceDE w:val="0"/>
              <w:autoSpaceDN w:val="0"/>
              <w:adjustRightInd w:val="0"/>
              <w:jc w:val="both"/>
              <w:rPr>
                <w:b/>
                <w:bCs/>
                <w:sz w:val="22"/>
                <w:szCs w:val="22"/>
              </w:rPr>
            </w:pPr>
            <w:r w:rsidRPr="007A09E6">
              <w:rPr>
                <w:b/>
                <w:bCs/>
              </w:rPr>
              <w:fldChar w:fldCharType="begin">
                <w:ffData>
                  <w:name w:val="CaseACocher51"/>
                  <w:enabled/>
                  <w:calcOnExit w:val="0"/>
                  <w:checkBox>
                    <w:sizeAuto/>
                    <w:default w:val="1"/>
                  </w:checkBox>
                </w:ffData>
              </w:fldChar>
            </w:r>
            <w:bookmarkStart w:id="5" w:name="CaseACocher51"/>
            <w:r w:rsidRPr="007A09E6">
              <w:rPr>
                <w:b/>
                <w:bCs/>
              </w:rPr>
              <w:instrText xml:space="preserve"> FORMCHECKBOX </w:instrText>
            </w:r>
            <w:r w:rsidRPr="007A09E6">
              <w:rPr>
                <w:b/>
                <w:bCs/>
              </w:rPr>
            </w:r>
            <w:r w:rsidRPr="007A09E6">
              <w:rPr>
                <w:b/>
                <w:bCs/>
              </w:rPr>
              <w:fldChar w:fldCharType="separate"/>
            </w:r>
            <w:r w:rsidRPr="007A09E6">
              <w:rPr>
                <w:b/>
                <w:bCs/>
              </w:rPr>
              <w:fldChar w:fldCharType="end"/>
            </w:r>
            <w:bookmarkEnd w:id="5"/>
            <w:r w:rsidRPr="007A09E6">
              <w:rPr>
                <w:b/>
                <w:bCs/>
                <w:sz w:val="22"/>
                <w:szCs w:val="22"/>
              </w:rPr>
              <w:t xml:space="preserve"> Cubage</w:t>
            </w: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E29353D" w14:textId="748DEF67" w:rsidR="00D277B4" w:rsidRDefault="00D277B4" w:rsidP="00D277B4">
            <w:pPr>
              <w:autoSpaceDE w:val="0"/>
              <w:autoSpaceDN w:val="0"/>
              <w:adjustRightInd w:val="0"/>
              <w:rPr>
                <w:b/>
                <w:bCs/>
                <w:sz w:val="22"/>
                <w:szCs w:val="22"/>
              </w:rPr>
            </w:pPr>
            <w:r>
              <w:rPr>
                <w:b/>
                <w:bCs/>
                <w:sz w:val="22"/>
                <w:szCs w:val="22"/>
              </w:rPr>
              <w:t xml:space="preserve">Si utilisation de l’application Smartphone </w:t>
            </w:r>
            <w:r w:rsidRPr="006A3594">
              <w:rPr>
                <w:b/>
                <w:bCs/>
                <w:sz w:val="22"/>
                <w:szCs w:val="22"/>
              </w:rPr>
              <w:t xml:space="preserve">de cubage mise à disposition </w:t>
            </w:r>
            <w:r>
              <w:rPr>
                <w:b/>
                <w:bCs/>
                <w:sz w:val="22"/>
                <w:szCs w:val="22"/>
              </w:rPr>
              <w:t>par l’ONF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DEC27FF" w14:textId="77777777" w:rsidR="00D277B4" w:rsidRDefault="00D277B4" w:rsidP="00D277B4">
            <w:pPr>
              <w:autoSpaceDE w:val="0"/>
              <w:autoSpaceDN w:val="0"/>
              <w:adjustRightInd w:val="0"/>
              <w:jc w:val="center"/>
              <w:rPr>
                <w:b/>
                <w:bCs/>
                <w:sz w:val="22"/>
                <w:szCs w:val="22"/>
              </w:rPr>
            </w:pPr>
            <w:r>
              <w:rPr>
                <w:b/>
                <w:bCs/>
                <w:sz w:val="22"/>
                <w:szCs w:val="22"/>
              </w:rPr>
              <w:t>1,5</w:t>
            </w:r>
          </w:p>
        </w:tc>
        <w:tc>
          <w:tcPr>
            <w:tcW w:w="113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77C73C5F" w14:textId="77777777" w:rsidR="00D277B4" w:rsidRDefault="00D277B4" w:rsidP="00D277B4">
            <w:pPr>
              <w:autoSpaceDE w:val="0"/>
              <w:autoSpaceDN w:val="0"/>
              <w:adjustRightInd w:val="0"/>
              <w:jc w:val="center"/>
              <w:rPr>
                <w:b/>
                <w:bCs/>
                <w:sz w:val="22"/>
                <w:szCs w:val="22"/>
              </w:rPr>
            </w:pPr>
            <w:r>
              <w:rPr>
                <w:b/>
                <w:sz w:val="22"/>
                <w:szCs w:val="22"/>
              </w:rPr>
              <w:t>m</w:t>
            </w:r>
            <w:r>
              <w:rPr>
                <w:b/>
                <w:sz w:val="22"/>
                <w:szCs w:val="22"/>
                <w:vertAlign w:val="superscript"/>
              </w:rPr>
              <w:t>3</w:t>
            </w:r>
          </w:p>
        </w:tc>
      </w:tr>
      <w:tr w:rsidR="00D277B4" w14:paraId="2F37A7C1" w14:textId="77777777" w:rsidTr="00D277B4">
        <w:trPr>
          <w:trHeight w:val="397"/>
        </w:trPr>
        <w:tc>
          <w:tcPr>
            <w:tcW w:w="3970" w:type="dxa"/>
            <w:vMerge/>
            <w:tcBorders>
              <w:left w:val="single" w:sz="4" w:space="0" w:color="auto"/>
              <w:bottom w:val="single" w:sz="4" w:space="0" w:color="auto"/>
              <w:right w:val="single" w:sz="4" w:space="0" w:color="auto"/>
            </w:tcBorders>
            <w:shd w:val="clear" w:color="auto" w:fill="A6A6A6" w:themeFill="background1" w:themeFillShade="A6"/>
          </w:tcPr>
          <w:p w14:paraId="657E4880" w14:textId="77777777" w:rsidR="00D277B4" w:rsidRDefault="00D277B4" w:rsidP="00D277B4">
            <w:pPr>
              <w:autoSpaceDE w:val="0"/>
              <w:autoSpaceDN w:val="0"/>
              <w:adjustRightInd w:val="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B03729" w14:textId="49A02D7A" w:rsidR="00D277B4" w:rsidRDefault="00D277B4" w:rsidP="00D277B4">
            <w:pPr>
              <w:autoSpaceDE w:val="0"/>
              <w:autoSpaceDN w:val="0"/>
              <w:adjustRightInd w:val="0"/>
              <w:jc w:val="both"/>
              <w:rPr>
                <w:b/>
                <w:bCs/>
                <w:sz w:val="22"/>
                <w:szCs w:val="22"/>
              </w:rPr>
            </w:pPr>
            <w:r>
              <w:rPr>
                <w:b/>
                <w:bCs/>
                <w:sz w:val="22"/>
                <w:szCs w:val="22"/>
              </w:rPr>
              <w:t xml:space="preserve">Sinon (application </w:t>
            </w:r>
            <w:proofErr w:type="spellStart"/>
            <w:r>
              <w:rPr>
                <w:b/>
                <w:bCs/>
                <w:sz w:val="22"/>
                <w:szCs w:val="22"/>
              </w:rPr>
              <w:t>Bordcube</w:t>
            </w:r>
            <w:proofErr w:type="spellEnd"/>
            <w:r>
              <w:rPr>
                <w:b/>
                <w:bCs/>
                <w:sz w:val="22"/>
                <w:szCs w:val="22"/>
              </w:rPr>
              <w:t>, autre)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B40DF82" w14:textId="77777777" w:rsidR="00D277B4" w:rsidRDefault="00D277B4" w:rsidP="00D277B4">
            <w:pPr>
              <w:autoSpaceDE w:val="0"/>
              <w:autoSpaceDN w:val="0"/>
              <w:adjustRightInd w:val="0"/>
              <w:jc w:val="center"/>
              <w:rPr>
                <w:b/>
                <w:bCs/>
                <w:sz w:val="22"/>
                <w:szCs w:val="22"/>
              </w:rPr>
            </w:pPr>
            <w:r>
              <w:rPr>
                <w:b/>
                <w:bCs/>
                <w:sz w:val="22"/>
                <w:szCs w:val="22"/>
              </w:rPr>
              <w:t>1</w:t>
            </w:r>
          </w:p>
        </w:tc>
        <w:tc>
          <w:tcPr>
            <w:tcW w:w="113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62CB603B" w14:textId="77777777" w:rsidR="00D277B4" w:rsidRDefault="00D277B4" w:rsidP="00D277B4">
            <w:pPr>
              <w:autoSpaceDE w:val="0"/>
              <w:autoSpaceDN w:val="0"/>
              <w:adjustRightInd w:val="0"/>
              <w:jc w:val="center"/>
              <w:rPr>
                <w:b/>
                <w:sz w:val="22"/>
                <w:szCs w:val="22"/>
              </w:rPr>
            </w:pPr>
          </w:p>
        </w:tc>
      </w:tr>
      <w:tr w:rsidR="00D277B4" w14:paraId="3DE742BE" w14:textId="77777777" w:rsidTr="00D277B4">
        <w:trPr>
          <w:trHeight w:val="397"/>
        </w:trPr>
        <w:tc>
          <w:tcPr>
            <w:tcW w:w="3970"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052B554F" w14:textId="77777777" w:rsidR="00D277B4" w:rsidRPr="007A09E6" w:rsidRDefault="00D277B4" w:rsidP="00D277B4">
            <w:pPr>
              <w:autoSpaceDE w:val="0"/>
              <w:autoSpaceDN w:val="0"/>
              <w:adjustRightInd w:val="0"/>
              <w:jc w:val="both"/>
              <w:rPr>
                <w:b/>
                <w:bCs/>
                <w:sz w:val="22"/>
                <w:szCs w:val="22"/>
              </w:rPr>
            </w:pPr>
            <w:r w:rsidRPr="007A09E6">
              <w:rPr>
                <w:b/>
                <w:bCs/>
              </w:rPr>
              <w:fldChar w:fldCharType="begin">
                <w:ffData>
                  <w:name w:val="CaseACocher52"/>
                  <w:enabled/>
                  <w:calcOnExit w:val="0"/>
                  <w:checkBox>
                    <w:sizeAuto/>
                    <w:default w:val="1"/>
                  </w:checkBox>
                </w:ffData>
              </w:fldChar>
            </w:r>
            <w:bookmarkStart w:id="6" w:name="CaseACocher52"/>
            <w:r w:rsidRPr="007A09E6">
              <w:rPr>
                <w:b/>
                <w:bCs/>
              </w:rPr>
              <w:instrText xml:space="preserve"> FORMCHECKBOX </w:instrText>
            </w:r>
            <w:r w:rsidRPr="007A09E6">
              <w:rPr>
                <w:b/>
                <w:bCs/>
              </w:rPr>
            </w:r>
            <w:r w:rsidRPr="007A09E6">
              <w:rPr>
                <w:b/>
                <w:bCs/>
              </w:rPr>
              <w:fldChar w:fldCharType="separate"/>
            </w:r>
            <w:r w:rsidRPr="007A09E6">
              <w:rPr>
                <w:b/>
                <w:bCs/>
              </w:rPr>
              <w:fldChar w:fldCharType="end"/>
            </w:r>
            <w:bookmarkEnd w:id="6"/>
            <w:r w:rsidRPr="007A09E6">
              <w:rPr>
                <w:b/>
                <w:bCs/>
                <w:sz w:val="22"/>
                <w:szCs w:val="22"/>
              </w:rPr>
              <w:t xml:space="preserve"> Classement</w:t>
            </w: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A746208" w14:textId="361A54B3" w:rsidR="00D277B4" w:rsidRDefault="00D277B4" w:rsidP="00D277B4">
            <w:pPr>
              <w:autoSpaceDE w:val="0"/>
              <w:autoSpaceDN w:val="0"/>
              <w:adjustRightInd w:val="0"/>
              <w:rPr>
                <w:b/>
                <w:bCs/>
                <w:sz w:val="22"/>
                <w:szCs w:val="22"/>
              </w:rPr>
            </w:pPr>
            <w:r>
              <w:rPr>
                <w:b/>
                <w:bCs/>
                <w:sz w:val="22"/>
                <w:szCs w:val="22"/>
              </w:rPr>
              <w:t xml:space="preserve">Si utilisation de l’application Smartphone </w:t>
            </w:r>
            <w:r w:rsidRPr="006A3594">
              <w:rPr>
                <w:b/>
                <w:bCs/>
                <w:sz w:val="22"/>
                <w:szCs w:val="22"/>
              </w:rPr>
              <w:t xml:space="preserve">de cubage mise à disposition </w:t>
            </w:r>
            <w:r>
              <w:rPr>
                <w:b/>
                <w:bCs/>
                <w:sz w:val="22"/>
                <w:szCs w:val="22"/>
              </w:rPr>
              <w:t>par l’ONF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DE1BECD" w14:textId="77777777" w:rsidR="00D277B4" w:rsidRDefault="00D277B4" w:rsidP="00D277B4">
            <w:pPr>
              <w:autoSpaceDE w:val="0"/>
              <w:autoSpaceDN w:val="0"/>
              <w:adjustRightInd w:val="0"/>
              <w:jc w:val="center"/>
              <w:rPr>
                <w:b/>
                <w:bCs/>
                <w:sz w:val="22"/>
                <w:szCs w:val="22"/>
              </w:rPr>
            </w:pPr>
            <w:r>
              <w:rPr>
                <w:b/>
                <w:bCs/>
                <w:sz w:val="22"/>
                <w:szCs w:val="22"/>
              </w:rPr>
              <w:t>1,5</w:t>
            </w:r>
          </w:p>
        </w:tc>
        <w:tc>
          <w:tcPr>
            <w:tcW w:w="113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2861758C" w14:textId="77777777" w:rsidR="00D277B4" w:rsidRPr="007A09E6" w:rsidRDefault="00D277B4" w:rsidP="00D277B4">
            <w:pPr>
              <w:autoSpaceDE w:val="0"/>
              <w:autoSpaceDN w:val="0"/>
              <w:adjustRightInd w:val="0"/>
              <w:jc w:val="center"/>
              <w:rPr>
                <w:b/>
                <w:sz w:val="22"/>
                <w:szCs w:val="22"/>
              </w:rPr>
            </w:pPr>
            <w:r w:rsidRPr="007A09E6">
              <w:rPr>
                <w:b/>
                <w:sz w:val="22"/>
                <w:szCs w:val="22"/>
              </w:rPr>
              <w:t>m</w:t>
            </w:r>
            <w:r w:rsidRPr="007A09E6">
              <w:rPr>
                <w:b/>
                <w:sz w:val="22"/>
                <w:szCs w:val="22"/>
                <w:vertAlign w:val="superscript"/>
              </w:rPr>
              <w:t>3</w:t>
            </w:r>
          </w:p>
        </w:tc>
      </w:tr>
      <w:tr w:rsidR="00D277B4" w14:paraId="350FA064" w14:textId="77777777" w:rsidTr="00D277B4">
        <w:trPr>
          <w:trHeight w:val="397"/>
        </w:trPr>
        <w:tc>
          <w:tcPr>
            <w:tcW w:w="3970" w:type="dxa"/>
            <w:vMerge/>
            <w:tcBorders>
              <w:left w:val="single" w:sz="4" w:space="0" w:color="auto"/>
              <w:bottom w:val="single" w:sz="4" w:space="0" w:color="auto"/>
              <w:right w:val="single" w:sz="4" w:space="0" w:color="auto"/>
            </w:tcBorders>
            <w:shd w:val="clear" w:color="auto" w:fill="A6A6A6" w:themeFill="background1" w:themeFillShade="A6"/>
          </w:tcPr>
          <w:p w14:paraId="6BF8466B" w14:textId="77777777" w:rsidR="00D277B4" w:rsidRDefault="00D277B4" w:rsidP="00D277B4">
            <w:pPr>
              <w:autoSpaceDE w:val="0"/>
              <w:autoSpaceDN w:val="0"/>
              <w:adjustRightInd w:val="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EB25715" w14:textId="704303AD" w:rsidR="00D277B4" w:rsidRDefault="00D277B4" w:rsidP="00D277B4">
            <w:pPr>
              <w:autoSpaceDE w:val="0"/>
              <w:autoSpaceDN w:val="0"/>
              <w:adjustRightInd w:val="0"/>
              <w:jc w:val="both"/>
              <w:rPr>
                <w:b/>
                <w:bCs/>
                <w:sz w:val="22"/>
                <w:szCs w:val="22"/>
              </w:rPr>
            </w:pPr>
            <w:r>
              <w:rPr>
                <w:b/>
                <w:bCs/>
                <w:sz w:val="22"/>
                <w:szCs w:val="22"/>
              </w:rPr>
              <w:t xml:space="preserve">Sinon (application </w:t>
            </w:r>
            <w:proofErr w:type="spellStart"/>
            <w:r>
              <w:rPr>
                <w:b/>
                <w:bCs/>
                <w:sz w:val="22"/>
                <w:szCs w:val="22"/>
              </w:rPr>
              <w:t>Bordcube</w:t>
            </w:r>
            <w:proofErr w:type="spellEnd"/>
            <w:r>
              <w:rPr>
                <w:b/>
                <w:bCs/>
                <w:sz w:val="22"/>
                <w:szCs w:val="22"/>
              </w:rPr>
              <w:t>, autre)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AC37CCD" w14:textId="77777777" w:rsidR="00D277B4" w:rsidRDefault="00D277B4" w:rsidP="00D277B4">
            <w:pPr>
              <w:autoSpaceDE w:val="0"/>
              <w:autoSpaceDN w:val="0"/>
              <w:adjustRightInd w:val="0"/>
              <w:jc w:val="center"/>
              <w:rPr>
                <w:b/>
                <w:bCs/>
                <w:sz w:val="22"/>
                <w:szCs w:val="22"/>
              </w:rPr>
            </w:pPr>
            <w:r>
              <w:rPr>
                <w:b/>
                <w:bCs/>
                <w:sz w:val="22"/>
                <w:szCs w:val="22"/>
              </w:rPr>
              <w:t>1</w:t>
            </w:r>
          </w:p>
        </w:tc>
        <w:tc>
          <w:tcPr>
            <w:tcW w:w="113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0897727B" w14:textId="77777777" w:rsidR="00D277B4" w:rsidRPr="007A09E6" w:rsidRDefault="00D277B4" w:rsidP="00D277B4">
            <w:pPr>
              <w:autoSpaceDE w:val="0"/>
              <w:autoSpaceDN w:val="0"/>
              <w:adjustRightInd w:val="0"/>
              <w:jc w:val="center"/>
              <w:rPr>
                <w:b/>
                <w:sz w:val="22"/>
                <w:szCs w:val="22"/>
              </w:rPr>
            </w:pPr>
          </w:p>
        </w:tc>
      </w:tr>
      <w:tr w:rsidR="006A3594" w14:paraId="7F778DC9"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tcPr>
          <w:p w14:paraId="2BBD145F" w14:textId="2B1E07CE" w:rsidR="006A3594" w:rsidRPr="007A09E6" w:rsidRDefault="00573289" w:rsidP="001B67DE">
            <w:pPr>
              <w:autoSpaceDE w:val="0"/>
              <w:autoSpaceDN w:val="0"/>
              <w:adjustRightInd w:val="0"/>
              <w:jc w:val="both"/>
              <w:rPr>
                <w:b/>
                <w:bCs/>
                <w:sz w:val="22"/>
                <w:szCs w:val="22"/>
              </w:rPr>
            </w:pPr>
            <w:r w:rsidRPr="00797572">
              <w:rPr>
                <w:b/>
                <w:bCs/>
                <w:sz w:val="22"/>
                <w:szCs w:val="22"/>
              </w:rPr>
              <w:fldChar w:fldCharType="begin">
                <w:ffData>
                  <w:name w:val="CaseACocher53"/>
                  <w:enabled/>
                  <w:calcOnExit w:val="0"/>
                  <w:checkBox>
                    <w:sizeAuto/>
                    <w:default w:val="1"/>
                  </w:checkBox>
                </w:ffData>
              </w:fldChar>
            </w:r>
            <w:bookmarkStart w:id="7" w:name="CaseACocher53"/>
            <w:r w:rsidRPr="00797572">
              <w:rPr>
                <w:b/>
                <w:bCs/>
                <w:sz w:val="22"/>
                <w:szCs w:val="22"/>
              </w:rPr>
              <w:instrText xml:space="preserve"> FORMCHECKBOX </w:instrText>
            </w:r>
            <w:r w:rsidRPr="00797572">
              <w:rPr>
                <w:b/>
                <w:bCs/>
                <w:sz w:val="22"/>
                <w:szCs w:val="22"/>
              </w:rPr>
            </w:r>
            <w:r w:rsidRPr="00797572">
              <w:rPr>
                <w:b/>
                <w:bCs/>
                <w:sz w:val="22"/>
                <w:szCs w:val="22"/>
              </w:rPr>
              <w:fldChar w:fldCharType="separate"/>
            </w:r>
            <w:r w:rsidRPr="00797572">
              <w:rPr>
                <w:b/>
                <w:bCs/>
                <w:sz w:val="22"/>
                <w:szCs w:val="22"/>
              </w:rPr>
              <w:fldChar w:fldCharType="end"/>
            </w:r>
            <w:bookmarkEnd w:id="7"/>
            <w:r w:rsidRPr="00797572">
              <w:rPr>
                <w:b/>
                <w:bCs/>
                <w:sz w:val="22"/>
                <w:szCs w:val="22"/>
              </w:rPr>
              <w:t xml:space="preserve"> Façonnage de poteaux échantillonnés  </w:t>
            </w:r>
          </w:p>
        </w:tc>
        <w:tc>
          <w:tcPr>
            <w:tcW w:w="1701" w:type="dxa"/>
            <w:tcBorders>
              <w:left w:val="single" w:sz="4" w:space="0" w:color="auto"/>
              <w:right w:val="single" w:sz="4" w:space="0" w:color="auto"/>
            </w:tcBorders>
            <w:vAlign w:val="center"/>
          </w:tcPr>
          <w:p w14:paraId="0FC35B8E" w14:textId="77777777" w:rsidR="006A3594" w:rsidRDefault="006A3594"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49BFE4C" w14:textId="73329FBA" w:rsidR="006A3594" w:rsidRDefault="00573289" w:rsidP="001B67DE">
            <w:pPr>
              <w:autoSpaceDE w:val="0"/>
              <w:autoSpaceDN w:val="0"/>
              <w:adjustRightInd w:val="0"/>
              <w:jc w:val="center"/>
              <w:rPr>
                <w:b/>
                <w:iCs/>
                <w:color w:val="000000" w:themeColor="text1"/>
                <w:sz w:val="22"/>
                <w:szCs w:val="22"/>
              </w:rPr>
            </w:pPr>
            <w:r>
              <w:rPr>
                <w:b/>
                <w:iCs/>
                <w:color w:val="000000" w:themeColor="text1"/>
                <w:sz w:val="22"/>
                <w:szCs w:val="22"/>
              </w:rPr>
              <w:t>Pièce</w:t>
            </w:r>
          </w:p>
        </w:tc>
      </w:tr>
      <w:tr w:rsidR="0046437E" w14:paraId="519C2FD3"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tcPr>
          <w:p w14:paraId="706763C6" w14:textId="77777777" w:rsidR="0046437E" w:rsidRDefault="0046437E" w:rsidP="001B67DE">
            <w:pPr>
              <w:autoSpaceDE w:val="0"/>
              <w:autoSpaceDN w:val="0"/>
              <w:adjustRightInd w:val="0"/>
              <w:jc w:val="both"/>
              <w:rPr>
                <w:b/>
                <w:bCs/>
                <w:sz w:val="22"/>
                <w:szCs w:val="22"/>
              </w:rPr>
            </w:pPr>
            <w:r w:rsidRPr="007A09E6">
              <w:rPr>
                <w:b/>
                <w:bCs/>
                <w:sz w:val="22"/>
                <w:szCs w:val="22"/>
              </w:rPr>
              <w:fldChar w:fldCharType="begin">
                <w:ffData>
                  <w:name w:val="CaseACocher53"/>
                  <w:enabled/>
                  <w:calcOnExit w:val="0"/>
                  <w:checkBox>
                    <w:sizeAuto/>
                    <w:default w:val="1"/>
                  </w:checkBox>
                </w:ffData>
              </w:fldChar>
            </w:r>
            <w:r w:rsidRPr="007A09E6">
              <w:rPr>
                <w:b/>
                <w:bCs/>
                <w:sz w:val="22"/>
                <w:szCs w:val="22"/>
              </w:rPr>
              <w:instrText xml:space="preserve"> FORMCHECKBOX </w:instrText>
            </w:r>
            <w:r w:rsidRPr="007A09E6">
              <w:rPr>
                <w:b/>
                <w:bCs/>
                <w:sz w:val="22"/>
                <w:szCs w:val="22"/>
              </w:rPr>
            </w:r>
            <w:r w:rsidRPr="007A09E6">
              <w:rPr>
                <w:b/>
                <w:bCs/>
                <w:sz w:val="22"/>
                <w:szCs w:val="22"/>
              </w:rPr>
              <w:fldChar w:fldCharType="separate"/>
            </w:r>
            <w:r w:rsidRPr="007A09E6">
              <w:rPr>
                <w:b/>
                <w:bCs/>
                <w:sz w:val="22"/>
                <w:szCs w:val="22"/>
              </w:rPr>
              <w:fldChar w:fldCharType="end"/>
            </w:r>
            <w:r w:rsidRPr="007A09E6">
              <w:rPr>
                <w:b/>
                <w:bCs/>
                <w:sz w:val="22"/>
                <w:szCs w:val="22"/>
              </w:rPr>
              <w:t xml:space="preserve"> Câblage et sécurisation d’arbres de bordure  </w:t>
            </w:r>
          </w:p>
        </w:tc>
        <w:tc>
          <w:tcPr>
            <w:tcW w:w="1701" w:type="dxa"/>
            <w:tcBorders>
              <w:left w:val="single" w:sz="4" w:space="0" w:color="auto"/>
              <w:right w:val="single" w:sz="4" w:space="0" w:color="auto"/>
            </w:tcBorders>
            <w:vAlign w:val="center"/>
          </w:tcPr>
          <w:p w14:paraId="496B91D3"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3EC61EE6" w14:textId="77777777" w:rsidR="0046437E" w:rsidRDefault="0046437E" w:rsidP="001B67DE">
            <w:pPr>
              <w:autoSpaceDE w:val="0"/>
              <w:autoSpaceDN w:val="0"/>
              <w:adjustRightInd w:val="0"/>
              <w:jc w:val="center"/>
              <w:rPr>
                <w:b/>
                <w:iCs/>
                <w:color w:val="000000" w:themeColor="text1"/>
                <w:sz w:val="22"/>
                <w:szCs w:val="22"/>
              </w:rPr>
            </w:pPr>
            <w:r>
              <w:rPr>
                <w:b/>
                <w:iCs/>
                <w:color w:val="000000" w:themeColor="text1"/>
                <w:sz w:val="22"/>
                <w:szCs w:val="22"/>
              </w:rPr>
              <w:t>T</w:t>
            </w:r>
            <w:r w:rsidRPr="007A09E6">
              <w:rPr>
                <w:b/>
                <w:iCs/>
                <w:color w:val="000000" w:themeColor="text1"/>
                <w:sz w:val="22"/>
                <w:szCs w:val="22"/>
              </w:rPr>
              <w:t>ige</w:t>
            </w:r>
          </w:p>
        </w:tc>
      </w:tr>
      <w:tr w:rsidR="0046437E" w14:paraId="14D232E4"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hideMark/>
          </w:tcPr>
          <w:p w14:paraId="6FE39C6C" w14:textId="4A2A90C4" w:rsidR="0046437E" w:rsidRDefault="0046437E" w:rsidP="001B67DE">
            <w:pPr>
              <w:autoSpaceDE w:val="0"/>
              <w:autoSpaceDN w:val="0"/>
              <w:adjustRightInd w:val="0"/>
              <w:jc w:val="both"/>
              <w:rPr>
                <w:b/>
                <w:bCs/>
                <w:sz w:val="22"/>
                <w:szCs w:val="22"/>
              </w:rPr>
            </w:pPr>
            <w:r w:rsidRPr="007A09E6">
              <w:rPr>
                <w:b/>
                <w:bCs/>
                <w:sz w:val="22"/>
                <w:szCs w:val="22"/>
              </w:rPr>
              <w:fldChar w:fldCharType="begin">
                <w:ffData>
                  <w:name w:val=""/>
                  <w:enabled/>
                  <w:calcOnExit w:val="0"/>
                  <w:checkBox>
                    <w:sizeAuto/>
                    <w:default w:val="1"/>
                  </w:checkBox>
                </w:ffData>
              </w:fldChar>
            </w:r>
            <w:r w:rsidRPr="007A09E6">
              <w:rPr>
                <w:b/>
                <w:bCs/>
                <w:sz w:val="22"/>
                <w:szCs w:val="22"/>
              </w:rPr>
              <w:instrText xml:space="preserve"> FORMCHECKBOX </w:instrText>
            </w:r>
            <w:r w:rsidRPr="007A09E6">
              <w:rPr>
                <w:b/>
                <w:bCs/>
                <w:sz w:val="22"/>
                <w:szCs w:val="22"/>
              </w:rPr>
            </w:r>
            <w:r w:rsidRPr="007A09E6">
              <w:rPr>
                <w:b/>
                <w:bCs/>
                <w:sz w:val="22"/>
                <w:szCs w:val="22"/>
              </w:rPr>
              <w:fldChar w:fldCharType="separate"/>
            </w:r>
            <w:r w:rsidRPr="007A09E6">
              <w:rPr>
                <w:b/>
                <w:bCs/>
                <w:sz w:val="22"/>
                <w:szCs w:val="22"/>
              </w:rPr>
              <w:fldChar w:fldCharType="end"/>
            </w:r>
            <w:r w:rsidRPr="007A09E6">
              <w:rPr>
                <w:b/>
                <w:bCs/>
                <w:sz w:val="22"/>
                <w:szCs w:val="22"/>
              </w:rPr>
              <w:t xml:space="preserve"> Manutention de bois</w:t>
            </w:r>
            <w:r w:rsidR="00573289">
              <w:rPr>
                <w:rStyle w:val="Appelnotedebasdep"/>
                <w:b/>
                <w:bCs/>
                <w:sz w:val="22"/>
                <w:szCs w:val="22"/>
              </w:rPr>
              <w:footnoteReference w:id="2"/>
            </w:r>
          </w:p>
        </w:tc>
        <w:tc>
          <w:tcPr>
            <w:tcW w:w="1701" w:type="dxa"/>
            <w:tcBorders>
              <w:left w:val="single" w:sz="4" w:space="0" w:color="auto"/>
              <w:right w:val="single" w:sz="4" w:space="0" w:color="auto"/>
            </w:tcBorders>
            <w:vAlign w:val="center"/>
          </w:tcPr>
          <w:p w14:paraId="09F4D539"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0A49419" w14:textId="77777777" w:rsidR="0046437E" w:rsidRPr="007A09E6" w:rsidRDefault="0046437E" w:rsidP="001B67DE">
            <w:pPr>
              <w:autoSpaceDE w:val="0"/>
              <w:autoSpaceDN w:val="0"/>
              <w:adjustRightInd w:val="0"/>
              <w:jc w:val="center"/>
              <w:rPr>
                <w:b/>
                <w:iCs/>
                <w:sz w:val="22"/>
                <w:szCs w:val="22"/>
              </w:rPr>
            </w:pPr>
            <w:r>
              <w:rPr>
                <w:b/>
                <w:iCs/>
                <w:sz w:val="22"/>
                <w:szCs w:val="22"/>
              </w:rPr>
              <w:t>Heure</w:t>
            </w:r>
          </w:p>
        </w:tc>
      </w:tr>
      <w:tr w:rsidR="0046437E" w14:paraId="707D295C"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tcPr>
          <w:p w14:paraId="5EF703F5" w14:textId="77777777" w:rsidR="0046437E" w:rsidRDefault="0046437E" w:rsidP="001B67DE">
            <w:pPr>
              <w:autoSpaceDE w:val="0"/>
              <w:autoSpaceDN w:val="0"/>
              <w:adjustRightInd w:val="0"/>
              <w:jc w:val="both"/>
              <w:rPr>
                <w:b/>
                <w:bCs/>
                <w:sz w:val="22"/>
                <w:szCs w:val="22"/>
              </w:rPr>
            </w:pPr>
            <w:r w:rsidRPr="007A09E6">
              <w:rPr>
                <w:b/>
                <w:bCs/>
              </w:rPr>
              <w:fldChar w:fldCharType="begin">
                <w:ffData>
                  <w:name w:val="CaseACocher57"/>
                  <w:enabled/>
                  <w:calcOnExit w:val="0"/>
                  <w:checkBox>
                    <w:sizeAuto/>
                    <w:default w:val="1"/>
                  </w:checkBox>
                </w:ffData>
              </w:fldChar>
            </w:r>
            <w:bookmarkStart w:id="8" w:name="CaseACocher57"/>
            <w:r w:rsidRPr="007A09E6">
              <w:rPr>
                <w:b/>
                <w:bCs/>
              </w:rPr>
              <w:instrText xml:space="preserve"> FORMCHECKBOX </w:instrText>
            </w:r>
            <w:r w:rsidRPr="007A09E6">
              <w:rPr>
                <w:b/>
                <w:bCs/>
              </w:rPr>
            </w:r>
            <w:r w:rsidRPr="007A09E6">
              <w:rPr>
                <w:b/>
                <w:bCs/>
              </w:rPr>
              <w:fldChar w:fldCharType="separate"/>
            </w:r>
            <w:r w:rsidRPr="007A09E6">
              <w:rPr>
                <w:b/>
                <w:bCs/>
              </w:rPr>
              <w:fldChar w:fldCharType="end"/>
            </w:r>
            <w:bookmarkEnd w:id="8"/>
            <w:r w:rsidRPr="007A09E6">
              <w:rPr>
                <w:b/>
                <w:bCs/>
                <w:sz w:val="22"/>
                <w:szCs w:val="22"/>
              </w:rPr>
              <w:t xml:space="preserve"> Travaux de bucheronnage divers</w:t>
            </w:r>
          </w:p>
        </w:tc>
        <w:tc>
          <w:tcPr>
            <w:tcW w:w="1701" w:type="dxa"/>
            <w:tcBorders>
              <w:left w:val="single" w:sz="4" w:space="0" w:color="auto"/>
              <w:bottom w:val="single" w:sz="4" w:space="0" w:color="auto"/>
              <w:right w:val="single" w:sz="4" w:space="0" w:color="auto"/>
            </w:tcBorders>
            <w:vAlign w:val="center"/>
          </w:tcPr>
          <w:p w14:paraId="455FB182"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329AA76" w14:textId="77777777" w:rsidR="0046437E" w:rsidRDefault="0046437E" w:rsidP="001B67DE">
            <w:pPr>
              <w:autoSpaceDE w:val="0"/>
              <w:autoSpaceDN w:val="0"/>
              <w:adjustRightInd w:val="0"/>
              <w:jc w:val="center"/>
              <w:rPr>
                <w:b/>
                <w:bCs/>
                <w:iCs/>
                <w:sz w:val="22"/>
                <w:szCs w:val="22"/>
              </w:rPr>
            </w:pPr>
            <w:r>
              <w:rPr>
                <w:b/>
                <w:bCs/>
                <w:iCs/>
                <w:sz w:val="22"/>
                <w:szCs w:val="22"/>
              </w:rPr>
              <w:t>Heure</w:t>
            </w:r>
          </w:p>
        </w:tc>
      </w:tr>
      <w:tr w:rsidR="0046437E" w14:paraId="5AFEEB74" w14:textId="77777777" w:rsidTr="00D277B4">
        <w:trPr>
          <w:trHeight w:val="1077"/>
        </w:trPr>
        <w:tc>
          <w:tcPr>
            <w:tcW w:w="3970" w:type="dxa"/>
            <w:vMerge w:val="restart"/>
            <w:tcBorders>
              <w:top w:val="single" w:sz="4" w:space="0" w:color="auto"/>
              <w:left w:val="single" w:sz="4" w:space="0" w:color="auto"/>
              <w:right w:val="single" w:sz="4" w:space="0" w:color="auto"/>
            </w:tcBorders>
            <w:vAlign w:val="center"/>
          </w:tcPr>
          <w:p w14:paraId="0CA8ACFB" w14:textId="77777777" w:rsidR="0046437E" w:rsidRPr="007A09E6" w:rsidRDefault="0046437E" w:rsidP="001B67DE">
            <w:pPr>
              <w:autoSpaceDE w:val="0"/>
              <w:autoSpaceDN w:val="0"/>
              <w:adjustRightInd w:val="0"/>
              <w:rPr>
                <w:b/>
                <w:bCs/>
                <w:sz w:val="22"/>
                <w:szCs w:val="22"/>
              </w:rPr>
            </w:pPr>
            <w:r w:rsidRPr="007A09E6">
              <w:rPr>
                <w:b/>
                <w:bCs/>
              </w:rPr>
              <w:fldChar w:fldCharType="begin">
                <w:ffData>
                  <w:name w:val=""/>
                  <w:enabled/>
                  <w:calcOnExit w:val="0"/>
                  <w:checkBox>
                    <w:sizeAuto/>
                    <w:default w:val="1"/>
                  </w:checkBox>
                </w:ffData>
              </w:fldChar>
            </w:r>
            <w:r w:rsidRPr="007A09E6">
              <w:rPr>
                <w:b/>
                <w:bCs/>
              </w:rPr>
              <w:instrText xml:space="preserve"> FORMCHECKBOX </w:instrText>
            </w:r>
            <w:r w:rsidRPr="007A09E6">
              <w:rPr>
                <w:b/>
                <w:bCs/>
              </w:rPr>
            </w:r>
            <w:r w:rsidRPr="007A09E6">
              <w:rPr>
                <w:b/>
                <w:bCs/>
              </w:rPr>
              <w:fldChar w:fldCharType="separate"/>
            </w:r>
            <w:r w:rsidRPr="007A09E6">
              <w:rPr>
                <w:b/>
                <w:bCs/>
              </w:rPr>
              <w:fldChar w:fldCharType="end"/>
            </w:r>
            <w:r w:rsidRPr="007A09E6">
              <w:rPr>
                <w:b/>
                <w:bCs/>
              </w:rPr>
              <w:t xml:space="preserve"> </w:t>
            </w:r>
            <w:r w:rsidRPr="007A09E6">
              <w:rPr>
                <w:b/>
                <w:bCs/>
                <w:sz w:val="22"/>
                <w:szCs w:val="22"/>
              </w:rPr>
              <w:t>Travaux de remise en état et/ou aménagement de piste et place de dépôt</w:t>
            </w:r>
          </w:p>
        </w:tc>
        <w:tc>
          <w:tcPr>
            <w:tcW w:w="4253" w:type="dxa"/>
            <w:tcBorders>
              <w:top w:val="single" w:sz="4" w:space="0" w:color="auto"/>
              <w:left w:val="single" w:sz="4" w:space="0" w:color="auto"/>
              <w:right w:val="single" w:sz="4" w:space="0" w:color="auto"/>
            </w:tcBorders>
            <w:vAlign w:val="center"/>
          </w:tcPr>
          <w:p w14:paraId="3E00DBA5" w14:textId="77777777" w:rsidR="0046437E" w:rsidRDefault="0046437E" w:rsidP="001B67DE">
            <w:pPr>
              <w:autoSpaceDE w:val="0"/>
              <w:autoSpaceDN w:val="0"/>
              <w:adjustRightInd w:val="0"/>
              <w:jc w:val="center"/>
              <w:rPr>
                <w:b/>
                <w:bCs/>
                <w:sz w:val="22"/>
                <w:szCs w:val="22"/>
              </w:rPr>
            </w:pPr>
            <w:r w:rsidRPr="007A09E6">
              <w:rPr>
                <w:b/>
                <w:bCs/>
                <w:sz w:val="22"/>
                <w:szCs w:val="22"/>
              </w:rPr>
              <w:t>Pelle ≤ 7 tonnes</w:t>
            </w:r>
          </w:p>
        </w:tc>
        <w:tc>
          <w:tcPr>
            <w:tcW w:w="1701" w:type="dxa"/>
            <w:tcBorders>
              <w:top w:val="single" w:sz="4" w:space="0" w:color="auto"/>
              <w:left w:val="single" w:sz="4" w:space="0" w:color="auto"/>
              <w:right w:val="single" w:sz="4" w:space="0" w:color="auto"/>
            </w:tcBorders>
            <w:vAlign w:val="center"/>
          </w:tcPr>
          <w:p w14:paraId="41F72734"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right w:val="single" w:sz="4" w:space="0" w:color="auto"/>
            </w:tcBorders>
            <w:vAlign w:val="center"/>
          </w:tcPr>
          <w:p w14:paraId="41A7BCB3" w14:textId="77777777" w:rsidR="0046437E" w:rsidRDefault="0046437E" w:rsidP="001B67DE">
            <w:pPr>
              <w:autoSpaceDE w:val="0"/>
              <w:autoSpaceDN w:val="0"/>
              <w:adjustRightInd w:val="0"/>
              <w:jc w:val="center"/>
              <w:rPr>
                <w:b/>
                <w:bCs/>
                <w:iCs/>
                <w:sz w:val="22"/>
                <w:szCs w:val="22"/>
              </w:rPr>
            </w:pPr>
            <w:r>
              <w:rPr>
                <w:b/>
                <w:bCs/>
                <w:iCs/>
                <w:sz w:val="22"/>
                <w:szCs w:val="22"/>
              </w:rPr>
              <w:t>Heure</w:t>
            </w:r>
          </w:p>
        </w:tc>
      </w:tr>
      <w:tr w:rsidR="0046437E" w14:paraId="414C263B" w14:textId="77777777" w:rsidTr="00D277B4">
        <w:trPr>
          <w:trHeight w:val="1077"/>
        </w:trPr>
        <w:tc>
          <w:tcPr>
            <w:tcW w:w="3970" w:type="dxa"/>
            <w:vMerge/>
            <w:tcBorders>
              <w:left w:val="single" w:sz="4" w:space="0" w:color="auto"/>
              <w:bottom w:val="single" w:sz="4" w:space="0" w:color="auto"/>
              <w:right w:val="single" w:sz="4" w:space="0" w:color="auto"/>
            </w:tcBorders>
          </w:tcPr>
          <w:p w14:paraId="009BA579" w14:textId="77777777" w:rsidR="0046437E" w:rsidRPr="007A09E6" w:rsidRDefault="0046437E" w:rsidP="001B67DE">
            <w:pPr>
              <w:autoSpaceDE w:val="0"/>
              <w:autoSpaceDN w:val="0"/>
              <w:adjustRightInd w:val="0"/>
              <w:jc w:val="center"/>
              <w:rPr>
                <w:b/>
                <w:bCs/>
              </w:rPr>
            </w:pPr>
          </w:p>
        </w:tc>
        <w:tc>
          <w:tcPr>
            <w:tcW w:w="4253" w:type="dxa"/>
            <w:tcBorders>
              <w:left w:val="single" w:sz="4" w:space="0" w:color="auto"/>
              <w:bottom w:val="single" w:sz="4" w:space="0" w:color="auto"/>
              <w:right w:val="single" w:sz="4" w:space="0" w:color="auto"/>
            </w:tcBorders>
            <w:vAlign w:val="center"/>
          </w:tcPr>
          <w:p w14:paraId="6E27CEBF" w14:textId="77777777" w:rsidR="0046437E" w:rsidRDefault="0046437E" w:rsidP="001B67DE">
            <w:pPr>
              <w:autoSpaceDE w:val="0"/>
              <w:autoSpaceDN w:val="0"/>
              <w:adjustRightInd w:val="0"/>
              <w:jc w:val="center"/>
              <w:rPr>
                <w:b/>
                <w:bCs/>
                <w:sz w:val="22"/>
                <w:szCs w:val="22"/>
              </w:rPr>
            </w:pPr>
            <w:r w:rsidRPr="007A09E6">
              <w:rPr>
                <w:b/>
                <w:bCs/>
                <w:sz w:val="22"/>
                <w:szCs w:val="22"/>
              </w:rPr>
              <w:t xml:space="preserve">Pelle </w:t>
            </w:r>
            <w:r>
              <w:rPr>
                <w:b/>
                <w:bCs/>
                <w:sz w:val="22"/>
                <w:szCs w:val="22"/>
              </w:rPr>
              <w:t>&gt;</w:t>
            </w:r>
            <w:r w:rsidRPr="007A09E6">
              <w:rPr>
                <w:b/>
                <w:bCs/>
                <w:sz w:val="22"/>
                <w:szCs w:val="22"/>
              </w:rPr>
              <w:t xml:space="preserve"> 7 tonnes</w:t>
            </w:r>
          </w:p>
        </w:tc>
        <w:tc>
          <w:tcPr>
            <w:tcW w:w="1701" w:type="dxa"/>
            <w:tcBorders>
              <w:left w:val="single" w:sz="4" w:space="0" w:color="auto"/>
              <w:bottom w:val="single" w:sz="4" w:space="0" w:color="auto"/>
              <w:right w:val="single" w:sz="4" w:space="0" w:color="auto"/>
            </w:tcBorders>
            <w:vAlign w:val="center"/>
          </w:tcPr>
          <w:p w14:paraId="083373A5" w14:textId="77777777" w:rsidR="0046437E" w:rsidRDefault="0046437E" w:rsidP="001B67DE">
            <w:pPr>
              <w:autoSpaceDE w:val="0"/>
              <w:autoSpaceDN w:val="0"/>
              <w:adjustRightInd w:val="0"/>
              <w:jc w:val="both"/>
              <w:rPr>
                <w:b/>
                <w:bCs/>
                <w:sz w:val="22"/>
                <w:szCs w:val="22"/>
              </w:rPr>
            </w:pPr>
          </w:p>
        </w:tc>
        <w:tc>
          <w:tcPr>
            <w:tcW w:w="1134" w:type="dxa"/>
            <w:tcBorders>
              <w:left w:val="single" w:sz="4" w:space="0" w:color="auto"/>
              <w:bottom w:val="single" w:sz="4" w:space="0" w:color="auto"/>
              <w:right w:val="single" w:sz="4" w:space="0" w:color="auto"/>
            </w:tcBorders>
            <w:vAlign w:val="center"/>
          </w:tcPr>
          <w:p w14:paraId="38E84281" w14:textId="77777777" w:rsidR="0046437E" w:rsidRDefault="0046437E" w:rsidP="001B67DE">
            <w:pPr>
              <w:autoSpaceDE w:val="0"/>
              <w:autoSpaceDN w:val="0"/>
              <w:adjustRightInd w:val="0"/>
              <w:jc w:val="center"/>
              <w:rPr>
                <w:b/>
                <w:bCs/>
                <w:iCs/>
                <w:sz w:val="22"/>
                <w:szCs w:val="22"/>
              </w:rPr>
            </w:pPr>
            <w:r>
              <w:rPr>
                <w:b/>
                <w:bCs/>
                <w:iCs/>
                <w:sz w:val="22"/>
                <w:szCs w:val="22"/>
              </w:rPr>
              <w:t>Heure</w:t>
            </w:r>
          </w:p>
        </w:tc>
      </w:tr>
    </w:tbl>
    <w:p w14:paraId="3287B155" w14:textId="288FFFC9" w:rsidR="006A3594" w:rsidRPr="006A3594" w:rsidRDefault="006A3594" w:rsidP="006A3594">
      <w:pPr>
        <w:tabs>
          <w:tab w:val="left" w:pos="1450"/>
        </w:tabs>
      </w:pPr>
    </w:p>
    <w:sectPr w:rsidR="006A3594" w:rsidRPr="006A3594" w:rsidSect="00F75A09">
      <w:footerReference w:type="default" r:id="rId14"/>
      <w:type w:val="continuous"/>
      <w:pgSz w:w="11906" w:h="16838"/>
      <w:pgMar w:top="1417" w:right="1417" w:bottom="1417" w:left="1417" w:header="708" w:footer="93" w:gutter="0"/>
      <w:cols w:space="709" w:equalWidth="0">
        <w:col w:w="9406"/>
      </w:cols>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BELLIER Henri" w:date="2024-10-10T09:09:00Z" w:initials="BH">
    <w:p w14:paraId="361BED2C" w14:textId="77777777" w:rsidR="00573289" w:rsidRDefault="00573289" w:rsidP="00573289">
      <w:pPr>
        <w:pStyle w:val="Commentaire"/>
      </w:pPr>
      <w:r>
        <w:rPr>
          <w:rStyle w:val="Marquedecommentaire"/>
        </w:rPr>
        <w:annotationRef/>
      </w:r>
      <w:r>
        <w:t>A ne pas soumettre à la revalorisation indiciaire annuelle</w:t>
      </w:r>
    </w:p>
  </w:comment>
  <w:comment w:id="3" w:author="BELLIER Henri" w:date="2024-10-10T09:09:00Z" w:initials="BH">
    <w:p w14:paraId="68669024" w14:textId="77777777" w:rsidR="00573289" w:rsidRDefault="00573289" w:rsidP="00573289">
      <w:pPr>
        <w:pStyle w:val="Commentaire"/>
      </w:pPr>
      <w:r>
        <w:rPr>
          <w:rStyle w:val="Marquedecommentaire"/>
        </w:rPr>
        <w:annotationRef/>
      </w:r>
      <w:r>
        <w:t>A ne pas soumettre à la revalorisation indiciaire annuelle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1BED2C" w15:done="0"/>
  <w15:commentEx w15:paraId="686690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1DCB11" w16cex:dateUtc="2024-10-10T07:09:00Z"/>
  <w16cex:commentExtensible w16cex:durableId="3FC67CFA" w16cex:dateUtc="2024-10-10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1BED2C" w16cid:durableId="6A1DCB11"/>
  <w16cid:commentId w16cid:paraId="68669024" w16cid:durableId="3FC67C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53"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69"/>
      <w:gridCol w:w="3099"/>
      <w:gridCol w:w="473"/>
      <w:gridCol w:w="3753"/>
      <w:gridCol w:w="162"/>
      <w:gridCol w:w="169"/>
      <w:gridCol w:w="216"/>
      <w:gridCol w:w="405"/>
      <w:gridCol w:w="269"/>
      <w:gridCol w:w="404"/>
      <w:gridCol w:w="934"/>
    </w:tblGrid>
    <w:tr w:rsidR="009138D9" w:rsidRPr="00F75A09" w14:paraId="03A7511C" w14:textId="77777777" w:rsidTr="004B3F6D">
      <w:trPr>
        <w:trHeight w:hRule="exact" w:val="703"/>
      </w:trPr>
      <w:tc>
        <w:tcPr>
          <w:tcW w:w="270" w:type="dxa"/>
          <w:tcBorders>
            <w:top w:val="single" w:sz="18" w:space="0" w:color="339933"/>
            <w:bottom w:val="single" w:sz="18" w:space="0" w:color="339933"/>
          </w:tcBorders>
          <w:shd w:val="clear" w:color="auto" w:fill="339933"/>
          <w:vAlign w:val="center"/>
        </w:tcPr>
        <w:p w14:paraId="76938B21" w14:textId="7825C33E" w:rsidR="009138D9" w:rsidRPr="00F75A09" w:rsidRDefault="009138D9" w:rsidP="00CC5D3C">
          <w:pPr>
            <w:ind w:left="-483" w:firstLine="483"/>
            <w:jc w:val="center"/>
            <w:rPr>
              <w:rFonts w:ascii="Arial" w:hAnsi="Arial" w:cs="Arial"/>
              <w:sz w:val="20"/>
            </w:rPr>
          </w:pPr>
        </w:p>
      </w:tc>
      <w:tc>
        <w:tcPr>
          <w:tcW w:w="3102" w:type="dxa"/>
          <w:tcBorders>
            <w:top w:val="single" w:sz="18" w:space="0" w:color="339933"/>
            <w:bottom w:val="single" w:sz="18" w:space="0" w:color="339933"/>
          </w:tcBorders>
          <w:shd w:val="clear" w:color="FFFF00" w:fill="auto"/>
          <w:vAlign w:val="center"/>
        </w:tcPr>
        <w:p w14:paraId="154D6ECC" w14:textId="43BBD7F7" w:rsidR="009138D9" w:rsidRPr="00F75A09" w:rsidRDefault="009138D9" w:rsidP="00CC5D3C">
          <w:pPr>
            <w:jc w:val="center"/>
            <w:rPr>
              <w:rFonts w:ascii="Arial" w:hAnsi="Arial" w:cs="Arial"/>
              <w:b/>
              <w:bCs/>
              <w:sz w:val="20"/>
            </w:rPr>
          </w:pPr>
          <w:r w:rsidRPr="00F75A09">
            <w:rPr>
              <w:rFonts w:ascii="Arial" w:hAnsi="Arial" w:cs="Arial"/>
              <w:b/>
              <w:bCs/>
              <w:sz w:val="20"/>
            </w:rPr>
            <w:t xml:space="preserve">Marché </w:t>
          </w:r>
          <w:r w:rsidRPr="005910CA">
            <w:rPr>
              <w:rFonts w:ascii="Arial" w:hAnsi="Arial" w:cs="Arial"/>
              <w:b/>
              <w:bCs/>
              <w:sz w:val="20"/>
            </w:rPr>
            <w:t>n°20</w:t>
          </w:r>
          <w:r w:rsidR="00BE15F3" w:rsidRPr="005910CA">
            <w:rPr>
              <w:rFonts w:ascii="Arial" w:hAnsi="Arial" w:cs="Arial"/>
              <w:b/>
              <w:bCs/>
              <w:sz w:val="20"/>
            </w:rPr>
            <w:t>2</w:t>
          </w:r>
          <w:r w:rsidR="00C11084">
            <w:rPr>
              <w:rFonts w:ascii="Arial" w:hAnsi="Arial" w:cs="Arial"/>
              <w:b/>
              <w:bCs/>
              <w:sz w:val="20"/>
            </w:rPr>
            <w:t>4</w:t>
          </w:r>
          <w:r w:rsidRPr="005910CA">
            <w:rPr>
              <w:rFonts w:ascii="Arial" w:hAnsi="Arial" w:cs="Arial"/>
              <w:b/>
              <w:bCs/>
              <w:sz w:val="20"/>
            </w:rPr>
            <w:t>-</w:t>
          </w:r>
          <w:r w:rsidR="00BE15F3" w:rsidRPr="005910CA">
            <w:rPr>
              <w:rFonts w:ascii="Arial" w:hAnsi="Arial" w:cs="Arial"/>
              <w:b/>
              <w:bCs/>
              <w:sz w:val="20"/>
            </w:rPr>
            <w:t>88</w:t>
          </w:r>
          <w:r w:rsidR="005910CA" w:rsidRPr="005910CA">
            <w:rPr>
              <w:rFonts w:ascii="Arial" w:hAnsi="Arial" w:cs="Arial"/>
              <w:b/>
              <w:bCs/>
              <w:sz w:val="20"/>
            </w:rPr>
            <w:t>45</w:t>
          </w:r>
          <w:r w:rsidRPr="005910CA">
            <w:rPr>
              <w:rFonts w:ascii="Arial" w:hAnsi="Arial" w:cs="Arial"/>
              <w:b/>
              <w:bCs/>
              <w:sz w:val="20"/>
            </w:rPr>
            <w:t>-</w:t>
          </w:r>
          <w:r w:rsidR="00BE15F3" w:rsidRPr="005910CA">
            <w:rPr>
              <w:rFonts w:ascii="Arial" w:hAnsi="Arial" w:cs="Arial"/>
              <w:b/>
              <w:bCs/>
              <w:sz w:val="20"/>
            </w:rPr>
            <w:t>02</w:t>
          </w:r>
          <w:r w:rsidR="00C11084">
            <w:rPr>
              <w:rFonts w:ascii="Arial" w:hAnsi="Arial" w:cs="Arial"/>
              <w:b/>
              <w:bCs/>
              <w:sz w:val="20"/>
            </w:rPr>
            <w:t>8</w:t>
          </w:r>
        </w:p>
      </w:tc>
      <w:tc>
        <w:tcPr>
          <w:tcW w:w="473"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756" w:type="dxa"/>
          <w:tcBorders>
            <w:top w:val="single" w:sz="18" w:space="0" w:color="339933"/>
            <w:bottom w:val="single" w:sz="18" w:space="0" w:color="339933"/>
          </w:tcBorders>
          <w:shd w:val="clear" w:color="FFFF00" w:fill="auto"/>
          <w:vAlign w:val="center"/>
        </w:tcPr>
        <w:p w14:paraId="5BF83CB7" w14:textId="58F9AA25" w:rsidR="009138D9" w:rsidRPr="00F75A09" w:rsidRDefault="009138D9" w:rsidP="004B3F6D">
          <w:pPr>
            <w:tabs>
              <w:tab w:val="left" w:pos="188"/>
            </w:tabs>
            <w:ind w:left="-379" w:right="-567" w:hanging="284"/>
            <w:jc w:val="center"/>
            <w:rPr>
              <w:rFonts w:ascii="Arial" w:hAnsi="Arial" w:cs="Arial"/>
              <w:b/>
              <w:bCs/>
              <w:sz w:val="20"/>
            </w:rPr>
          </w:pPr>
          <w:r w:rsidRPr="00F75A09">
            <w:rPr>
              <w:rFonts w:ascii="Arial" w:hAnsi="Arial" w:cs="Arial"/>
              <w:b/>
              <w:bCs/>
              <w:sz w:val="20"/>
            </w:rPr>
            <w:t>BPU</w:t>
          </w:r>
          <w:r w:rsidR="005910CA">
            <w:rPr>
              <w:rFonts w:ascii="Arial" w:hAnsi="Arial" w:cs="Arial"/>
              <w:b/>
              <w:bCs/>
              <w:sz w:val="20"/>
            </w:rPr>
            <w:t xml:space="preserve"> | Lot n°</w:t>
          </w:r>
          <w:r w:rsidR="00573289">
            <w:rPr>
              <w:rFonts w:ascii="Arial" w:hAnsi="Arial" w:cs="Arial"/>
              <w:b/>
              <w:bCs/>
              <w:sz w:val="20"/>
            </w:rPr>
            <w:t>21</w:t>
          </w:r>
        </w:p>
      </w:tc>
      <w:tc>
        <w:tcPr>
          <w:tcW w:w="154"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69"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216"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4B3F6D">
          <w:pPr>
            <w:rPr>
              <w:rFonts w:ascii="Arial" w:hAnsi="Arial" w:cs="Arial"/>
              <w:sz w:val="20"/>
            </w:rPr>
          </w:pPr>
        </w:p>
      </w:tc>
      <w:tc>
        <w:tcPr>
          <w:tcW w:w="405"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26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04"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935"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4B3F6D">
          <w:pPr>
            <w:ind w:left="-465"/>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 w:id="1">
    <w:p w14:paraId="5CA02627" w14:textId="01699812" w:rsidR="00573289" w:rsidRDefault="00573289">
      <w:pPr>
        <w:pStyle w:val="Notedebasdepage"/>
      </w:pPr>
      <w:r>
        <w:rPr>
          <w:rStyle w:val="Appelnotedebasdep"/>
        </w:rPr>
        <w:footnoteRef/>
      </w:r>
      <w:r>
        <w:t xml:space="preserve"> m3a : mètre cube apparent (« stère »)</w:t>
      </w:r>
    </w:p>
  </w:footnote>
  <w:footnote w:id="2">
    <w:p w14:paraId="212DDB6A" w14:textId="57527265" w:rsidR="00573289" w:rsidRDefault="00573289" w:rsidP="00573289">
      <w:pPr>
        <w:pStyle w:val="Notedebasdepage"/>
      </w:pPr>
      <w:r>
        <w:rPr>
          <w:rStyle w:val="Appelnotedebasdep"/>
        </w:rPr>
        <w:footnoteRef/>
      </w:r>
      <w:r>
        <w:t xml:space="preserve"> Dans l’éventualité d’une commande demandant le traitement de p</w:t>
      </w:r>
      <w:r w:rsidRPr="00573289">
        <w:t xml:space="preserve">roduits non </w:t>
      </w:r>
      <w:proofErr w:type="spellStart"/>
      <w:r w:rsidRPr="00573289">
        <w:t>stérables</w:t>
      </w:r>
      <w:proofErr w:type="spellEnd"/>
      <w:r w:rsidRPr="00573289">
        <w:t xml:space="preserve"> du fait de leur foisonnement (houppiers)</w:t>
      </w:r>
      <w:r>
        <w:t>, la réception des prestations d’abattage-façonnage et de débardage s’effectuera sur la base :</w:t>
      </w:r>
    </w:p>
    <w:p w14:paraId="774741C1" w14:textId="77777777" w:rsidR="00573289" w:rsidRDefault="00573289" w:rsidP="00573289">
      <w:pPr>
        <w:pStyle w:val="Notedebasdepage"/>
      </w:pPr>
    </w:p>
    <w:p w14:paraId="03B27790" w14:textId="3E31B70F" w:rsidR="00573289" w:rsidRDefault="00573289" w:rsidP="001A0FA8">
      <w:pPr>
        <w:pStyle w:val="Notedebasdepage"/>
        <w:numPr>
          <w:ilvl w:val="0"/>
          <w:numId w:val="28"/>
        </w:numPr>
      </w:pPr>
      <w:r>
        <w:t>de la quantité pesée dans le cas où le(s) titulaire(s) dispose(nt) d’un dispositif embarqué sur l’engin de débardage (« peson porteur ») avec application du coefficient de conversion en vigueur pour convertir cette masse (tonnes) en volume d’encombrement (m3a) ;</w:t>
      </w:r>
    </w:p>
    <w:p w14:paraId="70A178E5" w14:textId="77777777" w:rsidR="00573289" w:rsidRDefault="00573289" w:rsidP="00573289">
      <w:pPr>
        <w:pStyle w:val="Notedebasdepage"/>
      </w:pPr>
    </w:p>
    <w:p w14:paraId="5E008704" w14:textId="094919BA" w:rsidR="00573289" w:rsidRPr="00437C90" w:rsidRDefault="00573289" w:rsidP="001A0FA8">
      <w:pPr>
        <w:pStyle w:val="Notedebasdepage"/>
        <w:numPr>
          <w:ilvl w:val="0"/>
          <w:numId w:val="28"/>
        </w:numPr>
        <w:rPr>
          <w:u w:val="single"/>
        </w:rPr>
      </w:pPr>
      <w:r w:rsidRPr="00437C90">
        <w:rPr>
          <w:u w:val="single"/>
        </w:rPr>
        <w:t>à défaut, du temps (en heures) de manutention de bois déclaré par le(s) titulaire(s) respectivement pour l’abattage-façonnage et le débardage.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34931DC"/>
    <w:multiLevelType w:val="hybridMultilevel"/>
    <w:tmpl w:val="FE86295A"/>
    <w:lvl w:ilvl="0" w:tplc="744AC804">
      <w:start w:val="14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E4404E"/>
    <w:multiLevelType w:val="hybridMultilevel"/>
    <w:tmpl w:val="785CF888"/>
    <w:lvl w:ilvl="0" w:tplc="3B14F9D2">
      <w:start w:val="143"/>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03959DE"/>
    <w:multiLevelType w:val="hybridMultilevel"/>
    <w:tmpl w:val="A1FA8B2E"/>
    <w:lvl w:ilvl="0" w:tplc="040C0005">
      <w:start w:val="1"/>
      <w:numFmt w:val="bullet"/>
      <w:lvlText w:val=""/>
      <w:lvlJc w:val="left"/>
      <w:pPr>
        <w:ind w:left="1065" w:hanging="705"/>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FB43DF1"/>
    <w:multiLevelType w:val="hybridMultilevel"/>
    <w:tmpl w:val="75FA8E16"/>
    <w:lvl w:ilvl="0" w:tplc="3B14F9D2">
      <w:start w:val="143"/>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5C06345"/>
    <w:multiLevelType w:val="hybridMultilevel"/>
    <w:tmpl w:val="62D0405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E37745"/>
    <w:multiLevelType w:val="hybridMultilevel"/>
    <w:tmpl w:val="DFC8A3F8"/>
    <w:lvl w:ilvl="0" w:tplc="1470713E">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4A55C5"/>
    <w:multiLevelType w:val="hybridMultilevel"/>
    <w:tmpl w:val="E8F4941A"/>
    <w:lvl w:ilvl="0" w:tplc="25C2F674">
      <w:start w:val="3"/>
      <w:numFmt w:val="bullet"/>
      <w:lvlText w:val="-"/>
      <w:lvlJc w:val="left"/>
      <w:pPr>
        <w:ind w:left="720" w:hanging="360"/>
      </w:pPr>
      <w:rPr>
        <w:rFonts w:ascii="Times New Roman" w:hAnsi="Times New Roman" w:hint="default"/>
        <w:color w:val="FF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6"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5A69D1"/>
    <w:multiLevelType w:val="hybridMultilevel"/>
    <w:tmpl w:val="4CB2B75E"/>
    <w:lvl w:ilvl="0" w:tplc="FD70629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16cid:durableId="1615214132">
    <w:abstractNumId w:val="21"/>
  </w:num>
  <w:num w:numId="2" w16cid:durableId="618031584">
    <w:abstractNumId w:val="7"/>
  </w:num>
  <w:num w:numId="3" w16cid:durableId="1828982881">
    <w:abstractNumId w:val="9"/>
  </w:num>
  <w:num w:numId="4" w16cid:durableId="845246864">
    <w:abstractNumId w:val="5"/>
  </w:num>
  <w:num w:numId="5" w16cid:durableId="1292830715">
    <w:abstractNumId w:val="19"/>
  </w:num>
  <w:num w:numId="6" w16cid:durableId="14187412">
    <w:abstractNumId w:val="24"/>
  </w:num>
  <w:num w:numId="7" w16cid:durableId="1431004365">
    <w:abstractNumId w:val="12"/>
  </w:num>
  <w:num w:numId="8" w16cid:durableId="2007904445">
    <w:abstractNumId w:val="17"/>
  </w:num>
  <w:num w:numId="9" w16cid:durableId="1624850583">
    <w:abstractNumId w:val="25"/>
  </w:num>
  <w:num w:numId="10" w16cid:durableId="481502014">
    <w:abstractNumId w:val="23"/>
  </w:num>
  <w:num w:numId="11" w16cid:durableId="1645695069">
    <w:abstractNumId w:val="4"/>
  </w:num>
  <w:num w:numId="12" w16cid:durableId="451945163">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684945092">
    <w:abstractNumId w:val="13"/>
  </w:num>
  <w:num w:numId="14" w16cid:durableId="759256387">
    <w:abstractNumId w:val="26"/>
  </w:num>
  <w:num w:numId="15" w16cid:durableId="628244019">
    <w:abstractNumId w:val="14"/>
  </w:num>
  <w:num w:numId="16" w16cid:durableId="1540623427">
    <w:abstractNumId w:val="11"/>
  </w:num>
  <w:num w:numId="17" w16cid:durableId="1728917693">
    <w:abstractNumId w:val="20"/>
  </w:num>
  <w:num w:numId="18" w16cid:durableId="558249935">
    <w:abstractNumId w:val="10"/>
  </w:num>
  <w:num w:numId="19" w16cid:durableId="1743287330">
    <w:abstractNumId w:val="2"/>
  </w:num>
  <w:num w:numId="20" w16cid:durableId="904412132">
    <w:abstractNumId w:val="11"/>
  </w:num>
  <w:num w:numId="21" w16cid:durableId="786126307">
    <w:abstractNumId w:val="22"/>
  </w:num>
  <w:num w:numId="22" w16cid:durableId="395469328">
    <w:abstractNumId w:val="1"/>
  </w:num>
  <w:num w:numId="23" w16cid:durableId="1396852799">
    <w:abstractNumId w:val="15"/>
  </w:num>
  <w:num w:numId="24" w16cid:durableId="447512057">
    <w:abstractNumId w:val="3"/>
  </w:num>
  <w:num w:numId="25" w16cid:durableId="397165605">
    <w:abstractNumId w:val="6"/>
  </w:num>
  <w:num w:numId="26" w16cid:durableId="795026342">
    <w:abstractNumId w:val="18"/>
  </w:num>
  <w:num w:numId="27" w16cid:durableId="2000696935">
    <w:abstractNumId w:val="8"/>
  </w:num>
  <w:num w:numId="28" w16cid:durableId="725302391">
    <w:abstractNumId w:val="16"/>
  </w:num>
  <w:num w:numId="29" w16cid:durableId="1260337895">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LLIER Henri">
    <w15:presenceInfo w15:providerId="None" w15:userId="BELLIER Hen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248"/>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320"/>
    <w:rsid w:val="000A596D"/>
    <w:rsid w:val="000B0CCD"/>
    <w:rsid w:val="000B1C6E"/>
    <w:rsid w:val="000B3EC4"/>
    <w:rsid w:val="000C307D"/>
    <w:rsid w:val="000C3108"/>
    <w:rsid w:val="000C3C29"/>
    <w:rsid w:val="000C40C5"/>
    <w:rsid w:val="000C55A3"/>
    <w:rsid w:val="000D0AF3"/>
    <w:rsid w:val="000D23E3"/>
    <w:rsid w:val="000D2590"/>
    <w:rsid w:val="000D385B"/>
    <w:rsid w:val="000D4578"/>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A34"/>
    <w:rsid w:val="00125F86"/>
    <w:rsid w:val="00130E8B"/>
    <w:rsid w:val="00134409"/>
    <w:rsid w:val="00134B63"/>
    <w:rsid w:val="00135329"/>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0FA8"/>
    <w:rsid w:val="001A2A43"/>
    <w:rsid w:val="001A2EDE"/>
    <w:rsid w:val="001A6A05"/>
    <w:rsid w:val="001A70B2"/>
    <w:rsid w:val="001A7857"/>
    <w:rsid w:val="001A7E98"/>
    <w:rsid w:val="001B0BF9"/>
    <w:rsid w:val="001B554E"/>
    <w:rsid w:val="001C09EF"/>
    <w:rsid w:val="001C3D2D"/>
    <w:rsid w:val="001C5B93"/>
    <w:rsid w:val="001C6970"/>
    <w:rsid w:val="001C6A04"/>
    <w:rsid w:val="001C6FFE"/>
    <w:rsid w:val="001D38E3"/>
    <w:rsid w:val="001D3E8D"/>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AA"/>
    <w:rsid w:val="0023033F"/>
    <w:rsid w:val="0023516A"/>
    <w:rsid w:val="00235201"/>
    <w:rsid w:val="00236B0B"/>
    <w:rsid w:val="00237C5D"/>
    <w:rsid w:val="002414CF"/>
    <w:rsid w:val="00241CA1"/>
    <w:rsid w:val="00241FA9"/>
    <w:rsid w:val="00243A3C"/>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5707"/>
    <w:rsid w:val="002870FC"/>
    <w:rsid w:val="00290068"/>
    <w:rsid w:val="00290C87"/>
    <w:rsid w:val="00291684"/>
    <w:rsid w:val="002962A4"/>
    <w:rsid w:val="00297F0C"/>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0E5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6307"/>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576D"/>
    <w:rsid w:val="003762A7"/>
    <w:rsid w:val="0037726D"/>
    <w:rsid w:val="00377B00"/>
    <w:rsid w:val="00380BA2"/>
    <w:rsid w:val="00380FD6"/>
    <w:rsid w:val="00384572"/>
    <w:rsid w:val="00384704"/>
    <w:rsid w:val="00385131"/>
    <w:rsid w:val="00392643"/>
    <w:rsid w:val="0039413C"/>
    <w:rsid w:val="00396D54"/>
    <w:rsid w:val="00396E4C"/>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E0F"/>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3CE3"/>
    <w:rsid w:val="004140D3"/>
    <w:rsid w:val="00414EC3"/>
    <w:rsid w:val="00425EB2"/>
    <w:rsid w:val="00426E25"/>
    <w:rsid w:val="004271CB"/>
    <w:rsid w:val="004275FD"/>
    <w:rsid w:val="004305EC"/>
    <w:rsid w:val="00431540"/>
    <w:rsid w:val="00431C26"/>
    <w:rsid w:val="00432F06"/>
    <w:rsid w:val="00433609"/>
    <w:rsid w:val="00437973"/>
    <w:rsid w:val="00437C90"/>
    <w:rsid w:val="004404D7"/>
    <w:rsid w:val="00442D9D"/>
    <w:rsid w:val="004450BC"/>
    <w:rsid w:val="004549CE"/>
    <w:rsid w:val="00454CCD"/>
    <w:rsid w:val="00454D94"/>
    <w:rsid w:val="00454E63"/>
    <w:rsid w:val="00455A96"/>
    <w:rsid w:val="00456814"/>
    <w:rsid w:val="0045753B"/>
    <w:rsid w:val="004579C0"/>
    <w:rsid w:val="0046006E"/>
    <w:rsid w:val="00463AC3"/>
    <w:rsid w:val="0046437E"/>
    <w:rsid w:val="00467F02"/>
    <w:rsid w:val="004702CF"/>
    <w:rsid w:val="004703B6"/>
    <w:rsid w:val="0047178C"/>
    <w:rsid w:val="004724B0"/>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B3F6D"/>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1327"/>
    <w:rsid w:val="0054396F"/>
    <w:rsid w:val="00551D5A"/>
    <w:rsid w:val="00561398"/>
    <w:rsid w:val="00562400"/>
    <w:rsid w:val="00562603"/>
    <w:rsid w:val="0056283C"/>
    <w:rsid w:val="00565C9C"/>
    <w:rsid w:val="00566644"/>
    <w:rsid w:val="005673CC"/>
    <w:rsid w:val="00567A67"/>
    <w:rsid w:val="005700AE"/>
    <w:rsid w:val="0057017B"/>
    <w:rsid w:val="00573289"/>
    <w:rsid w:val="00577116"/>
    <w:rsid w:val="00577959"/>
    <w:rsid w:val="00577966"/>
    <w:rsid w:val="00581A1A"/>
    <w:rsid w:val="00581B6E"/>
    <w:rsid w:val="00581BD1"/>
    <w:rsid w:val="0058210B"/>
    <w:rsid w:val="005828E7"/>
    <w:rsid w:val="00586989"/>
    <w:rsid w:val="0058758C"/>
    <w:rsid w:val="005910CA"/>
    <w:rsid w:val="00591FBB"/>
    <w:rsid w:val="00592B1A"/>
    <w:rsid w:val="0059333D"/>
    <w:rsid w:val="00593643"/>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6090"/>
    <w:rsid w:val="005C7E1E"/>
    <w:rsid w:val="005D2021"/>
    <w:rsid w:val="005D383F"/>
    <w:rsid w:val="005D4E9C"/>
    <w:rsid w:val="005E14FB"/>
    <w:rsid w:val="005E1D31"/>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474E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54A"/>
    <w:rsid w:val="006A3594"/>
    <w:rsid w:val="006A3B1C"/>
    <w:rsid w:val="006A7B44"/>
    <w:rsid w:val="006B05A9"/>
    <w:rsid w:val="006B1B4B"/>
    <w:rsid w:val="006B477D"/>
    <w:rsid w:val="006B715E"/>
    <w:rsid w:val="006B7607"/>
    <w:rsid w:val="006B7F34"/>
    <w:rsid w:val="006C33C7"/>
    <w:rsid w:val="006C3A9E"/>
    <w:rsid w:val="006C447A"/>
    <w:rsid w:val="006C4CD4"/>
    <w:rsid w:val="006C56E1"/>
    <w:rsid w:val="006D19BD"/>
    <w:rsid w:val="006D1FE0"/>
    <w:rsid w:val="006D4F57"/>
    <w:rsid w:val="006E0109"/>
    <w:rsid w:val="006F2A50"/>
    <w:rsid w:val="006F2B0B"/>
    <w:rsid w:val="006F4462"/>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09E6"/>
    <w:rsid w:val="007A197E"/>
    <w:rsid w:val="007A2649"/>
    <w:rsid w:val="007A6A18"/>
    <w:rsid w:val="007A77D0"/>
    <w:rsid w:val="007B20ED"/>
    <w:rsid w:val="007B215F"/>
    <w:rsid w:val="007B2785"/>
    <w:rsid w:val="007B31CA"/>
    <w:rsid w:val="007B5D8D"/>
    <w:rsid w:val="007B73F0"/>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2F4"/>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97966"/>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51E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66B3F"/>
    <w:rsid w:val="00970004"/>
    <w:rsid w:val="00972B1B"/>
    <w:rsid w:val="00972BBB"/>
    <w:rsid w:val="00975790"/>
    <w:rsid w:val="00981443"/>
    <w:rsid w:val="0098252F"/>
    <w:rsid w:val="00982578"/>
    <w:rsid w:val="00982E37"/>
    <w:rsid w:val="00985DAF"/>
    <w:rsid w:val="00986A54"/>
    <w:rsid w:val="0099399F"/>
    <w:rsid w:val="00994821"/>
    <w:rsid w:val="0099635C"/>
    <w:rsid w:val="009963E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4E52"/>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0CF5"/>
    <w:rsid w:val="00A42DD9"/>
    <w:rsid w:val="00A5412E"/>
    <w:rsid w:val="00A54169"/>
    <w:rsid w:val="00A56ECF"/>
    <w:rsid w:val="00A61288"/>
    <w:rsid w:val="00A64C8D"/>
    <w:rsid w:val="00A65D9C"/>
    <w:rsid w:val="00A67082"/>
    <w:rsid w:val="00A67239"/>
    <w:rsid w:val="00A6741F"/>
    <w:rsid w:val="00A674D8"/>
    <w:rsid w:val="00A706E8"/>
    <w:rsid w:val="00A70E3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E403F"/>
    <w:rsid w:val="00AE4B24"/>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15F3"/>
    <w:rsid w:val="00BE44BC"/>
    <w:rsid w:val="00BE5BA6"/>
    <w:rsid w:val="00BE65A2"/>
    <w:rsid w:val="00BF1561"/>
    <w:rsid w:val="00BF2BEB"/>
    <w:rsid w:val="00BF574C"/>
    <w:rsid w:val="00BF6F42"/>
    <w:rsid w:val="00BF7EA1"/>
    <w:rsid w:val="00C00F5A"/>
    <w:rsid w:val="00C03A9A"/>
    <w:rsid w:val="00C04126"/>
    <w:rsid w:val="00C054B6"/>
    <w:rsid w:val="00C11084"/>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CEF"/>
    <w:rsid w:val="00C31471"/>
    <w:rsid w:val="00C32827"/>
    <w:rsid w:val="00C33931"/>
    <w:rsid w:val="00C34D1E"/>
    <w:rsid w:val="00C35593"/>
    <w:rsid w:val="00C359D7"/>
    <w:rsid w:val="00C368BA"/>
    <w:rsid w:val="00C40C9A"/>
    <w:rsid w:val="00C41027"/>
    <w:rsid w:val="00C41585"/>
    <w:rsid w:val="00C4669D"/>
    <w:rsid w:val="00C50C96"/>
    <w:rsid w:val="00C53FCB"/>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261"/>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277B4"/>
    <w:rsid w:val="00D30928"/>
    <w:rsid w:val="00D3119D"/>
    <w:rsid w:val="00D3217F"/>
    <w:rsid w:val="00D372A7"/>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0179"/>
    <w:rsid w:val="00D70EF3"/>
    <w:rsid w:val="00D71D6F"/>
    <w:rsid w:val="00D75ADA"/>
    <w:rsid w:val="00D7632A"/>
    <w:rsid w:val="00D7651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4C3B"/>
    <w:rsid w:val="00E15BA0"/>
    <w:rsid w:val="00E17864"/>
    <w:rsid w:val="00E24405"/>
    <w:rsid w:val="00E24A4E"/>
    <w:rsid w:val="00E32320"/>
    <w:rsid w:val="00E4452D"/>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E9B"/>
    <w:rsid w:val="00E77F2A"/>
    <w:rsid w:val="00E81D8D"/>
    <w:rsid w:val="00E86392"/>
    <w:rsid w:val="00E8673D"/>
    <w:rsid w:val="00E87669"/>
    <w:rsid w:val="00E90AF6"/>
    <w:rsid w:val="00E926C1"/>
    <w:rsid w:val="00E935E5"/>
    <w:rsid w:val="00E94613"/>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26C1"/>
    <w:rsid w:val="00EE4025"/>
    <w:rsid w:val="00EE4DC4"/>
    <w:rsid w:val="00EE5557"/>
    <w:rsid w:val="00EE574A"/>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17046"/>
    <w:rsid w:val="00F230A2"/>
    <w:rsid w:val="00F23859"/>
    <w:rsid w:val="00F256A2"/>
    <w:rsid w:val="00F26630"/>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569"/>
    <w:rsid w:val="00F71BF0"/>
    <w:rsid w:val="00F730A4"/>
    <w:rsid w:val="00F730C0"/>
    <w:rsid w:val="00F73C65"/>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1133"/>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E7136"/>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character" w:styleId="Mentionnonrsolue">
    <w:name w:val="Unresolved Mention"/>
    <w:basedOn w:val="Policepardfaut"/>
    <w:uiPriority w:val="99"/>
    <w:semiHidden/>
    <w:unhideWhenUsed/>
    <w:rsid w:val="00BE15F3"/>
    <w:rPr>
      <w:color w:val="605E5C"/>
      <w:shd w:val="clear" w:color="auto" w:fill="E1DFDD"/>
    </w:rPr>
  </w:style>
  <w:style w:type="paragraph" w:styleId="Notedefin">
    <w:name w:val="endnote text"/>
    <w:basedOn w:val="Normal"/>
    <w:link w:val="NotedefinCar"/>
    <w:uiPriority w:val="99"/>
    <w:semiHidden/>
    <w:unhideWhenUsed/>
    <w:rsid w:val="00573289"/>
    <w:rPr>
      <w:sz w:val="20"/>
      <w:szCs w:val="20"/>
    </w:rPr>
  </w:style>
  <w:style w:type="character" w:customStyle="1" w:styleId="NotedefinCar">
    <w:name w:val="Note de fin Car"/>
    <w:basedOn w:val="Policepardfaut"/>
    <w:link w:val="Notedefin"/>
    <w:uiPriority w:val="99"/>
    <w:semiHidden/>
    <w:rsid w:val="00573289"/>
  </w:style>
  <w:style w:type="character" w:styleId="Appeldenotedefin">
    <w:name w:val="endnote reference"/>
    <w:basedOn w:val="Policepardfaut"/>
    <w:uiPriority w:val="99"/>
    <w:semiHidden/>
    <w:unhideWhenUsed/>
    <w:rsid w:val="005732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D26EA-2560-46F9-A3B5-3B99A81A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1472</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BELLIER Henri</cp:lastModifiedBy>
  <cp:revision>3</cp:revision>
  <cp:lastPrinted>2024-12-06T08:00:00Z</cp:lastPrinted>
  <dcterms:created xsi:type="dcterms:W3CDTF">2024-12-06T14:16:00Z</dcterms:created>
  <dcterms:modified xsi:type="dcterms:W3CDTF">2024-12-12T08:40:00Z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