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97010" w14:textId="00FA5142" w:rsidR="00A62764" w:rsidRPr="00A62764" w:rsidRDefault="009A0304" w:rsidP="00A62764">
      <w:pPr>
        <w:pStyle w:val="Standard"/>
        <w:jc w:val="center"/>
        <w:rPr>
          <w:rFonts w:ascii="Arial Narrow" w:hAnsi="Arial Narrow"/>
          <w:b/>
          <w:i/>
        </w:rPr>
      </w:pPr>
      <w:bookmarkStart w:id="0" w:name="_Hlk167281453"/>
      <w:bookmarkStart w:id="1" w:name="_Toc520220222"/>
      <w:bookmarkStart w:id="2" w:name="_GoBack"/>
      <w:bookmarkEnd w:id="2"/>
      <w:r w:rsidRPr="00A62764">
        <w:rPr>
          <w:rFonts w:ascii="Arial Narrow" w:hAnsi="Arial Narrow"/>
          <w:noProof/>
        </w:rPr>
        <w:drawing>
          <wp:anchor distT="0" distB="0" distL="114300" distR="114300" simplePos="0" relativeHeight="251655680" behindDoc="0" locked="0" layoutInCell="1" allowOverlap="1" wp14:anchorId="713EEFC2" wp14:editId="48B69760">
            <wp:simplePos x="0" y="0"/>
            <wp:positionH relativeFrom="margin">
              <wp:posOffset>100330</wp:posOffset>
            </wp:positionH>
            <wp:positionV relativeFrom="page">
              <wp:posOffset>790575</wp:posOffset>
            </wp:positionV>
            <wp:extent cx="1196575" cy="1181100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5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764" w:rsidRPr="00A62764">
        <w:rPr>
          <w:rFonts w:ascii="Arial Narrow" w:hAnsi="Arial Narrow"/>
          <w:noProof/>
        </w:rPr>
        <w:drawing>
          <wp:anchor distT="0" distB="0" distL="114300" distR="114300" simplePos="0" relativeHeight="251665920" behindDoc="1" locked="0" layoutInCell="1" allowOverlap="1" wp14:anchorId="1337D32E" wp14:editId="1A8849C3">
            <wp:simplePos x="0" y="0"/>
            <wp:positionH relativeFrom="column">
              <wp:posOffset>1367155</wp:posOffset>
            </wp:positionH>
            <wp:positionV relativeFrom="paragraph">
              <wp:posOffset>167640</wp:posOffset>
            </wp:positionV>
            <wp:extent cx="2105025" cy="8477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CF592" w14:textId="7C652A84" w:rsidR="00A62764" w:rsidRPr="00A62764" w:rsidRDefault="00A62764" w:rsidP="00A62764">
      <w:pPr>
        <w:pStyle w:val="Standard"/>
        <w:jc w:val="center"/>
        <w:rPr>
          <w:rFonts w:ascii="Arial Narrow" w:hAnsi="Arial Narrow"/>
          <w:b/>
          <w:i/>
        </w:rPr>
      </w:pPr>
    </w:p>
    <w:bookmarkEnd w:id="0"/>
    <w:p w14:paraId="04F5C121" w14:textId="36F29DAC" w:rsidR="00A62764" w:rsidRPr="00A62764" w:rsidRDefault="00A62764" w:rsidP="00A62764">
      <w:pPr>
        <w:pStyle w:val="Standard"/>
        <w:jc w:val="center"/>
        <w:rPr>
          <w:rFonts w:ascii="Arial Narrow" w:hAnsi="Arial Narrow"/>
          <w:b/>
          <w:i/>
        </w:rPr>
      </w:pPr>
    </w:p>
    <w:p w14:paraId="62FEAF5B" w14:textId="53D1B871" w:rsidR="00A62764" w:rsidRPr="00A62764" w:rsidRDefault="00A62764" w:rsidP="00A62764">
      <w:pPr>
        <w:rPr>
          <w:rFonts w:ascii="Arial Narrow" w:hAnsi="Arial Narrow"/>
        </w:rPr>
      </w:pPr>
    </w:p>
    <w:p w14:paraId="5F9A21E1" w14:textId="24CC0344" w:rsidR="00A62764" w:rsidRPr="00A62764" w:rsidRDefault="00A62764" w:rsidP="00A62764">
      <w:pPr>
        <w:rPr>
          <w:rFonts w:ascii="Arial Narrow" w:hAnsi="Arial Narrow"/>
        </w:rPr>
      </w:pPr>
    </w:p>
    <w:p w14:paraId="16DC4E7C" w14:textId="77777777" w:rsidR="00A62764" w:rsidRPr="00A62764" w:rsidRDefault="00A62764" w:rsidP="00A62764">
      <w:pPr>
        <w:rPr>
          <w:rFonts w:ascii="Arial Narrow" w:hAnsi="Arial Narrow"/>
        </w:rPr>
      </w:pPr>
    </w:p>
    <w:p w14:paraId="4366438D" w14:textId="71E0F398" w:rsidR="00A62764" w:rsidRPr="00A62764" w:rsidRDefault="00A62764" w:rsidP="00A62764">
      <w:pPr>
        <w:jc w:val="center"/>
        <w:rPr>
          <w:rFonts w:ascii="Arial Narrow" w:hAnsi="Arial Narrow"/>
          <w:b/>
          <w:color w:val="0000FF"/>
          <w:sz w:val="40"/>
          <w:szCs w:val="40"/>
        </w:rPr>
      </w:pPr>
      <w:r w:rsidRPr="00A62764">
        <w:rPr>
          <w:rFonts w:ascii="Arial Narrow" w:hAnsi="Arial Narrow"/>
          <w:b/>
          <w:color w:val="0000FF"/>
          <w:sz w:val="40"/>
          <w:szCs w:val="40"/>
        </w:rPr>
        <w:t>MARCHE N°24.14.025</w:t>
      </w:r>
    </w:p>
    <w:p w14:paraId="453A5A14" w14:textId="6EC687CF" w:rsidR="00A62764" w:rsidRPr="00A62764" w:rsidRDefault="002B1F9F" w:rsidP="00A62764">
      <w:pPr>
        <w:jc w:val="center"/>
        <w:rPr>
          <w:rFonts w:ascii="Arial Narrow" w:hAnsi="Arial Narrow"/>
          <w:b/>
          <w:bCs/>
          <w:color w:val="0000FF"/>
          <w:sz w:val="40"/>
          <w:szCs w:val="40"/>
        </w:rPr>
      </w:pPr>
      <w:r>
        <w:rPr>
          <w:rFonts w:ascii="Arial Narrow" w:hAnsi="Arial Narrow"/>
          <w:b/>
          <w:bCs/>
          <w:color w:val="0000FF"/>
          <w:sz w:val="40"/>
          <w:szCs w:val="40"/>
        </w:rPr>
        <w:t xml:space="preserve">Fourniture </w:t>
      </w:r>
      <w:r w:rsidR="00D72DAE">
        <w:rPr>
          <w:rFonts w:ascii="Arial Narrow" w:hAnsi="Arial Narrow"/>
          <w:b/>
          <w:bCs/>
          <w:color w:val="0000FF"/>
          <w:sz w:val="40"/>
          <w:szCs w:val="40"/>
        </w:rPr>
        <w:t xml:space="preserve">et livraison </w:t>
      </w:r>
      <w:r>
        <w:rPr>
          <w:rFonts w:ascii="Arial Narrow" w:hAnsi="Arial Narrow"/>
          <w:b/>
          <w:bCs/>
          <w:color w:val="0000FF"/>
          <w:sz w:val="40"/>
          <w:szCs w:val="40"/>
        </w:rPr>
        <w:t>de</w:t>
      </w:r>
      <w:r w:rsidR="00E62578">
        <w:rPr>
          <w:rFonts w:ascii="Arial Narrow" w:hAnsi="Arial Narrow"/>
          <w:b/>
          <w:bCs/>
          <w:color w:val="0000FF"/>
          <w:sz w:val="40"/>
          <w:szCs w:val="40"/>
        </w:rPr>
        <w:t xml:space="preserve"> cartes Interface </w:t>
      </w:r>
      <w:proofErr w:type="spellStart"/>
      <w:r w:rsidR="00E62578">
        <w:rPr>
          <w:rFonts w:ascii="Arial Narrow" w:hAnsi="Arial Narrow"/>
          <w:b/>
          <w:bCs/>
          <w:color w:val="0000FF"/>
          <w:sz w:val="40"/>
          <w:szCs w:val="40"/>
        </w:rPr>
        <w:t>Board</w:t>
      </w:r>
      <w:proofErr w:type="spellEnd"/>
      <w:r w:rsidR="00E62578">
        <w:rPr>
          <w:rFonts w:ascii="Arial Narrow" w:hAnsi="Arial Narrow"/>
          <w:b/>
          <w:bCs/>
          <w:color w:val="0000FF"/>
          <w:sz w:val="40"/>
          <w:szCs w:val="40"/>
        </w:rPr>
        <w:t xml:space="preserve"> (IB) pour </w:t>
      </w:r>
      <w:r>
        <w:rPr>
          <w:rFonts w:ascii="Arial Narrow" w:hAnsi="Arial Narrow"/>
          <w:b/>
          <w:bCs/>
          <w:color w:val="0000FF"/>
          <w:sz w:val="40"/>
          <w:szCs w:val="40"/>
        </w:rPr>
        <w:t>le compte de l’Institut de Recherche en Astrophysique et Planétologie (IRAP) – CNRS</w:t>
      </w:r>
    </w:p>
    <w:p w14:paraId="0482DB9D" w14:textId="77777777" w:rsidR="00A62764" w:rsidRPr="00A62764" w:rsidRDefault="00A62764" w:rsidP="00A62764">
      <w:pPr>
        <w:rPr>
          <w:rFonts w:ascii="Arial Narrow" w:hAnsi="Arial Narrow"/>
        </w:rPr>
      </w:pPr>
    </w:p>
    <w:p w14:paraId="2B2FC23F" w14:textId="77777777" w:rsidR="00A62764" w:rsidRPr="00A62764" w:rsidRDefault="00A62764" w:rsidP="00A62764">
      <w:pPr>
        <w:jc w:val="center"/>
        <w:rPr>
          <w:rFonts w:ascii="Arial Narrow" w:hAnsi="Arial Narrow"/>
        </w:rPr>
      </w:pPr>
    </w:p>
    <w:p w14:paraId="623BA4CE" w14:textId="45E24809" w:rsidR="00A62764" w:rsidRPr="00A62764" w:rsidRDefault="00A62764" w:rsidP="00A62764">
      <w:pPr>
        <w:jc w:val="center"/>
        <w:rPr>
          <w:rFonts w:ascii="Arial Narrow" w:hAnsi="Arial Narrow"/>
          <w:b/>
          <w:sz w:val="28"/>
          <w:szCs w:val="28"/>
        </w:rPr>
      </w:pPr>
      <w:r w:rsidRPr="00A62764">
        <w:rPr>
          <w:rFonts w:ascii="Arial Narrow" w:hAnsi="Arial Narrow"/>
          <w:b/>
          <w:sz w:val="28"/>
          <w:szCs w:val="28"/>
        </w:rPr>
        <w:t xml:space="preserve">ANNEXE 1 A L’ACTE D’ENGAGEMENT : CADRE DE REPONSE ECONOMIQUE </w:t>
      </w:r>
      <w:r w:rsidR="00FA30CD">
        <w:rPr>
          <w:rFonts w:ascii="Arial Narrow" w:hAnsi="Arial Narrow"/>
          <w:b/>
          <w:sz w:val="28"/>
          <w:szCs w:val="28"/>
        </w:rPr>
        <w:t>(CRE)</w:t>
      </w:r>
    </w:p>
    <w:p w14:paraId="252E5C56" w14:textId="77777777" w:rsidR="00A62764" w:rsidRPr="00A62764" w:rsidRDefault="00A62764" w:rsidP="00A62764">
      <w:pPr>
        <w:jc w:val="center"/>
        <w:rPr>
          <w:rFonts w:ascii="Arial Narrow" w:hAnsi="Arial Narrow"/>
        </w:rPr>
      </w:pPr>
    </w:p>
    <w:p w14:paraId="7E991F7D" w14:textId="77777777" w:rsidR="00A62764" w:rsidRPr="00A62764" w:rsidRDefault="00A62764" w:rsidP="00A62764">
      <w:pPr>
        <w:jc w:val="both"/>
        <w:rPr>
          <w:rFonts w:ascii="Arial Narrow" w:hAnsi="Arial Narrow"/>
          <w:b/>
          <w:i/>
          <w:color w:val="FF0000"/>
        </w:rPr>
      </w:pPr>
    </w:p>
    <w:p w14:paraId="5359ECDB" w14:textId="77777777" w:rsidR="00A62764" w:rsidRPr="00A62764" w:rsidRDefault="00A62764" w:rsidP="00A62764">
      <w:pPr>
        <w:jc w:val="both"/>
        <w:rPr>
          <w:rFonts w:ascii="Arial Narrow" w:hAnsi="Arial Narrow"/>
          <w:b/>
          <w:i/>
          <w:color w:val="FF0000"/>
        </w:rPr>
      </w:pPr>
    </w:p>
    <w:p w14:paraId="200F95D4" w14:textId="77777777" w:rsidR="00A62764" w:rsidRPr="00A62764" w:rsidRDefault="00A62764" w:rsidP="00A62764">
      <w:pPr>
        <w:jc w:val="both"/>
        <w:rPr>
          <w:rFonts w:ascii="Arial Narrow" w:hAnsi="Arial Narrow"/>
          <w:b/>
          <w:i/>
          <w:color w:val="FF0000"/>
        </w:rPr>
      </w:pPr>
    </w:p>
    <w:p w14:paraId="29FC3E22" w14:textId="43771974" w:rsidR="00A62764" w:rsidRPr="00A62764" w:rsidRDefault="00A62764" w:rsidP="00A62764">
      <w:pPr>
        <w:rPr>
          <w:rFonts w:ascii="Arial Narrow" w:hAnsi="Arial Narrow"/>
          <w:b/>
          <w:i/>
          <w:color w:val="FF0000"/>
          <w:sz w:val="24"/>
          <w:szCs w:val="24"/>
        </w:rPr>
      </w:pPr>
      <w:r w:rsidRPr="00A62764">
        <w:rPr>
          <w:rFonts w:ascii="Arial Narrow" w:hAnsi="Arial Narrow"/>
          <w:b/>
          <w:i/>
          <w:color w:val="FF0000"/>
          <w:sz w:val="24"/>
          <w:szCs w:val="24"/>
        </w:rPr>
        <w:t>Les candidats souhaitant participer à la consultation devront remplir l’annexe.</w:t>
      </w:r>
    </w:p>
    <w:p w14:paraId="4C9E6A32" w14:textId="77777777" w:rsidR="00655D5A" w:rsidRDefault="00A62764">
      <w:pPr>
        <w:rPr>
          <w:rFonts w:ascii="Arial Narrow" w:hAnsi="Arial Narrow"/>
          <w:b/>
          <w:i/>
          <w:color w:val="FF0000"/>
          <w:sz w:val="24"/>
          <w:szCs w:val="24"/>
        </w:rPr>
      </w:pPr>
      <w:r w:rsidRPr="00A62764">
        <w:rPr>
          <w:rFonts w:ascii="Arial Narrow" w:hAnsi="Arial Narrow"/>
          <w:b/>
          <w:i/>
          <w:color w:val="FF0000"/>
          <w:sz w:val="24"/>
          <w:szCs w:val="24"/>
        </w:rPr>
        <w:t>Pour rappel, ce document a une valeur contractuelle.</w:t>
      </w:r>
    </w:p>
    <w:p w14:paraId="2791BC24" w14:textId="77777777" w:rsidR="00655D5A" w:rsidRDefault="00655D5A">
      <w:pPr>
        <w:rPr>
          <w:rFonts w:ascii="Arial Narrow" w:hAnsi="Arial Narrow"/>
          <w:b/>
          <w:sz w:val="28"/>
          <w:szCs w:val="28"/>
        </w:rPr>
      </w:pPr>
    </w:p>
    <w:p w14:paraId="1CEB8C1E" w14:textId="77777777" w:rsidR="00655D5A" w:rsidRDefault="00655D5A" w:rsidP="00655D5A">
      <w:pPr>
        <w:widowControl w:val="0"/>
        <w:suppressAutoHyphens/>
        <w:spacing w:after="200" w:line="276" w:lineRule="auto"/>
        <w:rPr>
          <w:b/>
          <w:sz w:val="28"/>
          <w:szCs w:val="28"/>
          <w:u w:val="single"/>
        </w:rPr>
      </w:pPr>
      <w:r w:rsidRPr="000E12EC">
        <w:rPr>
          <w:b/>
          <w:sz w:val="28"/>
          <w:szCs w:val="28"/>
          <w:u w:val="single"/>
        </w:rPr>
        <w:lastRenderedPageBreak/>
        <w:t>Nom du candidat</w:t>
      </w:r>
      <w:r w:rsidRPr="000E12EC">
        <w:rPr>
          <w:b/>
          <w:sz w:val="28"/>
          <w:szCs w:val="28"/>
        </w:rPr>
        <w:t> : ………………………………………….</w:t>
      </w:r>
    </w:p>
    <w:p w14:paraId="70476F01" w14:textId="6C27197A" w:rsidR="007F0B95" w:rsidRPr="00A62764" w:rsidRDefault="00A62764" w:rsidP="007F0B95">
      <w:pPr>
        <w:widowControl w:val="0"/>
        <w:numPr>
          <w:ilvl w:val="0"/>
          <w:numId w:val="2"/>
        </w:numPr>
        <w:suppressAutoHyphens/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 w:rsidRPr="00A62764">
        <w:rPr>
          <w:rFonts w:ascii="Arial Narrow" w:hAnsi="Arial Narrow"/>
          <w:b/>
          <w:sz w:val="28"/>
          <w:szCs w:val="28"/>
          <w:u w:val="single"/>
        </w:rPr>
        <w:t>Offre financière – partie globale et forfaitaire</w:t>
      </w:r>
      <w:bookmarkEnd w:id="1"/>
    </w:p>
    <w:p w14:paraId="75E55710" w14:textId="18FF9B99" w:rsidR="00A86523" w:rsidRDefault="00A62764" w:rsidP="009C7530">
      <w:pPr>
        <w:rPr>
          <w:rFonts w:ascii="Arial Narrow" w:hAnsi="Arial Narrow"/>
        </w:rPr>
      </w:pPr>
      <w:r w:rsidRPr="00FA30CD">
        <w:rPr>
          <w:rFonts w:ascii="Arial Narrow" w:hAnsi="Arial Narrow"/>
          <w:b/>
        </w:rPr>
        <w:t>La notification du marché vaut commande de la partie globale et forfaitaire</w:t>
      </w:r>
      <w:r w:rsidRPr="00A62764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La partie globale et forfaitaire correspond à</w:t>
      </w:r>
      <w:r w:rsidR="00C91468">
        <w:rPr>
          <w:rFonts w:ascii="Arial Narrow" w:hAnsi="Arial Narrow"/>
        </w:rPr>
        <w:t xml:space="preserve"> la commande de l’ensemble des prestations ci-dessous pour </w:t>
      </w:r>
      <w:r w:rsidR="006B2474">
        <w:rPr>
          <w:rFonts w:ascii="Arial Narrow" w:hAnsi="Arial Narrow"/>
        </w:rPr>
        <w:t>une quantité</w:t>
      </w:r>
      <w:r w:rsidR="00C91468">
        <w:rPr>
          <w:rFonts w:ascii="Arial Narrow" w:hAnsi="Arial Narrow"/>
        </w:rPr>
        <w:t xml:space="preserve"> de</w:t>
      </w:r>
      <w:r>
        <w:rPr>
          <w:rFonts w:ascii="Arial Narrow" w:hAnsi="Arial Narrow"/>
        </w:rPr>
        <w:t xml:space="preserve"> </w:t>
      </w:r>
      <w:r w:rsidR="003F4B9C" w:rsidRPr="00FA30CD">
        <w:rPr>
          <w:rFonts w:ascii="Arial Narrow" w:hAnsi="Arial Narrow"/>
          <w:b/>
          <w:u w:val="single"/>
        </w:rPr>
        <w:t>2</w:t>
      </w:r>
      <w:r w:rsidR="008E6DB6" w:rsidRPr="00FA30CD">
        <w:rPr>
          <w:rFonts w:ascii="Arial Narrow" w:hAnsi="Arial Narrow"/>
          <w:b/>
          <w:u w:val="single"/>
        </w:rPr>
        <w:t> </w:t>
      </w:r>
      <w:r w:rsidR="003F4B9C" w:rsidRPr="00FA30CD">
        <w:rPr>
          <w:rFonts w:ascii="Arial Narrow" w:hAnsi="Arial Narrow"/>
          <w:b/>
          <w:u w:val="single"/>
        </w:rPr>
        <w:t>547</w:t>
      </w:r>
      <w:r w:rsidR="008E6DB6" w:rsidRPr="00FA30CD">
        <w:rPr>
          <w:rFonts w:ascii="Arial Narrow" w:hAnsi="Arial Narrow"/>
          <w:b/>
          <w:u w:val="single"/>
        </w:rPr>
        <w:t xml:space="preserve"> cartes</w:t>
      </w:r>
      <w:r w:rsidR="003F4B9C" w:rsidRPr="00FA30CD">
        <w:rPr>
          <w:rFonts w:ascii="Arial Narrow" w:hAnsi="Arial Narrow"/>
          <w:b/>
          <w:u w:val="single"/>
        </w:rPr>
        <w:t xml:space="preserve"> IB</w:t>
      </w:r>
      <w:r w:rsidR="003F4B9C" w:rsidRPr="003F4B9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tbl>
      <w:tblPr>
        <w:tblW w:w="13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7"/>
        <w:gridCol w:w="4502"/>
        <w:gridCol w:w="4062"/>
      </w:tblGrid>
      <w:tr w:rsidR="005B05BB" w:rsidRPr="005B05BB" w14:paraId="1BEEC184" w14:textId="77777777" w:rsidTr="00655D5A">
        <w:trPr>
          <w:trHeight w:val="747"/>
          <w:jc w:val="center"/>
        </w:trPr>
        <w:tc>
          <w:tcPr>
            <w:tcW w:w="13831" w:type="dxa"/>
            <w:gridSpan w:val="3"/>
            <w:shd w:val="clear" w:color="auto" w:fill="DEEAF6"/>
            <w:vAlign w:val="center"/>
          </w:tcPr>
          <w:p w14:paraId="43868D7D" w14:textId="351C83D1" w:rsidR="005B05BB" w:rsidRPr="005B05BB" w:rsidRDefault="005B05BB" w:rsidP="008E527A">
            <w:pPr>
              <w:jc w:val="center"/>
              <w:rPr>
                <w:rFonts w:ascii="Arial Narrow" w:eastAsia="Calibri" w:hAnsi="Arial Narrow"/>
                <w:b/>
              </w:rPr>
            </w:pPr>
            <w:r w:rsidRPr="005B05BB">
              <w:rPr>
                <w:rFonts w:ascii="Arial Narrow" w:eastAsia="Calibri" w:hAnsi="Arial Narrow"/>
                <w:b/>
              </w:rPr>
              <w:t xml:space="preserve">Prix global et forfaitaire correspondant à </w:t>
            </w:r>
            <w:r>
              <w:rPr>
                <w:rFonts w:ascii="Arial Narrow" w:eastAsia="Calibri" w:hAnsi="Arial Narrow"/>
                <w:b/>
              </w:rPr>
              <w:t>la fourniture et la livraison des 2547 cartes IB</w:t>
            </w:r>
          </w:p>
        </w:tc>
      </w:tr>
      <w:tr w:rsidR="00655D5A" w:rsidRPr="005B05BB" w14:paraId="2F8713E2" w14:textId="77777777" w:rsidTr="00655D5A">
        <w:trPr>
          <w:jc w:val="center"/>
        </w:trPr>
        <w:tc>
          <w:tcPr>
            <w:tcW w:w="5267" w:type="dxa"/>
            <w:shd w:val="clear" w:color="auto" w:fill="auto"/>
            <w:vAlign w:val="center"/>
          </w:tcPr>
          <w:p w14:paraId="79976BB5" w14:textId="60B28487" w:rsidR="00655D5A" w:rsidRPr="005B05BB" w:rsidRDefault="00655D5A" w:rsidP="00655D5A">
            <w:pPr>
              <w:jc w:val="center"/>
              <w:rPr>
                <w:rFonts w:ascii="Arial Narrow" w:eastAsia="Calibri" w:hAnsi="Arial Narrow"/>
                <w:b/>
              </w:rPr>
            </w:pPr>
            <w:r w:rsidRPr="005B05BB">
              <w:rPr>
                <w:rFonts w:ascii="Arial Narrow" w:eastAsia="Calibri" w:hAnsi="Arial Narrow"/>
                <w:b/>
              </w:rPr>
              <w:t>Montant global en € HT</w:t>
            </w:r>
          </w:p>
        </w:tc>
        <w:tc>
          <w:tcPr>
            <w:tcW w:w="4502" w:type="dxa"/>
            <w:vAlign w:val="center"/>
          </w:tcPr>
          <w:p w14:paraId="3AF546D1" w14:textId="77777777" w:rsidR="00655D5A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  <w:p w14:paraId="748537E6" w14:textId="7B34FDB0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  <w:r w:rsidRPr="005B05BB">
              <w:rPr>
                <w:rFonts w:ascii="Arial Narrow" w:eastAsia="Calibri" w:hAnsi="Arial Narrow"/>
                <w:b/>
              </w:rPr>
              <w:t>Taux de la TVA*</w:t>
            </w:r>
          </w:p>
          <w:p w14:paraId="35BE6605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  <w:r w:rsidRPr="005B05BB">
              <w:rPr>
                <w:rFonts w:ascii="Arial Narrow" w:eastAsia="Calibri" w:hAnsi="Arial Narrow"/>
                <w:b/>
              </w:rPr>
              <w:t>(</w:t>
            </w:r>
            <w:proofErr w:type="gramStart"/>
            <w:r w:rsidRPr="005B05BB">
              <w:rPr>
                <w:rFonts w:ascii="Arial Narrow" w:eastAsia="Calibri" w:hAnsi="Arial Narrow"/>
                <w:b/>
                <w:u w:val="single"/>
              </w:rPr>
              <w:t>si</w:t>
            </w:r>
            <w:proofErr w:type="gramEnd"/>
            <w:r w:rsidRPr="005B05BB">
              <w:rPr>
                <w:rFonts w:ascii="Arial Narrow" w:eastAsia="Calibri" w:hAnsi="Arial Narrow"/>
                <w:b/>
                <w:u w:val="single"/>
              </w:rPr>
              <w:t xml:space="preserve"> société française ou société étrangère avec représentant en France</w:t>
            </w:r>
            <w:r w:rsidRPr="005B05BB">
              <w:rPr>
                <w:rFonts w:ascii="Arial Narrow" w:eastAsia="Calibri" w:hAnsi="Arial Narrow"/>
                <w:b/>
              </w:rPr>
              <w:t>)</w:t>
            </w:r>
          </w:p>
          <w:p w14:paraId="645CA435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062" w:type="dxa"/>
            <w:shd w:val="clear" w:color="auto" w:fill="auto"/>
            <w:vAlign w:val="center"/>
          </w:tcPr>
          <w:p w14:paraId="51146FA7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  <w:p w14:paraId="180C30D0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  <w:r w:rsidRPr="005B05BB">
              <w:rPr>
                <w:rFonts w:ascii="Arial Narrow" w:eastAsia="Calibri" w:hAnsi="Arial Narrow"/>
                <w:b/>
              </w:rPr>
              <w:t>Montant global en € TTC</w:t>
            </w:r>
          </w:p>
          <w:p w14:paraId="26B9588E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</w:tc>
      </w:tr>
      <w:tr w:rsidR="00655D5A" w:rsidRPr="005B05BB" w14:paraId="15A0987B" w14:textId="77777777" w:rsidTr="00655D5A">
        <w:trPr>
          <w:trHeight w:val="1413"/>
          <w:jc w:val="center"/>
        </w:trPr>
        <w:tc>
          <w:tcPr>
            <w:tcW w:w="5267" w:type="dxa"/>
            <w:shd w:val="clear" w:color="auto" w:fill="auto"/>
            <w:vAlign w:val="center"/>
          </w:tcPr>
          <w:p w14:paraId="1DA5608D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502" w:type="dxa"/>
            <w:vAlign w:val="center"/>
          </w:tcPr>
          <w:p w14:paraId="7A7F8A3F" w14:textId="77777777" w:rsidR="00655D5A" w:rsidRPr="005B05BB" w:rsidRDefault="00655D5A" w:rsidP="00655D5A">
            <w:pPr>
              <w:jc w:val="center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062" w:type="dxa"/>
            <w:shd w:val="clear" w:color="auto" w:fill="auto"/>
            <w:vAlign w:val="center"/>
          </w:tcPr>
          <w:p w14:paraId="09E79DE2" w14:textId="77777777" w:rsidR="00655D5A" w:rsidRPr="005B05BB" w:rsidRDefault="00655D5A" w:rsidP="008E527A">
            <w:pPr>
              <w:jc w:val="center"/>
              <w:rPr>
                <w:rFonts w:ascii="Arial Narrow" w:eastAsia="Calibri" w:hAnsi="Arial Narrow"/>
                <w:b/>
              </w:rPr>
            </w:pPr>
          </w:p>
        </w:tc>
      </w:tr>
    </w:tbl>
    <w:p w14:paraId="66FD1FE7" w14:textId="509FF151" w:rsidR="00A3534D" w:rsidRDefault="00A3534D" w:rsidP="009C7530">
      <w:pPr>
        <w:rPr>
          <w:rFonts w:ascii="Arial Narrow" w:hAnsi="Arial Narrow"/>
        </w:rPr>
      </w:pPr>
    </w:p>
    <w:p w14:paraId="177D19EC" w14:textId="77777777" w:rsidR="00F854A8" w:rsidRDefault="00F854A8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9D1A1BA" w14:textId="65736881" w:rsidR="00F854A8" w:rsidRPr="009C7530" w:rsidRDefault="00F854A8" w:rsidP="009C7530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Le candidat décompose ci-dessous le prix global et forfaitaire : </w:t>
      </w:r>
    </w:p>
    <w:tbl>
      <w:tblPr>
        <w:tblW w:w="112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394"/>
        <w:gridCol w:w="1449"/>
        <w:gridCol w:w="1456"/>
        <w:gridCol w:w="1456"/>
        <w:gridCol w:w="1456"/>
      </w:tblGrid>
      <w:tr w:rsidR="00A86523" w:rsidRPr="00A62764" w14:paraId="128FB08D" w14:textId="77777777" w:rsidTr="0031030C">
        <w:trPr>
          <w:trHeight w:val="555"/>
          <w:jc w:val="center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6C237" w14:textId="2621D252" w:rsidR="00A86523" w:rsidRPr="00A62764" w:rsidRDefault="00395652" w:rsidP="00395652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Décomposition du prix global et forfaitaire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7E56F47" w14:textId="7A8E6336" w:rsidR="00A86523" w:rsidRPr="00A62764" w:rsidRDefault="00A86523" w:rsidP="00686FEC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 xml:space="preserve">Prix en € HT </w:t>
            </w: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7EAD294" w14:textId="77777777" w:rsidR="00A86523" w:rsidRPr="00A62764" w:rsidRDefault="00A86523" w:rsidP="00686FEC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Quantité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169D652A" w14:textId="77777777" w:rsidR="00A86523" w:rsidRPr="00A62764" w:rsidRDefault="00A86523" w:rsidP="00686FEC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 xml:space="preserve">Total en € HT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2F3EB73A" w14:textId="77777777" w:rsidR="00A86523" w:rsidRPr="00A62764" w:rsidRDefault="00A86523" w:rsidP="00686FE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1408040A" w14:textId="77777777" w:rsidR="00A86523" w:rsidRPr="00A62764" w:rsidRDefault="00A86523" w:rsidP="00686FE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Total en € TTC</w:t>
            </w:r>
          </w:p>
        </w:tc>
      </w:tr>
      <w:tr w:rsidR="00A86523" w:rsidRPr="00A62764" w14:paraId="369A436C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74DE8D" w14:textId="77777777" w:rsidR="00A86523" w:rsidRPr="00C91468" w:rsidRDefault="00A86523" w:rsidP="00686FEC">
            <w:pPr>
              <w:rPr>
                <w:rFonts w:ascii="Arial Narrow" w:hAnsi="Arial Narrow"/>
              </w:rPr>
            </w:pPr>
            <w:r w:rsidRPr="005F1F93">
              <w:rPr>
                <w:rFonts w:ascii="Arial Narrow" w:hAnsi="Arial Narrow"/>
              </w:rPr>
              <w:t>Coûts non-récurrents</w:t>
            </w:r>
            <w:r w:rsidRPr="00C91468">
              <w:rPr>
                <w:rFonts w:ascii="Arial Narrow" w:hAnsi="Arial Narrow"/>
              </w:rPr>
              <w:t> : industrialisation et outillage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A8C14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2CD8B3" w14:textId="77777777" w:rsidR="00A86523" w:rsidRPr="001C4F24" w:rsidRDefault="00A86523" w:rsidP="00532E4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8820133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E74E7E1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5F08139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86523" w:rsidRPr="00A62764" w14:paraId="78A60C2C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19464C" w14:textId="77777777" w:rsidR="00A86523" w:rsidRPr="005F1F93" w:rsidRDefault="00A86523" w:rsidP="00686FEC">
            <w:pPr>
              <w:rPr>
                <w:rFonts w:ascii="Arial Narrow" w:hAnsi="Arial Narrow"/>
              </w:rPr>
            </w:pPr>
            <w:r w:rsidRPr="005F1F93">
              <w:rPr>
                <w:rFonts w:ascii="Arial Narrow" w:hAnsi="Arial Narrow"/>
              </w:rPr>
              <w:t>Kick off meeting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AB70F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3DB867" w14:textId="77777777" w:rsidR="00A86523" w:rsidRPr="001C4F24" w:rsidRDefault="00A86523" w:rsidP="00532E4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1D82E4C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D74DC25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72E5CAB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86523" w:rsidRPr="00A62764" w14:paraId="07B79849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4C114F" w14:textId="76407230" w:rsidR="00A86523" w:rsidRPr="003F4B9C" w:rsidRDefault="00A86523" w:rsidP="00686FEC">
            <w:pPr>
              <w:rPr>
                <w:rFonts w:ascii="Arial Narrow" w:hAnsi="Arial Narrow"/>
              </w:rPr>
            </w:pPr>
            <w:r w:rsidRPr="005F1F93">
              <w:rPr>
                <w:rFonts w:ascii="Arial Narrow" w:hAnsi="Arial Narrow"/>
              </w:rPr>
              <w:t>R</w:t>
            </w:r>
            <w:r w:rsidRPr="003F4B9C">
              <w:rPr>
                <w:rFonts w:ascii="Arial Narrow" w:hAnsi="Arial Narrow"/>
              </w:rPr>
              <w:t>éception et stockage des composants</w:t>
            </w:r>
            <w:r w:rsidR="00225F82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0BF7E" w14:textId="77777777" w:rsidR="00A86523" w:rsidRPr="003F4B9C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FF1CAB" w14:textId="77777777" w:rsidR="00A86523" w:rsidRPr="00C84111" w:rsidRDefault="00A86523" w:rsidP="00532E4C">
            <w:pPr>
              <w:jc w:val="center"/>
              <w:rPr>
                <w:rFonts w:ascii="Arial Narrow" w:hAnsi="Arial Narrow"/>
                <w:b/>
              </w:rPr>
            </w:pPr>
            <w:r w:rsidRPr="005F1F9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FB8212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0B9BDFC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0BA5766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</w:tr>
      <w:tr w:rsidR="00A86523" w:rsidRPr="00A62764" w14:paraId="49569B08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59CCCA" w14:textId="2169A515" w:rsidR="00A86523" w:rsidRPr="003F4B9C" w:rsidRDefault="00A86523" w:rsidP="00686F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  <w:r w:rsidRPr="003F4B9C">
              <w:rPr>
                <w:rFonts w:ascii="Arial Narrow" w:hAnsi="Arial Narrow"/>
              </w:rPr>
              <w:t>érification du dossier de fabrication du PCB</w:t>
            </w:r>
            <w:r w:rsidR="00225F82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21D0F" w14:textId="77777777" w:rsidR="00A86523" w:rsidRPr="003F4B9C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F1CF6F" w14:textId="77777777" w:rsidR="00A86523" w:rsidRPr="005F1F93" w:rsidRDefault="00A86523" w:rsidP="00532E4C">
            <w:pPr>
              <w:jc w:val="center"/>
              <w:rPr>
                <w:rFonts w:ascii="Arial Narrow" w:hAnsi="Arial Narrow"/>
                <w:b/>
              </w:rPr>
            </w:pPr>
            <w:r w:rsidRPr="005F1F9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AFA4AD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A4D4208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EB2E29" w14:textId="77777777" w:rsidR="00A86523" w:rsidRPr="00A62764" w:rsidRDefault="00A86523" w:rsidP="001C4F24">
            <w:pPr>
              <w:jc w:val="center"/>
              <w:rPr>
                <w:rFonts w:ascii="Arial Narrow" w:hAnsi="Arial Narrow"/>
              </w:rPr>
            </w:pPr>
          </w:p>
        </w:tc>
      </w:tr>
      <w:tr w:rsidR="00B37C5F" w:rsidRPr="00A62764" w14:paraId="2942E8EF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54C71" w14:textId="1A27CBC6" w:rsidR="00B37C5F" w:rsidRDefault="00B37C5F" w:rsidP="00686F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FAI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2681E" w14:textId="77777777" w:rsidR="00B37C5F" w:rsidRPr="003F4B9C" w:rsidRDefault="00B37C5F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D0EAF1" w14:textId="03DFB88A" w:rsidR="00B37C5F" w:rsidRPr="005F1F93" w:rsidRDefault="00E33A5A" w:rsidP="00532E4C">
            <w:pPr>
              <w:jc w:val="center"/>
              <w:rPr>
                <w:rFonts w:ascii="Arial Narrow" w:hAnsi="Arial Narrow"/>
                <w:b/>
              </w:rPr>
            </w:pPr>
            <w:r w:rsidRPr="00E33A5A">
              <w:rPr>
                <w:rFonts w:ascii="Arial Narrow" w:hAnsi="Arial Narrow"/>
                <w:b/>
              </w:rPr>
              <w:t>1</w:t>
            </w:r>
            <w:r w:rsidR="00A36FBA">
              <w:rPr>
                <w:rFonts w:ascii="Arial Narrow" w:hAnsi="Arial Narrow"/>
                <w:b/>
              </w:rPr>
              <w:t xml:space="preserve"> carte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D1E12F" w14:textId="77777777" w:rsidR="00B37C5F" w:rsidRPr="00A62764" w:rsidRDefault="00B37C5F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EB8CCC6" w14:textId="77777777" w:rsidR="00B37C5F" w:rsidRPr="00A62764" w:rsidRDefault="00B37C5F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29495C8" w14:textId="77777777" w:rsidR="00B37C5F" w:rsidRPr="00A62764" w:rsidRDefault="00B37C5F" w:rsidP="001C4F24">
            <w:pPr>
              <w:jc w:val="center"/>
              <w:rPr>
                <w:rFonts w:ascii="Arial Narrow" w:hAnsi="Arial Narrow"/>
              </w:rPr>
            </w:pPr>
          </w:p>
        </w:tc>
      </w:tr>
      <w:tr w:rsidR="009C7530" w:rsidRPr="00A62764" w14:paraId="58EBCF07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2B2BB4" w14:textId="4AA26472" w:rsidR="009C7530" w:rsidRDefault="009C7530" w:rsidP="00686F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Présérie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87DEB" w14:textId="77777777" w:rsidR="009C7530" w:rsidRPr="003F4B9C" w:rsidRDefault="009C7530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37EEE" w14:textId="4D94CE04" w:rsidR="009C7530" w:rsidRPr="007A2F80" w:rsidRDefault="00E33A5A" w:rsidP="00532E4C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283</w:t>
            </w:r>
            <w:r w:rsidR="00A36FBA" w:rsidRPr="007A2F80">
              <w:rPr>
                <w:rFonts w:ascii="Arial Narrow" w:hAnsi="Arial Narrow"/>
                <w:b/>
              </w:rPr>
              <w:t xml:space="preserve"> </w:t>
            </w:r>
            <w:r w:rsidR="007A2F80" w:rsidRPr="007A2F80">
              <w:rPr>
                <w:rFonts w:ascii="Arial Narrow" w:hAnsi="Arial Narrow"/>
                <w:b/>
              </w:rPr>
              <w:t>cartes</w:t>
            </w:r>
            <w:r w:rsidR="00A36FBA" w:rsidRPr="007A2F80">
              <w:rPr>
                <w:rFonts w:ascii="Arial Narrow" w:hAnsi="Arial Narrow"/>
                <w:b/>
              </w:rPr>
              <w:t xml:space="preserve">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695324" w14:textId="77777777" w:rsidR="009C7530" w:rsidRPr="00A62764" w:rsidRDefault="009C7530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A76E62" w14:textId="77777777" w:rsidR="009C7530" w:rsidRPr="00A62764" w:rsidRDefault="009C7530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9428B6F" w14:textId="77777777" w:rsidR="009C7530" w:rsidRPr="00A62764" w:rsidRDefault="009C7530" w:rsidP="001C4F24">
            <w:pPr>
              <w:jc w:val="center"/>
              <w:rPr>
                <w:rFonts w:ascii="Arial Narrow" w:hAnsi="Arial Narrow"/>
              </w:rPr>
            </w:pPr>
          </w:p>
        </w:tc>
      </w:tr>
      <w:tr w:rsidR="008B6342" w:rsidRPr="00A62764" w14:paraId="04D79C71" w14:textId="77777777" w:rsidTr="001C4F24">
        <w:trPr>
          <w:trHeight w:val="56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45A46" w14:textId="77777777" w:rsidR="008B6342" w:rsidRDefault="008B6342" w:rsidP="00686F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Production en série</w:t>
            </w:r>
            <w:r w:rsidR="005E3690">
              <w:rPr>
                <w:rFonts w:ascii="Arial Narrow" w:hAnsi="Arial Narrow"/>
              </w:rPr>
              <w:t xml:space="preserve">, qui comprend l’ensemble des </w:t>
            </w:r>
            <w:r w:rsidR="005E3690" w:rsidRPr="001C4F24">
              <w:rPr>
                <w:rFonts w:ascii="Arial Narrow" w:hAnsi="Arial Narrow"/>
                <w:i/>
              </w:rPr>
              <w:t>prestations</w:t>
            </w:r>
            <w:r w:rsidR="005E3690">
              <w:rPr>
                <w:rFonts w:ascii="Arial Narrow" w:hAnsi="Arial Narrow"/>
              </w:rPr>
              <w:t xml:space="preserve"> ci-dessous</w:t>
            </w:r>
            <w:r w:rsidR="005D5685">
              <w:rPr>
                <w:rFonts w:ascii="Arial Narrow" w:hAnsi="Arial Narrow"/>
              </w:rPr>
              <w:t>.</w:t>
            </w:r>
          </w:p>
          <w:p w14:paraId="232F347D" w14:textId="65223EC4" w:rsidR="005D5685" w:rsidRDefault="005D5685" w:rsidP="00686F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 candidat indique le prix global de la production en série et décompose le prix global de la production en série en complétant chacune des </w:t>
            </w:r>
            <w:r w:rsidRPr="001C4F24">
              <w:rPr>
                <w:rFonts w:ascii="Arial Narrow" w:hAnsi="Arial Narrow"/>
                <w:i/>
              </w:rPr>
              <w:t>lignes</w:t>
            </w:r>
            <w:r>
              <w:rPr>
                <w:rFonts w:ascii="Arial Narrow" w:hAnsi="Arial Narrow"/>
              </w:rPr>
              <w:t xml:space="preserve"> ci-dessous.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D52A9" w14:textId="77777777" w:rsidR="008B6342" w:rsidRPr="003F4B9C" w:rsidRDefault="008B6342" w:rsidP="001C4F2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590086" w14:textId="797357ED" w:rsidR="008B6342" w:rsidRPr="007A2F80" w:rsidRDefault="00965B5B" w:rsidP="006C2183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</w:t>
            </w:r>
            <w:r w:rsidR="00A36FBA" w:rsidRPr="007A2F80">
              <w:rPr>
                <w:rFonts w:ascii="Arial Narrow" w:hAnsi="Arial Narrow"/>
                <w:b/>
              </w:rPr>
              <w:t xml:space="preserve"> cartes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75FA6F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315416D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17BC8EB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86523" w:rsidRPr="00A62764" w14:paraId="07D25436" w14:textId="77777777" w:rsidTr="001C4F24">
        <w:trPr>
          <w:trHeight w:val="560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866E55" w14:textId="215DE097" w:rsidR="00A86523" w:rsidRPr="00742265" w:rsidRDefault="00A86523" w:rsidP="008B6342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 xml:space="preserve">Approvisionnement et vérification des circuits </w:t>
            </w:r>
            <w:r w:rsidRPr="00742265">
              <w:rPr>
                <w:rFonts w:ascii="Arial Narrow" w:hAnsi="Arial Narrow"/>
                <w:i/>
              </w:rPr>
              <w:lastRenderedPageBreak/>
              <w:t>imprimés</w:t>
            </w:r>
            <w:r w:rsidR="004E6F4E" w:rsidRPr="00742265">
              <w:rPr>
                <w:rFonts w:ascii="Arial Narrow" w:hAnsi="Arial Narrow"/>
                <w:i/>
              </w:rPr>
              <w:t xml:space="preserve"> (prestation 3)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35FFD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62DB9" w14:textId="55764E1B" w:rsidR="00A86523" w:rsidRPr="007A2F80" w:rsidRDefault="00A36FBA" w:rsidP="00686FEC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6D4F09F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21FB225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501F9A1" w14:textId="77777777" w:rsidR="00A86523" w:rsidRPr="001C4F24" w:rsidRDefault="00A86523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8B6342" w:rsidRPr="00A62764" w14:paraId="05E4CB7A" w14:textId="77777777" w:rsidTr="001C4F24">
        <w:trPr>
          <w:trHeight w:val="560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3C0CB1" w14:textId="5E4BEA06" w:rsidR="008B6342" w:rsidRPr="00742265" w:rsidRDefault="008B6342" w:rsidP="008B6342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>Revue avant câblage</w:t>
            </w:r>
            <w:r w:rsidR="004E6F4E" w:rsidRPr="00742265">
              <w:rPr>
                <w:rFonts w:ascii="Arial Narrow" w:hAnsi="Arial Narrow"/>
                <w:i/>
              </w:rPr>
              <w:t xml:space="preserve"> dans le cadre de la prestation 3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FDC5C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758B37" w14:textId="183B72C9" w:rsidR="008B6342" w:rsidRPr="007A2F80" w:rsidRDefault="00A36FBA" w:rsidP="00686FEC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6A95FE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1092962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78574F5" w14:textId="77777777" w:rsidR="008B6342" w:rsidRPr="001C4F24" w:rsidRDefault="008B6342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0246248E" w14:textId="77777777" w:rsidTr="001C4F24">
        <w:trPr>
          <w:trHeight w:val="540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F54102" w14:textId="35691C75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>Identification et marquage du PCB (prestation 4)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BB5B5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069B46" w14:textId="1BEC0FFE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77FA0F3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64E5FEC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7C2ABCF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5A625D6F" w14:textId="77777777" w:rsidTr="001C4F24">
        <w:trPr>
          <w:trHeight w:val="567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F514E8" w14:textId="1A5A0575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 xml:space="preserve">Câblage des cartes IB (prestation 5)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FE066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C08AE8" w14:textId="2FD2908E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09DEF2D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5ED65CB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F66EB6B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0F03690B" w14:textId="77777777" w:rsidTr="001C4F24">
        <w:trPr>
          <w:trHeight w:val="546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A74504" w14:textId="6AB1A8A2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>Vérification AOI des cartes électroniques IB (prestation 6)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0F6E30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030912" w14:textId="1D22CA04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C7FC504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CB5FD40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CC14F13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554EE09B" w14:textId="77777777" w:rsidTr="001C4F24">
        <w:trPr>
          <w:trHeight w:val="554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E17602" w14:textId="1C283E63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 xml:space="preserve">Déverminage des cartes IB (prestation </w:t>
            </w:r>
            <w:r w:rsidR="00742265" w:rsidRPr="00742265">
              <w:rPr>
                <w:rFonts w:ascii="Arial Narrow" w:hAnsi="Arial Narrow"/>
                <w:i/>
              </w:rPr>
              <w:t>8</w:t>
            </w:r>
            <w:r w:rsidRPr="00742265"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78E83E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  <w:highlight w:val="yellow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72713C" w14:textId="5EE50468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A6ED50D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8F02DCA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1195E98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1335796B" w14:textId="77777777" w:rsidTr="001C4F24">
        <w:trPr>
          <w:trHeight w:val="554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0B9005" w14:textId="749998F8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 xml:space="preserve">Test électrique et fonctionnel des cartes IB (prestation </w:t>
            </w:r>
            <w:r w:rsidR="00742265" w:rsidRPr="00742265">
              <w:rPr>
                <w:rFonts w:ascii="Arial Narrow" w:hAnsi="Arial Narrow"/>
                <w:i/>
              </w:rPr>
              <w:t>9)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A0F75E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  <w:highlight w:val="yellow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3EAC0A" w14:textId="275205F4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D5ABBC6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CE260FD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3AF9D61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5892735C" w14:textId="77777777" w:rsidTr="001C4F24">
        <w:trPr>
          <w:trHeight w:val="562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7FB5EC" w14:textId="0CC74512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>Revue de livraison et contrôle par l’IRAP avant conditionnement</w:t>
            </w:r>
            <w:r w:rsidR="00187CD1" w:rsidRPr="00742265">
              <w:rPr>
                <w:rFonts w:ascii="Arial Narrow" w:hAnsi="Arial Narrow"/>
                <w:i/>
              </w:rPr>
              <w:t xml:space="preserve">, </w:t>
            </w:r>
            <w:r w:rsidRPr="00742265">
              <w:rPr>
                <w:rFonts w:ascii="Arial Narrow" w:hAnsi="Arial Narrow"/>
                <w:i/>
              </w:rPr>
              <w:t xml:space="preserve">expédition des échantillons (prestation </w:t>
            </w:r>
            <w:r w:rsidR="00742265" w:rsidRPr="00742265">
              <w:rPr>
                <w:rFonts w:ascii="Arial Narrow" w:hAnsi="Arial Narrow"/>
                <w:i/>
              </w:rPr>
              <w:t>10</w:t>
            </w:r>
            <w:r w:rsidRPr="00742265"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72CD1E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  <w:highlight w:val="yellow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33BC15" w14:textId="15B40190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C356B5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1E238DE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EAC71B2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36FBA" w:rsidRPr="00A62764" w14:paraId="79B64DF9" w14:textId="77777777" w:rsidTr="001C4F24">
        <w:trPr>
          <w:trHeight w:val="542"/>
          <w:jc w:val="center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606505" w14:textId="5897787D" w:rsidR="00A36FBA" w:rsidRPr="00742265" w:rsidRDefault="00A36FBA" w:rsidP="00A36FBA">
            <w:pPr>
              <w:jc w:val="right"/>
              <w:rPr>
                <w:rFonts w:ascii="Arial Narrow" w:hAnsi="Arial Narrow"/>
                <w:i/>
              </w:rPr>
            </w:pPr>
            <w:r w:rsidRPr="00742265">
              <w:rPr>
                <w:rFonts w:ascii="Arial Narrow" w:hAnsi="Arial Narrow"/>
                <w:i/>
              </w:rPr>
              <w:t>Conditionnement et expédition des cartes IB (prestation 1</w:t>
            </w:r>
            <w:r w:rsidR="00742265" w:rsidRPr="00742265">
              <w:rPr>
                <w:rFonts w:ascii="Arial Narrow" w:hAnsi="Arial Narrow"/>
                <w:i/>
              </w:rPr>
              <w:t>2</w:t>
            </w:r>
            <w:r w:rsidRPr="00742265"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102710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  <w:highlight w:val="yellow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B77E22" w14:textId="349F38F5" w:rsidR="00A36FBA" w:rsidRPr="007A2F80" w:rsidRDefault="00A36FBA" w:rsidP="00A36FBA">
            <w:pPr>
              <w:jc w:val="center"/>
              <w:rPr>
                <w:rFonts w:ascii="Arial Narrow" w:hAnsi="Arial Narrow"/>
                <w:b/>
              </w:rPr>
            </w:pPr>
            <w:r w:rsidRPr="007A2F80">
              <w:rPr>
                <w:rFonts w:ascii="Arial Narrow" w:hAnsi="Arial Narrow"/>
                <w:b/>
              </w:rPr>
              <w:t>2263 cartes IB</w:t>
            </w: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66EB8B8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B12092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456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63B3D96" w14:textId="77777777" w:rsidR="00A36FBA" w:rsidRPr="001C4F24" w:rsidRDefault="00A36FBA" w:rsidP="001C4F24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A86523" w:rsidRPr="00A62764" w14:paraId="1E75B8AF" w14:textId="77777777" w:rsidTr="0031030C">
        <w:trPr>
          <w:trHeight w:val="765"/>
          <w:jc w:val="center"/>
        </w:trPr>
        <w:tc>
          <w:tcPr>
            <w:tcW w:w="404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1DA4948" w14:textId="7D1EDF4A" w:rsidR="00A86523" w:rsidRPr="00C91468" w:rsidRDefault="00A86523" w:rsidP="00686FEC">
            <w:pPr>
              <w:rPr>
                <w:rFonts w:ascii="Arial Narrow" w:hAnsi="Arial Narrow"/>
                <w:b/>
                <w:bCs/>
              </w:rPr>
            </w:pPr>
            <w:r w:rsidRPr="00C91468">
              <w:rPr>
                <w:rFonts w:ascii="Arial Narrow" w:hAnsi="Arial Narrow"/>
                <w:b/>
                <w:bCs/>
              </w:rPr>
              <w:t>Prix total</w:t>
            </w:r>
          </w:p>
        </w:tc>
        <w:tc>
          <w:tcPr>
            <w:tcW w:w="1394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3A4ADE" w14:textId="77777777" w:rsidR="00A86523" w:rsidRPr="00C91468" w:rsidRDefault="00A86523" w:rsidP="00686FEC">
            <w:pPr>
              <w:rPr>
                <w:rFonts w:ascii="Arial Narrow" w:hAnsi="Arial Narrow"/>
              </w:rPr>
            </w:pPr>
          </w:p>
        </w:tc>
        <w:tc>
          <w:tcPr>
            <w:tcW w:w="1449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56D5DA" w14:textId="77777777" w:rsidR="00A86523" w:rsidRPr="005F1F93" w:rsidRDefault="00A86523" w:rsidP="00686FEC">
            <w:pPr>
              <w:jc w:val="center"/>
              <w:rPr>
                <w:rFonts w:ascii="Arial Narrow" w:hAnsi="Arial Narrow"/>
                <w:b/>
              </w:rPr>
            </w:pPr>
            <w:r w:rsidRPr="005F1F93">
              <w:rPr>
                <w:rFonts w:ascii="Arial Narrow" w:hAnsi="Arial Narrow"/>
                <w:b/>
              </w:rPr>
              <w:t>2547 cartes IB</w:t>
            </w:r>
          </w:p>
        </w:tc>
        <w:tc>
          <w:tcPr>
            <w:tcW w:w="1456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14:paraId="3756F6AB" w14:textId="77777777" w:rsidR="00A86523" w:rsidRPr="00A62764" w:rsidRDefault="00A86523" w:rsidP="00686FEC">
            <w:pPr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1E41DC4F" w14:textId="77777777" w:rsidR="00A86523" w:rsidRPr="00A62764" w:rsidRDefault="00A86523" w:rsidP="00686FEC">
            <w:pPr>
              <w:rPr>
                <w:rFonts w:ascii="Arial Narrow" w:hAnsi="Arial Narrow"/>
              </w:rPr>
            </w:pPr>
          </w:p>
        </w:tc>
        <w:tc>
          <w:tcPr>
            <w:tcW w:w="1456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5FAD8289" w14:textId="77777777" w:rsidR="00A86523" w:rsidRPr="00A62764" w:rsidRDefault="00A86523" w:rsidP="00686FEC">
            <w:pPr>
              <w:rPr>
                <w:rFonts w:ascii="Arial Narrow" w:hAnsi="Arial Narrow"/>
              </w:rPr>
            </w:pPr>
          </w:p>
        </w:tc>
      </w:tr>
    </w:tbl>
    <w:p w14:paraId="7B6C523A" w14:textId="4CDA8321" w:rsidR="0013414C" w:rsidRDefault="0013414C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23AFB66B" w14:textId="565F6275" w:rsidR="00A62764" w:rsidRDefault="00A62764" w:rsidP="00C91468">
      <w:pPr>
        <w:pStyle w:val="Paragraphedeliste"/>
        <w:widowControl w:val="0"/>
        <w:numPr>
          <w:ilvl w:val="0"/>
          <w:numId w:val="2"/>
        </w:numPr>
        <w:suppressAutoHyphens/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 w:rsidRPr="00C91468">
        <w:rPr>
          <w:rFonts w:ascii="Arial Narrow" w:hAnsi="Arial Narrow"/>
          <w:b/>
          <w:sz w:val="28"/>
          <w:szCs w:val="28"/>
          <w:u w:val="single"/>
        </w:rPr>
        <w:lastRenderedPageBreak/>
        <w:t>Offre financière – partie à bon</w:t>
      </w:r>
      <w:r w:rsidR="00C91468">
        <w:rPr>
          <w:rFonts w:ascii="Arial Narrow" w:hAnsi="Arial Narrow"/>
          <w:b/>
          <w:sz w:val="28"/>
          <w:szCs w:val="28"/>
          <w:u w:val="single"/>
        </w:rPr>
        <w:t>s</w:t>
      </w:r>
      <w:r w:rsidRPr="00C91468">
        <w:rPr>
          <w:rFonts w:ascii="Arial Narrow" w:hAnsi="Arial Narrow"/>
          <w:b/>
          <w:sz w:val="28"/>
          <w:szCs w:val="28"/>
          <w:u w:val="single"/>
        </w:rPr>
        <w:t xml:space="preserve"> de commande</w:t>
      </w:r>
    </w:p>
    <w:p w14:paraId="6EAED9C5" w14:textId="6CA206A0" w:rsidR="00C91468" w:rsidRDefault="00C91468" w:rsidP="00C91468">
      <w:pPr>
        <w:rPr>
          <w:rFonts w:ascii="Arial Narrow" w:hAnsi="Arial Narrow"/>
        </w:rPr>
      </w:pPr>
      <w:r w:rsidRPr="00C91468">
        <w:rPr>
          <w:rFonts w:ascii="Arial Narrow" w:hAnsi="Arial Narrow"/>
        </w:rPr>
        <w:t xml:space="preserve">Selon </w:t>
      </w:r>
      <w:r>
        <w:rPr>
          <w:rFonts w:ascii="Arial Narrow" w:hAnsi="Arial Narrow"/>
        </w:rPr>
        <w:t xml:space="preserve">ses besoins, l’IRAP pourra commander </w:t>
      </w:r>
      <w:r w:rsidR="00CB6249">
        <w:rPr>
          <w:rFonts w:ascii="Arial Narrow" w:hAnsi="Arial Narrow"/>
        </w:rPr>
        <w:t xml:space="preserve">par bons de commande </w:t>
      </w:r>
      <w:r>
        <w:rPr>
          <w:rFonts w:ascii="Arial Narrow" w:hAnsi="Arial Narrow"/>
        </w:rPr>
        <w:t>les prestations suivantes :</w:t>
      </w:r>
    </w:p>
    <w:p w14:paraId="62A2BB71" w14:textId="4ECBCFD6" w:rsidR="0091347F" w:rsidRDefault="00C91468" w:rsidP="00C91468">
      <w:pPr>
        <w:pStyle w:val="Paragraphedeliste"/>
        <w:numPr>
          <w:ilvl w:val="1"/>
          <w:numId w:val="2"/>
        </w:numPr>
        <w:rPr>
          <w:rFonts w:ascii="Arial Narrow" w:hAnsi="Arial Narrow"/>
          <w:b/>
          <w:i/>
          <w:sz w:val="24"/>
          <w:szCs w:val="24"/>
          <w:u w:val="single"/>
        </w:rPr>
      </w:pPr>
      <w:r w:rsidRPr="0091347F">
        <w:rPr>
          <w:rFonts w:ascii="Arial Narrow" w:hAnsi="Arial Narrow"/>
          <w:b/>
          <w:i/>
          <w:sz w:val="24"/>
          <w:szCs w:val="24"/>
          <w:u w:val="single"/>
        </w:rPr>
        <w:t>Vérification par Advanced 3D X-Ray et inspection des cartes électroniques IB</w:t>
      </w:r>
      <w:r w:rsidR="001067A9">
        <w:rPr>
          <w:rFonts w:ascii="Arial Narrow" w:hAnsi="Arial Narrow"/>
          <w:b/>
          <w:i/>
          <w:sz w:val="24"/>
          <w:szCs w:val="24"/>
          <w:u w:val="single"/>
        </w:rPr>
        <w:t xml:space="preserve"> commandées au titre de la partie globale et forfaitaire (2547 cartes IB)</w:t>
      </w:r>
    </w:p>
    <w:tbl>
      <w:tblPr>
        <w:tblW w:w="113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394"/>
        <w:gridCol w:w="1521"/>
        <w:gridCol w:w="1456"/>
        <w:gridCol w:w="1456"/>
        <w:gridCol w:w="1456"/>
      </w:tblGrid>
      <w:tr w:rsidR="0091347F" w:rsidRPr="00A62764" w14:paraId="2DDC2DC6" w14:textId="77777777" w:rsidTr="00C50E1F">
        <w:trPr>
          <w:trHeight w:val="555"/>
          <w:jc w:val="center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494B4" w14:textId="77777777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Désignation</w:t>
            </w:r>
            <w:r>
              <w:rPr>
                <w:rFonts w:ascii="Arial Narrow" w:hAnsi="Arial Narrow"/>
                <w:b/>
                <w:bCs/>
              </w:rPr>
              <w:t xml:space="preserve"> des éléments de l’offre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6E9B174" w14:textId="1DE17B6F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 xml:space="preserve">Prix en € HT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E4996D7" w14:textId="77777777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Quantité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682C9EEE" w14:textId="77777777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 xml:space="preserve">Total en € HT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12D9EECC" w14:textId="77777777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4DAAD5E2" w14:textId="77777777" w:rsidR="0091347F" w:rsidRPr="00A62764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Total en € TTC</w:t>
            </w:r>
          </w:p>
        </w:tc>
      </w:tr>
      <w:tr w:rsidR="0091347F" w:rsidRPr="003F4B9C" w14:paraId="23D7468E" w14:textId="77777777" w:rsidTr="00C50E1F">
        <w:trPr>
          <w:trHeight w:val="555"/>
          <w:jc w:val="center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4C344" w14:textId="59D7A5B7" w:rsidR="0091347F" w:rsidRPr="003F4B9C" w:rsidRDefault="001067A9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</w:t>
            </w:r>
            <w:r w:rsidR="0091347F">
              <w:rPr>
                <w:rFonts w:ascii="Arial Narrow" w:hAnsi="Arial Narrow"/>
                <w:b/>
                <w:bCs/>
              </w:rPr>
              <w:t>érification par Advanced 3D X-Ray et inspection des cartes électroniques IB (commandées au titre de la partie globale et forfaitaire)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0CB3" w14:textId="77777777" w:rsidR="0091347F" w:rsidRPr="003F4B9C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818C1" w14:textId="3D3216F9" w:rsidR="0091347F" w:rsidRPr="003F4B9C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347F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 </w:t>
            </w:r>
            <w:r w:rsidRPr="0091347F">
              <w:rPr>
                <w:rFonts w:ascii="Arial Narrow" w:hAnsi="Arial Narrow"/>
              </w:rPr>
              <w:t>547</w:t>
            </w:r>
            <w:r>
              <w:rPr>
                <w:rFonts w:ascii="Arial Narrow" w:hAnsi="Arial Narrow"/>
              </w:rPr>
              <w:t xml:space="preserve"> cartes</w:t>
            </w:r>
            <w:r w:rsidRPr="0091347F">
              <w:rPr>
                <w:rFonts w:ascii="Arial Narrow" w:hAnsi="Arial Narrow"/>
              </w:rPr>
              <w:t xml:space="preserve"> IB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05A62E8" w14:textId="77777777" w:rsidR="0091347F" w:rsidRPr="003F4B9C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911A00" w14:textId="77777777" w:rsidR="0091347F" w:rsidRPr="003F4B9C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9F42ED" w14:textId="77777777" w:rsidR="0091347F" w:rsidRPr="003F4B9C" w:rsidRDefault="0091347F" w:rsidP="00C50E1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514DC2ED" w14:textId="3CA7B257" w:rsidR="001818DE" w:rsidRDefault="001818DE" w:rsidP="0013414C">
      <w:pPr>
        <w:rPr>
          <w:rFonts w:ascii="Arial Narrow" w:hAnsi="Arial Narrow"/>
          <w:sz w:val="24"/>
          <w:szCs w:val="24"/>
        </w:rPr>
      </w:pPr>
    </w:p>
    <w:p w14:paraId="0871989D" w14:textId="1C0CE4E1" w:rsidR="001818DE" w:rsidRDefault="001818D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35B55AF0" w14:textId="301B5169" w:rsidR="00D42309" w:rsidRDefault="00D42309">
      <w:pPr>
        <w:rPr>
          <w:rFonts w:ascii="Arial Narrow" w:hAnsi="Arial Narrow"/>
          <w:sz w:val="24"/>
          <w:szCs w:val="24"/>
        </w:rPr>
      </w:pPr>
    </w:p>
    <w:p w14:paraId="0EDC8359" w14:textId="77777777" w:rsidR="00F70005" w:rsidRDefault="00F70005" w:rsidP="0013414C">
      <w:pPr>
        <w:rPr>
          <w:rFonts w:ascii="Arial Narrow" w:hAnsi="Arial Narrow"/>
          <w:sz w:val="24"/>
          <w:szCs w:val="24"/>
        </w:rPr>
      </w:pPr>
    </w:p>
    <w:p w14:paraId="4FC0EA33" w14:textId="77777777" w:rsidR="00F725B1" w:rsidRDefault="0040044C" w:rsidP="00F725B1">
      <w:pPr>
        <w:pStyle w:val="Paragraphedeliste"/>
        <w:numPr>
          <w:ilvl w:val="1"/>
          <w:numId w:val="2"/>
        </w:numPr>
        <w:rPr>
          <w:rFonts w:ascii="Arial Narrow" w:hAnsi="Arial Narrow"/>
          <w:b/>
          <w:i/>
          <w:sz w:val="24"/>
          <w:szCs w:val="24"/>
          <w:u w:val="single"/>
        </w:rPr>
      </w:pPr>
      <w:r>
        <w:rPr>
          <w:rFonts w:ascii="Arial Narrow" w:hAnsi="Arial Narrow"/>
          <w:b/>
          <w:i/>
          <w:sz w:val="24"/>
          <w:szCs w:val="24"/>
          <w:u w:val="single"/>
        </w:rPr>
        <w:t>Stockage longue durée des cartes IB avant livraison</w:t>
      </w:r>
    </w:p>
    <w:p w14:paraId="68F63EC1" w14:textId="4FE069A1" w:rsidR="00F725B1" w:rsidRPr="00F725B1" w:rsidRDefault="00F725B1" w:rsidP="00F725B1">
      <w:pPr>
        <w:rPr>
          <w:rFonts w:ascii="Arial Narrow" w:hAnsi="Arial Narrow"/>
          <w:b/>
          <w:i/>
          <w:sz w:val="24"/>
          <w:szCs w:val="24"/>
          <w:u w:val="single"/>
        </w:rPr>
      </w:pPr>
      <w:r w:rsidRPr="00F725B1">
        <w:rPr>
          <w:rFonts w:ascii="Arial Narrow" w:hAnsi="Arial Narrow"/>
          <w:sz w:val="24"/>
          <w:szCs w:val="24"/>
        </w:rPr>
        <w:t xml:space="preserve">Les prestations seront commandées pour </w:t>
      </w:r>
      <w:r w:rsidR="005C058C">
        <w:rPr>
          <w:rFonts w:ascii="Arial Narrow" w:hAnsi="Arial Narrow"/>
          <w:sz w:val="24"/>
          <w:szCs w:val="24"/>
        </w:rPr>
        <w:t>un (</w:t>
      </w:r>
      <w:r w:rsidRPr="00F725B1">
        <w:rPr>
          <w:rFonts w:ascii="Arial Narrow" w:hAnsi="Arial Narrow"/>
          <w:sz w:val="24"/>
          <w:szCs w:val="24"/>
        </w:rPr>
        <w:t>1</w:t>
      </w:r>
      <w:r w:rsidR="005C058C">
        <w:rPr>
          <w:rFonts w:ascii="Arial Narrow" w:hAnsi="Arial Narrow"/>
          <w:sz w:val="24"/>
          <w:szCs w:val="24"/>
        </w:rPr>
        <w:t>)</w:t>
      </w:r>
      <w:r w:rsidRPr="00F725B1">
        <w:rPr>
          <w:rFonts w:ascii="Arial Narrow" w:hAnsi="Arial Narrow"/>
          <w:sz w:val="24"/>
          <w:szCs w:val="24"/>
        </w:rPr>
        <w:t xml:space="preserve"> mois renouvelable, pour une ou plusieurs tranche(s) de cartes IB (selon les besoins de l’IRAP).</w:t>
      </w:r>
      <w:r w:rsidR="000E40B5">
        <w:rPr>
          <w:rFonts w:ascii="Arial Narrow" w:hAnsi="Arial Narrow"/>
          <w:sz w:val="24"/>
          <w:szCs w:val="24"/>
        </w:rPr>
        <w:t xml:space="preserve"> Pour chaque renouvellement du stockage d’une tranche déjà stockée ou pour tout stockage d’une tranche supplémentaire, l’IRAP notifiera un bon de commande au titulaire.</w:t>
      </w:r>
    </w:p>
    <w:p w14:paraId="2388514B" w14:textId="01FCBB55" w:rsidR="00F725B1" w:rsidRDefault="00F725B1" w:rsidP="00F725B1">
      <w:pPr>
        <w:rPr>
          <w:rFonts w:ascii="Arial Narrow" w:hAnsi="Arial Narrow"/>
          <w:sz w:val="24"/>
          <w:szCs w:val="24"/>
        </w:rPr>
      </w:pPr>
      <w:r w:rsidRPr="00F725B1">
        <w:rPr>
          <w:rFonts w:ascii="Arial Narrow" w:hAnsi="Arial Narrow"/>
          <w:sz w:val="24"/>
          <w:szCs w:val="24"/>
        </w:rPr>
        <w:t>Le prix indiqué ci-dessous correspond prix du stockage mensuel pour une</w:t>
      </w:r>
      <w:r w:rsidR="005C058C">
        <w:rPr>
          <w:rFonts w:ascii="Arial Narrow" w:hAnsi="Arial Narrow"/>
          <w:sz w:val="24"/>
          <w:szCs w:val="24"/>
        </w:rPr>
        <w:t xml:space="preserve"> (1)</w:t>
      </w:r>
      <w:r w:rsidRPr="00F725B1">
        <w:rPr>
          <w:rFonts w:ascii="Arial Narrow" w:hAnsi="Arial Narrow"/>
          <w:sz w:val="24"/>
          <w:szCs w:val="24"/>
        </w:rPr>
        <w:t xml:space="preserve"> tranche </w:t>
      </w:r>
      <w:r w:rsidR="00C44D31">
        <w:rPr>
          <w:rFonts w:ascii="Arial Narrow" w:hAnsi="Arial Narrow"/>
          <w:sz w:val="24"/>
          <w:szCs w:val="24"/>
        </w:rPr>
        <w:t>de</w:t>
      </w:r>
      <w:r w:rsidRPr="00F725B1">
        <w:rPr>
          <w:rFonts w:ascii="Arial Narrow" w:hAnsi="Arial Narrow"/>
          <w:sz w:val="24"/>
          <w:szCs w:val="24"/>
        </w:rPr>
        <w:t xml:space="preserve"> cartes IB</w:t>
      </w:r>
      <w:r w:rsidR="00C44D31">
        <w:rPr>
          <w:rFonts w:ascii="Arial Narrow" w:hAnsi="Arial Narrow"/>
          <w:sz w:val="24"/>
          <w:szCs w:val="24"/>
        </w:rPr>
        <w:t xml:space="preserve"> </w:t>
      </w:r>
      <w:r w:rsidR="00C44D31">
        <w:rPr>
          <w:rFonts w:ascii="Arial Narrow" w:hAnsi="Arial Narrow"/>
        </w:rPr>
        <w:t>(cf. article 5.2 du CCTP n°24222)</w:t>
      </w:r>
      <w:r w:rsidRPr="00F725B1">
        <w:rPr>
          <w:rFonts w:ascii="Arial Narrow" w:hAnsi="Arial Narrow"/>
          <w:sz w:val="24"/>
          <w:szCs w:val="24"/>
        </w:rPr>
        <w:t xml:space="preserve">. </w:t>
      </w:r>
    </w:p>
    <w:p w14:paraId="0E2DBC47" w14:textId="10B2D866" w:rsidR="00847928" w:rsidRPr="00F725B1" w:rsidRDefault="00847928" w:rsidP="00F725B1">
      <w:pPr>
        <w:rPr>
          <w:rFonts w:ascii="Arial Narrow" w:hAnsi="Arial Narrow"/>
          <w:sz w:val="24"/>
          <w:szCs w:val="24"/>
        </w:rPr>
      </w:pPr>
      <w:r w:rsidRPr="00847928">
        <w:rPr>
          <w:rFonts w:ascii="Arial Narrow" w:hAnsi="Arial Narrow"/>
          <w:sz w:val="24"/>
          <w:szCs w:val="24"/>
          <w:u w:val="single"/>
        </w:rPr>
        <w:t>Ex</w:t>
      </w:r>
      <w:r>
        <w:rPr>
          <w:rFonts w:ascii="Arial Narrow" w:hAnsi="Arial Narrow"/>
          <w:sz w:val="24"/>
          <w:szCs w:val="24"/>
        </w:rPr>
        <w:t xml:space="preserve"> : si l’IRAP a besoin de stocker </w:t>
      </w:r>
      <w:r w:rsidR="009F578C">
        <w:rPr>
          <w:rFonts w:ascii="Arial Narrow" w:hAnsi="Arial Narrow"/>
          <w:sz w:val="24"/>
          <w:szCs w:val="24"/>
        </w:rPr>
        <w:t xml:space="preserve">pendant 3 mois </w:t>
      </w:r>
      <w:r w:rsidR="001118A5">
        <w:rPr>
          <w:rFonts w:ascii="Arial Narrow" w:hAnsi="Arial Narrow"/>
          <w:sz w:val="24"/>
          <w:szCs w:val="24"/>
        </w:rPr>
        <w:t>l’ensemble des cartes de la production en série (</w:t>
      </w:r>
      <w:r w:rsidR="006A3EB2">
        <w:rPr>
          <w:rFonts w:ascii="Arial Narrow" w:hAnsi="Arial Narrow"/>
          <w:sz w:val="24"/>
          <w:szCs w:val="24"/>
        </w:rPr>
        <w:t>8 tranches</w:t>
      </w:r>
      <w:r w:rsidR="009F578C">
        <w:rPr>
          <w:rFonts w:ascii="Arial Narrow" w:hAnsi="Arial Narrow"/>
          <w:sz w:val="24"/>
          <w:szCs w:val="24"/>
        </w:rPr>
        <w:t>, de la 2</w:t>
      </w:r>
      <w:r w:rsidR="009F578C" w:rsidRPr="009F578C">
        <w:rPr>
          <w:rFonts w:ascii="Arial Narrow" w:hAnsi="Arial Narrow"/>
          <w:sz w:val="24"/>
          <w:szCs w:val="24"/>
          <w:vertAlign w:val="superscript"/>
        </w:rPr>
        <w:t>ème</w:t>
      </w:r>
      <w:r w:rsidR="009F578C">
        <w:rPr>
          <w:rFonts w:ascii="Arial Narrow" w:hAnsi="Arial Narrow"/>
          <w:sz w:val="24"/>
          <w:szCs w:val="24"/>
        </w:rPr>
        <w:t xml:space="preserve"> à 9</w:t>
      </w:r>
      <w:r w:rsidR="009F578C" w:rsidRPr="009F578C">
        <w:rPr>
          <w:rFonts w:ascii="Arial Narrow" w:hAnsi="Arial Narrow"/>
          <w:sz w:val="24"/>
          <w:szCs w:val="24"/>
          <w:vertAlign w:val="superscript"/>
        </w:rPr>
        <w:t>ème</w:t>
      </w:r>
      <w:r w:rsidR="009F578C">
        <w:rPr>
          <w:rFonts w:ascii="Arial Narrow" w:hAnsi="Arial Narrow"/>
          <w:sz w:val="24"/>
          <w:szCs w:val="24"/>
        </w:rPr>
        <w:t xml:space="preserve"> tranche</w:t>
      </w:r>
      <w:r w:rsidR="006A3EB2">
        <w:rPr>
          <w:rFonts w:ascii="Arial Narrow" w:hAnsi="Arial Narrow"/>
          <w:sz w:val="24"/>
          <w:szCs w:val="24"/>
        </w:rPr>
        <w:t>), un bon de commande égal au prix unitaire multiplié par 3</w:t>
      </w:r>
      <w:r w:rsidR="009F578C">
        <w:rPr>
          <w:rFonts w:ascii="Arial Narrow" w:hAnsi="Arial Narrow"/>
          <w:sz w:val="24"/>
          <w:szCs w:val="24"/>
        </w:rPr>
        <w:t xml:space="preserve"> puis multiplié par 8</w:t>
      </w:r>
      <w:r w:rsidR="006A3EB2">
        <w:rPr>
          <w:rFonts w:ascii="Arial Narrow" w:hAnsi="Arial Narrow"/>
          <w:sz w:val="24"/>
          <w:szCs w:val="24"/>
        </w:rPr>
        <w:t xml:space="preserve"> sera notifié au titulaire par l’IRAP. </w:t>
      </w:r>
    </w:p>
    <w:tbl>
      <w:tblPr>
        <w:tblW w:w="113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394"/>
        <w:gridCol w:w="1521"/>
        <w:gridCol w:w="1456"/>
        <w:gridCol w:w="1456"/>
        <w:gridCol w:w="1456"/>
      </w:tblGrid>
      <w:tr w:rsidR="0040044C" w:rsidRPr="00A62764" w14:paraId="7C32B20F" w14:textId="77777777" w:rsidTr="00D24E57">
        <w:trPr>
          <w:trHeight w:val="555"/>
          <w:jc w:val="center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1A915" w14:textId="77777777" w:rsidR="0040044C" w:rsidRPr="00A62764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Désignation</w:t>
            </w:r>
            <w:r>
              <w:rPr>
                <w:rFonts w:ascii="Arial Narrow" w:hAnsi="Arial Narrow"/>
                <w:b/>
                <w:bCs/>
              </w:rPr>
              <w:t xml:space="preserve"> des éléments de l’offre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6A69520" w14:textId="77777777" w:rsidR="00847928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Prix Unitaire en € HT</w:t>
            </w:r>
            <w:r w:rsidR="001818DE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03005809" w14:textId="3B7C3268" w:rsidR="0040044C" w:rsidRPr="00847928" w:rsidRDefault="00462E91" w:rsidP="00D24E57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  <w:proofErr w:type="gramStart"/>
            <w:r w:rsidRPr="00847928">
              <w:rPr>
                <w:rFonts w:ascii="Arial Narrow" w:hAnsi="Arial Narrow"/>
                <w:b/>
                <w:bCs/>
                <w:color w:val="FF0000"/>
                <w:u w:val="single"/>
              </w:rPr>
              <w:t>pour</w:t>
            </w:r>
            <w:proofErr w:type="gramEnd"/>
            <w:r w:rsidRPr="00847928">
              <w:rPr>
                <w:rFonts w:ascii="Arial Narrow" w:hAnsi="Arial Narrow"/>
                <w:b/>
                <w:bCs/>
                <w:color w:val="FF0000"/>
                <w:u w:val="single"/>
              </w:rPr>
              <w:t xml:space="preserve"> 1 mois</w:t>
            </w:r>
            <w:r w:rsidR="00854003" w:rsidRPr="00847928">
              <w:rPr>
                <w:rFonts w:ascii="Arial Narrow" w:hAnsi="Arial Narrow"/>
                <w:b/>
                <w:bCs/>
                <w:color w:val="FF0000"/>
                <w:u w:val="single"/>
              </w:rPr>
              <w:t xml:space="preserve"> de stockage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F3DF6BC" w14:textId="77777777" w:rsidR="0040044C" w:rsidRPr="00A62764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>Quantité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472F5D3F" w14:textId="77777777" w:rsidR="0040044C" w:rsidRPr="00A62764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 w:rsidRPr="00A62764">
              <w:rPr>
                <w:rFonts w:ascii="Arial Narrow" w:hAnsi="Arial Narrow"/>
                <w:b/>
                <w:bCs/>
              </w:rPr>
              <w:t xml:space="preserve">Total en € HT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7F190749" w14:textId="77777777" w:rsidR="0040044C" w:rsidRPr="00A62764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</w:tcPr>
          <w:p w14:paraId="7E396DB5" w14:textId="77777777" w:rsidR="0040044C" w:rsidRPr="00A62764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Total en € TTC</w:t>
            </w:r>
          </w:p>
        </w:tc>
      </w:tr>
      <w:tr w:rsidR="0040044C" w:rsidRPr="003F4B9C" w14:paraId="391E730C" w14:textId="77777777" w:rsidTr="00D24E57">
        <w:trPr>
          <w:trHeight w:val="555"/>
          <w:jc w:val="center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E5ECA6" w14:textId="0DD48585" w:rsidR="0040044C" w:rsidRPr="003F4B9C" w:rsidRDefault="00462E91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Stockage longue durée des cartes IB avant livraison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783D" w14:textId="77777777" w:rsidR="0040044C" w:rsidRPr="003F4B9C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5B77F" w14:textId="46C891B3" w:rsidR="0040044C" w:rsidRPr="003F4B9C" w:rsidRDefault="00C44D31" w:rsidP="00D24E5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</w:rPr>
              <w:t>1 tranche de cartes (cf. article 5.2 du CCTP n°24222)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0D3604" w14:textId="77777777" w:rsidR="0040044C" w:rsidRPr="003F4B9C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DDF7BF" w14:textId="77777777" w:rsidR="0040044C" w:rsidRPr="003F4B9C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760805" w14:textId="77777777" w:rsidR="0040044C" w:rsidRPr="003F4B9C" w:rsidRDefault="0040044C" w:rsidP="00D24E5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4616E0F" w14:textId="2393C05B" w:rsidR="002A7CFB" w:rsidRPr="0013414C" w:rsidRDefault="002A7CFB" w:rsidP="0013414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sectPr w:rsidR="002A7CFB" w:rsidRPr="0013414C" w:rsidSect="00A62764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78EAC" w14:textId="77777777" w:rsidR="0013414C" w:rsidRDefault="0013414C" w:rsidP="0013414C">
      <w:pPr>
        <w:spacing w:after="0" w:line="240" w:lineRule="auto"/>
      </w:pPr>
      <w:r>
        <w:separator/>
      </w:r>
    </w:p>
  </w:endnote>
  <w:endnote w:type="continuationSeparator" w:id="0">
    <w:p w14:paraId="73EA47BC" w14:textId="77777777" w:rsidR="0013414C" w:rsidRDefault="0013414C" w:rsidP="0013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0415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D519BA" w14:textId="7CD649D6" w:rsidR="0013414C" w:rsidRDefault="0013414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626ED0" w14:textId="77777777" w:rsidR="0013414C" w:rsidRDefault="001341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E4812" w14:textId="77777777" w:rsidR="0013414C" w:rsidRDefault="0013414C" w:rsidP="0013414C">
      <w:pPr>
        <w:spacing w:after="0" w:line="240" w:lineRule="auto"/>
      </w:pPr>
      <w:r>
        <w:separator/>
      </w:r>
    </w:p>
  </w:footnote>
  <w:footnote w:type="continuationSeparator" w:id="0">
    <w:p w14:paraId="4828E811" w14:textId="77777777" w:rsidR="0013414C" w:rsidRDefault="0013414C" w:rsidP="00134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F87"/>
    <w:multiLevelType w:val="multilevel"/>
    <w:tmpl w:val="A68013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F54252"/>
    <w:multiLevelType w:val="hybridMultilevel"/>
    <w:tmpl w:val="0E5A0CA8"/>
    <w:lvl w:ilvl="0" w:tplc="7DD4A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42423"/>
    <w:multiLevelType w:val="multilevel"/>
    <w:tmpl w:val="A68013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2225FA"/>
    <w:multiLevelType w:val="hybridMultilevel"/>
    <w:tmpl w:val="33B07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264ED"/>
    <w:multiLevelType w:val="hybridMultilevel"/>
    <w:tmpl w:val="C7E2DE36"/>
    <w:lvl w:ilvl="0" w:tplc="CC4E56F8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F28C6"/>
    <w:multiLevelType w:val="hybridMultilevel"/>
    <w:tmpl w:val="2B3E5EDE"/>
    <w:lvl w:ilvl="0" w:tplc="C6F64A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30AE6"/>
    <w:multiLevelType w:val="hybridMultilevel"/>
    <w:tmpl w:val="9AFC4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95F9C"/>
    <w:multiLevelType w:val="hybridMultilevel"/>
    <w:tmpl w:val="4A54E1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22400"/>
    <w:multiLevelType w:val="hybridMultilevel"/>
    <w:tmpl w:val="5B149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5051E"/>
    <w:multiLevelType w:val="hybridMultilevel"/>
    <w:tmpl w:val="F9EEB0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B95"/>
    <w:rsid w:val="00021EBA"/>
    <w:rsid w:val="00032EF5"/>
    <w:rsid w:val="000E40B5"/>
    <w:rsid w:val="001067A9"/>
    <w:rsid w:val="001118A5"/>
    <w:rsid w:val="0013414C"/>
    <w:rsid w:val="00166F76"/>
    <w:rsid w:val="001701BF"/>
    <w:rsid w:val="001818DE"/>
    <w:rsid w:val="00187CD1"/>
    <w:rsid w:val="001C4F24"/>
    <w:rsid w:val="00225F82"/>
    <w:rsid w:val="002475D5"/>
    <w:rsid w:val="00286D6C"/>
    <w:rsid w:val="002A7CFB"/>
    <w:rsid w:val="002B1F9F"/>
    <w:rsid w:val="002B5B0E"/>
    <w:rsid w:val="002F62F1"/>
    <w:rsid w:val="0031030C"/>
    <w:rsid w:val="00395652"/>
    <w:rsid w:val="003A0040"/>
    <w:rsid w:val="003D5C11"/>
    <w:rsid w:val="003F4B9C"/>
    <w:rsid w:val="0040044C"/>
    <w:rsid w:val="00426E13"/>
    <w:rsid w:val="00426E3A"/>
    <w:rsid w:val="004354E9"/>
    <w:rsid w:val="00462E91"/>
    <w:rsid w:val="004873F2"/>
    <w:rsid w:val="004D6720"/>
    <w:rsid w:val="004E6F4E"/>
    <w:rsid w:val="00532E4C"/>
    <w:rsid w:val="005514E1"/>
    <w:rsid w:val="005B05BB"/>
    <w:rsid w:val="005C03E4"/>
    <w:rsid w:val="005C058C"/>
    <w:rsid w:val="005D5685"/>
    <w:rsid w:val="005E3690"/>
    <w:rsid w:val="005F1F93"/>
    <w:rsid w:val="00635698"/>
    <w:rsid w:val="00636628"/>
    <w:rsid w:val="00655D5A"/>
    <w:rsid w:val="006562FD"/>
    <w:rsid w:val="00661805"/>
    <w:rsid w:val="006A3EB2"/>
    <w:rsid w:val="006B2474"/>
    <w:rsid w:val="006C2183"/>
    <w:rsid w:val="006C6492"/>
    <w:rsid w:val="006F1F46"/>
    <w:rsid w:val="00735154"/>
    <w:rsid w:val="00742265"/>
    <w:rsid w:val="007A2F80"/>
    <w:rsid w:val="007B1F37"/>
    <w:rsid w:val="007F0B95"/>
    <w:rsid w:val="008120FC"/>
    <w:rsid w:val="0081626A"/>
    <w:rsid w:val="00847928"/>
    <w:rsid w:val="00854003"/>
    <w:rsid w:val="00893F99"/>
    <w:rsid w:val="008B6342"/>
    <w:rsid w:val="008E6DB6"/>
    <w:rsid w:val="00901248"/>
    <w:rsid w:val="0091347F"/>
    <w:rsid w:val="00965B5B"/>
    <w:rsid w:val="009A0304"/>
    <w:rsid w:val="009C7530"/>
    <w:rsid w:val="009F578C"/>
    <w:rsid w:val="00A3534D"/>
    <w:rsid w:val="00A36FBA"/>
    <w:rsid w:val="00A62764"/>
    <w:rsid w:val="00A6480C"/>
    <w:rsid w:val="00A818D9"/>
    <w:rsid w:val="00A86523"/>
    <w:rsid w:val="00A97BE6"/>
    <w:rsid w:val="00B201D9"/>
    <w:rsid w:val="00B37C5F"/>
    <w:rsid w:val="00C35F79"/>
    <w:rsid w:val="00C44D31"/>
    <w:rsid w:val="00C757E3"/>
    <w:rsid w:val="00C84111"/>
    <w:rsid w:val="00C91468"/>
    <w:rsid w:val="00CB6249"/>
    <w:rsid w:val="00CB62BA"/>
    <w:rsid w:val="00D42309"/>
    <w:rsid w:val="00D72DAE"/>
    <w:rsid w:val="00DC2B5C"/>
    <w:rsid w:val="00E31C58"/>
    <w:rsid w:val="00E33A5A"/>
    <w:rsid w:val="00E62578"/>
    <w:rsid w:val="00E64F10"/>
    <w:rsid w:val="00E82EA4"/>
    <w:rsid w:val="00ED2BD9"/>
    <w:rsid w:val="00EF1970"/>
    <w:rsid w:val="00EF7931"/>
    <w:rsid w:val="00F10C50"/>
    <w:rsid w:val="00F70005"/>
    <w:rsid w:val="00F725B1"/>
    <w:rsid w:val="00F854A8"/>
    <w:rsid w:val="00FA30CD"/>
    <w:rsid w:val="00FC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C3AD"/>
  <w15:docId w15:val="{69E90E35-8875-4BA9-B7C2-8814B6E6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1E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356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569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569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56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569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569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701BF"/>
    <w:pPr>
      <w:ind w:left="720"/>
      <w:contextualSpacing/>
    </w:pPr>
  </w:style>
  <w:style w:type="paragraph" w:customStyle="1" w:styleId="Standard">
    <w:name w:val="Standard"/>
    <w:uiPriority w:val="99"/>
    <w:rsid w:val="00A6276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3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414C"/>
  </w:style>
  <w:style w:type="paragraph" w:styleId="Pieddepage">
    <w:name w:val="footer"/>
    <w:basedOn w:val="Normal"/>
    <w:link w:val="PieddepageCar"/>
    <w:uiPriority w:val="99"/>
    <w:unhideWhenUsed/>
    <w:rsid w:val="0013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414C"/>
  </w:style>
  <w:style w:type="paragraph" w:customStyle="1" w:styleId="BP1">
    <w:name w:val="BP1"/>
    <w:basedOn w:val="Normal"/>
    <w:qFormat/>
    <w:rsid w:val="00D42309"/>
    <w:pPr>
      <w:widowControl w:val="0"/>
      <w:suppressAutoHyphens/>
      <w:spacing w:after="120" w:line="240" w:lineRule="auto"/>
      <w:jc w:val="both"/>
    </w:pPr>
    <w:rPr>
      <w:rFonts w:ascii="Arial Narrow" w:eastAsia="Times New Roman" w:hAnsi="Arial Narrow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632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Boukhari Sylvie</dc:creator>
  <cp:keywords/>
  <dc:description/>
  <cp:lastModifiedBy>TENART Pauline</cp:lastModifiedBy>
  <cp:revision>29</cp:revision>
  <dcterms:created xsi:type="dcterms:W3CDTF">2018-07-30T12:24:00Z</dcterms:created>
  <dcterms:modified xsi:type="dcterms:W3CDTF">2024-12-12T12:57:00Z</dcterms:modified>
</cp:coreProperties>
</file>