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38"/>
        <w:gridCol w:w="63"/>
        <w:gridCol w:w="4638"/>
      </w:tblGrid>
      <w:tr>
        <w:trPr>
          <w:jc w:val="center"/>
        </w:trPr>
        <w:tc>
          <w:tcPr>
            <w:tcW w:w="5029" w:type="dxa"/>
            <w:tcBorders>
              <w:top w:val="none" w:sz="4" w:space="0" w:color="000000"/>
              <w:left w:val="none" w:sz="4" w:space="0" w:color="000000"/>
              <w:bottom w:val="none" w:sz="4" w:space="0" w:color="000000"/>
              <w:right w:val="none" w:sz="4" w:space="0" w:color="000000"/>
            </w:tcBorders>
          </w:tcPr>
          <w:p/>
          <w:p/>
        </w:tc>
        <w:tc>
          <w:tcPr>
            <w:tcW w:w="4750" w:type="dxa"/>
            <w:gridSpan w:val="2"/>
            <w:tcBorders>
              <w:top w:val="none" w:sz="4" w:space="0" w:color="000000"/>
              <w:left w:val="none" w:sz="4" w:space="0" w:color="000000"/>
              <w:bottom w:val="none" w:sz="4" w:space="0" w:color="000000"/>
              <w:right w:val="none" w:sz="4" w:space="0" w:color="000000"/>
            </w:tcBorders>
          </w:tcPr>
          <w:p>
            <w:pPr>
              <w:jc w:val="right"/>
              <w:rPr>
                <w:rStyle w:val="Objetducourrier"/>
                <w:rFonts w:ascii="Marianne" w:hAnsi="Marianne"/>
                <w:b/>
                <w:sz w:val="28"/>
                <w:szCs w:val="28"/>
              </w:rPr>
            </w:pPr>
            <w:r>
              <w:rPr>
                <w:rStyle w:val="Objetducourrier"/>
                <w:rFonts w:ascii="Marianne" w:hAnsi="Marianne"/>
                <w:b/>
                <w:sz w:val="28"/>
                <w:szCs w:val="28"/>
              </w:rPr>
              <w:t>Agence pour l’informatique financière de l’État</w:t>
            </w:r>
          </w:p>
          <w:p>
            <w:pPr>
              <w:jc w:val="right"/>
              <w:rPr>
                <w:sz w:val="18"/>
              </w:rPr>
            </w:pPr>
          </w:p>
        </w:tc>
      </w:tr>
      <w:tr>
        <w:trPr>
          <w:jc w:val="center"/>
        </w:trPr>
        <w:tc>
          <w:tcPr>
            <w:tcW w:w="5092" w:type="dxa"/>
            <w:gridSpan w:val="2"/>
            <w:tcBorders>
              <w:top w:val="none" w:sz="4" w:space="0" w:color="000000"/>
              <w:left w:val="none" w:sz="4" w:space="0" w:color="000000"/>
              <w:bottom w:val="none" w:sz="4" w:space="0" w:color="000000"/>
              <w:right w:val="none" w:sz="4" w:space="0" w:color="000000"/>
            </w:tcBorders>
          </w:tcPr>
          <w:p>
            <w:pPr>
              <w:pStyle w:val="Adresseexpediteur"/>
            </w:pPr>
          </w:p>
        </w:tc>
        <w:tc>
          <w:tcPr>
            <w:tcW w:w="4687" w:type="dxa"/>
            <w:tcBorders>
              <w:top w:val="none" w:sz="4" w:space="0" w:color="000000"/>
              <w:left w:val="none" w:sz="4" w:space="0" w:color="000000"/>
              <w:bottom w:val="none" w:sz="4" w:space="0" w:color="000000"/>
              <w:right w:val="none" w:sz="4" w:space="0" w:color="000000"/>
            </w:tcBorders>
          </w:tcPr>
          <w:p>
            <w:pPr>
              <w:pStyle w:val="Titre6"/>
              <w:numPr>
                <w:ilvl w:val="0"/>
                <w:numId w:val="0"/>
              </w:numPr>
              <w:tabs>
                <w:tab w:val="center" w:pos="1134"/>
                <w:tab w:val="left" w:pos="6804"/>
              </w:tabs>
              <w:jc w:val="center"/>
              <w:rPr>
                <w:i w:val="0"/>
                <w:color w:val="333333"/>
                <w:spacing w:val="0"/>
                <w:sz w:val="14"/>
                <w:szCs w:val="16"/>
              </w:rPr>
            </w:pPr>
          </w:p>
        </w:tc>
      </w:tr>
    </w:tbl>
    <w:p>
      <w:pPr>
        <w:jc w:val="center"/>
        <w:rPr>
          <w:b/>
          <w:smallCaps/>
          <w:sz w:val="40"/>
          <w:szCs w:val="40"/>
        </w:rPr>
      </w:pPr>
    </w:p>
    <w:p>
      <w:pPr>
        <w:jc w:val="center"/>
        <w:rPr>
          <w:b/>
          <w:smallCaps/>
          <w:sz w:val="40"/>
          <w:szCs w:val="40"/>
        </w:rPr>
      </w:pPr>
    </w:p>
    <w:p>
      <w:pPr>
        <w:jc w:val="center"/>
        <w:rPr>
          <w:b/>
          <w:smallCaps/>
          <w:sz w:val="40"/>
          <w:szCs w:val="40"/>
        </w:rPr>
      </w:pPr>
    </w:p>
    <w:p>
      <w:pPr>
        <w:jc w:val="center"/>
        <w:rPr>
          <w:b/>
          <w:smallCaps/>
          <w:sz w:val="40"/>
          <w:szCs w:val="40"/>
        </w:rPr>
      </w:pPr>
      <w:r>
        <w:rPr>
          <w:noProof/>
          <w:lang w:eastAsia="fr-FR"/>
        </w:rPr>
        <mc:AlternateContent>
          <mc:Choice Requires="wpg">
            <w:drawing>
              <wp:anchor distT="0" distB="0" distL="114300" distR="114300" simplePos="0" relativeHeight="251657216" behindDoc="0" locked="0" layoutInCell="1" allowOverlap="1">
                <wp:simplePos x="0" y="0"/>
                <wp:positionH relativeFrom="margin">
                  <wp:posOffset>377825</wp:posOffset>
                </wp:positionH>
                <wp:positionV relativeFrom="paragraph">
                  <wp:posOffset>657860</wp:posOffset>
                </wp:positionV>
                <wp:extent cx="5181600" cy="0"/>
                <wp:effectExtent l="0" t="0" r="19050" b="19050"/>
                <wp:wrapNone/>
                <wp:docPr id="3" name="AutoShape 2"/>
                <wp:cNvGraphicFramePr/>
                <a:graphic xmlns:a="http://schemas.openxmlformats.org/drawingml/2006/main">
                  <a:graphicData uri="http://schemas.microsoft.com/office/word/2010/wordprocessingShape">
                    <wps:wsp>
                      <wps:cNvCnPr/>
                      <wps:spPr bwMode="auto">
                        <a:xfrm>
                          <a:off x="0" y="0"/>
                          <a:ext cx="5181600" cy="0"/>
                        </a:xfrm>
                        <a:prstGeom prst="straightConnector1">
                          <a:avLst/>
                        </a:prstGeom>
                        <a:noFill/>
                        <a:ln w="9525">
                          <a:solidFill>
                            <a:schemeClr val="tx1"/>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32" type="#_x0000_t32" style="position:absolute;z-index:251657216;o:allowoverlap:true;o:allowincell:true;mso-position-horizontal-relative:margin;margin-left:29.75pt;mso-position-horizontal:absolute;mso-position-vertical-relative:text;margin-top:51.80pt;mso-position-vertical:absolute;width:408.00pt;height:0.00pt;mso-wrap-distance-left:9.00pt;mso-wrap-distance-top:0.00pt;mso-wrap-distance-right:9.00pt;mso-wrap-distance-bottom:0.00pt;visibility:visible;" filled="f" strokecolor="#000000" strokeweight="0.75pt"/>
            </w:pict>
          </mc:Fallback>
        </mc:AlternateContent>
      </w:r>
      <w:r>
        <w:rPr>
          <w:b/>
          <w:smallCaps/>
          <w:noProof/>
          <w:sz w:val="40"/>
          <w:szCs w:val="40"/>
          <w:lang w:eastAsia="fr-FR"/>
        </w:rPr>
        <mc:AlternateContent>
          <mc:Choice Requires="wps">
            <w:drawing>
              <wp:inline distT="0" distB="0" distL="0" distR="0">
                <wp:extent cx="6057900" cy="1626870"/>
                <wp:effectExtent l="19050" t="19050" r="19050" b="11430"/>
                <wp:docPr id="4" name="AutoShape 3" descr="[NOM COMITE (A RENSEIGNER DANS &quot;FICHIER&quot;/&quot;PROPRIETE&quot;/&quot;PERSONNALISATION&quot;)] N°[NUM]&#10;&#10;Compte-rendu – [jj/mm/aaaa]&#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26870"/>
                        </a:xfrm>
                        <a:prstGeom prst="roundRect">
                          <a:avLst>
                            <a:gd name="adj" fmla="val 16667"/>
                          </a:avLst>
                        </a:prstGeom>
                        <a:solidFill>
                          <a:srgbClr val="FFFFFF">
                            <a:alpha val="20000"/>
                          </a:srgbClr>
                        </a:solidFill>
                        <a:ln w="31750">
                          <a:solidFill>
                            <a:schemeClr val="tx1"/>
                          </a:solidFill>
                          <a:round/>
                          <a:headEnd/>
                          <a:tailEnd/>
                        </a:ln>
                      </wps:spPr>
                      <wps:txbx>
                        <w:txbxContent>
                          <w:p>
                            <w:pPr>
                              <w:pStyle w:val="Titre"/>
                              <w:jc w:val="center"/>
                            </w:pPr>
                            <w:r>
                              <w:t xml:space="preserve">Cadre de réponse technique </w:t>
                            </w:r>
                          </w:p>
                          <w:p>
                            <w:pPr>
                              <w:pStyle w:val="Sous-titre"/>
                              <w:jc w:val="center"/>
                            </w:pPr>
                          </w:p>
                          <w:p>
                            <w:pPr>
                              <w:pStyle w:val="Sous-titre"/>
                              <w:jc w:val="center"/>
                            </w:pPr>
                            <w:r>
                              <w:rPr>
                                <w:b/>
                                <w:szCs w:val="24"/>
                              </w:rPr>
                              <w:t>25_AIFE_TMA_TMT_PPF</w:t>
                            </w:r>
                            <w:r>
                              <w:t xml:space="preserve"> – Tierce maintenance applicative et technique de la solution PPF</w:t>
                            </w:r>
                          </w:p>
                        </w:txbxContent>
                      </wps:txbx>
                      <wps:bodyPr rot="0" vert="horz" wrap="square" lIns="0" tIns="45720" rIns="0" bIns="45720" anchor="t" anchorCtr="0" upright="1">
                        <a:noAutofit/>
                      </wps:bodyPr>
                    </wps:wsp>
                  </a:graphicData>
                </a:graphic>
              </wp:inline>
            </w:drawing>
          </mc:Choice>
          <mc:Fallback>
            <w:pict>
              <v:roundrect id="AutoShape 3" o:spid="_x0000_s1026" alt="[NOM COMITE (A RENSEIGNER DANS &quot;FICHIER&quot;/&quot;PROPRIETE&quot;/&quot;PERSONNALISATION&quot;)] N°[NUM]&#10;&#10;Compte-rendu – [jj/mm/aaaa]&#10;" style="width:477pt;height:128.1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" strokecolor="black [3213]" strokeweight="2.5pt">
                <v:fill opacity="13107f"/>
                <v:textbox inset="0,,0">
                  <w:txbxContent>
                    <w:p>
                      <w:pPr>
                        <w:pStyle w:val="Titre"/>
                        <w:jc w:val="center"/>
                      </w:pPr>
                      <w:r>
                        <w:t xml:space="preserve">Cadre de réponse technique </w:t>
                      </w:r>
                    </w:p>
                    <w:p>
                      <w:pPr>
                        <w:pStyle w:val="Sous-titre"/>
                        <w:jc w:val="center"/>
                      </w:pPr>
                    </w:p>
                    <w:p>
                      <w:pPr>
                        <w:pStyle w:val="Sous-titre"/>
                        <w:jc w:val="center"/>
                      </w:pPr>
                      <w:r>
                        <w:rPr>
                          <w:b/>
                          <w:szCs w:val="24"/>
                        </w:rPr>
                        <w:t>25_AIFE_TMA_TMT_PPF</w:t>
                      </w:r>
                      <w:r>
                        <w:t xml:space="preserve"> – Tierce maintenance applicative et technique de la solution PPF</w:t>
                      </w:r>
                    </w:p>
                  </w:txbxContent>
                </v:textbox>
                <w10:anchorlock/>
              </v:roundrect>
            </w:pict>
          </mc:Fallback>
        </mc:AlternateContent>
      </w:r>
    </w:p>
    <w:p>
      <w:pPr>
        <w:spacing w:line="240" w:lineRule="auto"/>
        <w:jc w:val="center"/>
        <w:rPr>
          <w:color w:val="1F497D"/>
          <w:lang w:eastAsia="fr-FR"/>
        </w:rPr>
      </w:pPr>
    </w:p>
    <w:p>
      <w:pPr>
        <w:jc w:val="center"/>
        <w:rPr>
          <w:caps/>
          <w:color w:val="1F497D"/>
          <w:sz w:val="16"/>
          <w:szCs w:val="16"/>
        </w:rPr>
      </w:pPr>
    </w:p>
    <w:p>
      <w:pPr>
        <w:jc w:val="center"/>
      </w:pPr>
    </w:p>
    <w:p>
      <w:pPr>
        <w:jc w:val="center"/>
      </w:pPr>
    </w:p>
    <w:p>
      <w:pPr>
        <w:jc w:val="center"/>
      </w:pPr>
    </w:p>
    <w:p>
      <w:pPr>
        <w:jc w:val="center"/>
      </w:pPr>
    </w:p>
    <w:p>
      <w:pPr>
        <w:jc w:val="center"/>
      </w:pPr>
    </w:p>
    <w:p>
      <w:pPr>
        <w:jc w:val="center"/>
      </w:pPr>
    </w:p>
    <w:p>
      <w:pPr>
        <w:pStyle w:val="Corpsdetexte"/>
        <w:jc w:val="center"/>
        <w:rPr>
          <w:b/>
          <w:sz w:val="24"/>
        </w:rPr>
        <w:sectPr>
          <w:headerReference w:type="default" r:id="rId7"/>
          <w:footerReference w:type="even" r:id="rId8"/>
          <w:footerReference w:type="default" r:id="rId9"/>
          <w:headerReference w:type="first" r:id="rId10"/>
          <w:pgSz w:w="11907" w:h="16840"/>
          <w:pgMar w:top="1134" w:right="1134" w:bottom="1134" w:left="1134" w:header="340" w:footer="340" w:gutter="0"/>
          <w:pgNumType w:start="2"/>
          <w:cols w:space="720"/>
          <w:docGrid w:linePitch="360"/>
        </w:sectPr>
      </w:pPr>
      <w:r>
        <w:rPr>
          <w:b/>
          <w:spacing w:val="0"/>
          <w:sz w:val="24"/>
        </w:rPr>
        <w:t>DATE LIMITE DE RECEPTION DES OFFRES : xx A xx</w:t>
      </w:r>
    </w:p>
    <w:p>
      <w:pPr>
        <w:rPr>
          <w:b/>
          <w:sz w:val="24"/>
        </w:rPr>
      </w:pPr>
      <w:r>
        <w:rPr>
          <w:b/>
          <w:sz w:val="24"/>
        </w:rPr>
        <w:lastRenderedPageBreak/>
        <w:t>Sommaire</w:t>
      </w:r>
    </w:p>
    <w:p/>
    <w:p>
      <w:pPr>
        <w:pStyle w:val="TM1"/>
        <w:rPr>
          <w:rFonts w:asciiTheme="minorHAnsi" w:eastAsiaTheme="minorEastAsia" w:hAnsiTheme="minorHAnsi" w:cstheme="minorBidi"/>
          <w:noProof/>
          <w:spacing w:val="0"/>
          <w:sz w:val="22"/>
          <w:lang w:eastAsia="fr-FR"/>
        </w:rPr>
      </w:pPr>
      <w:r>
        <w:rPr>
          <w:color w:val="8EB0AB"/>
        </w:rPr>
        <w:fldChar w:fldCharType="begin"/>
      </w:r>
      <w:r>
        <w:rPr>
          <w:color w:val="8EB0AB"/>
        </w:rPr>
        <w:instrText xml:space="preserve"> TOC \o "1-3" \h \z \u </w:instrText>
      </w:r>
      <w:r>
        <w:rPr>
          <w:color w:val="8EB0AB"/>
        </w:rPr>
        <w:fldChar w:fldCharType="separate"/>
      </w:r>
      <w:hyperlink w:anchor="_Toc184998538" w:history="1">
        <w:r>
          <w:rPr>
            <w:rStyle w:val="Lienhypertexte"/>
            <w:rFonts w:eastAsia="Arial"/>
            <w:noProof/>
          </w:rPr>
          <w:t>1</w:t>
        </w:r>
        <w:r>
          <w:rPr>
            <w:rFonts w:asciiTheme="minorHAnsi" w:eastAsiaTheme="minorEastAsia" w:hAnsiTheme="minorHAnsi" w:cstheme="minorBidi"/>
            <w:noProof/>
            <w:spacing w:val="0"/>
            <w:sz w:val="22"/>
            <w:lang w:eastAsia="fr-FR"/>
          </w:rPr>
          <w:tab/>
        </w:r>
        <w:r>
          <w:rPr>
            <w:rStyle w:val="Lienhypertexte"/>
            <w:rFonts w:eastAsia="Arial"/>
            <w:noProof/>
          </w:rPr>
          <w:t>Synthèse de l’offre</w:t>
        </w:r>
        <w:r>
          <w:rPr>
            <w:noProof/>
            <w:webHidden/>
          </w:rPr>
          <w:tab/>
        </w:r>
        <w:r>
          <w:rPr>
            <w:noProof/>
            <w:webHidden/>
          </w:rPr>
          <w:fldChar w:fldCharType="begin"/>
        </w:r>
        <w:r>
          <w:rPr>
            <w:noProof/>
            <w:webHidden/>
          </w:rPr>
          <w:instrText xml:space="preserve"> PAGEREF _Toc184998538 \h </w:instrText>
        </w:r>
        <w:r>
          <w:rPr>
            <w:noProof/>
            <w:webHidden/>
          </w:rPr>
        </w:r>
        <w:r>
          <w:rPr>
            <w:noProof/>
            <w:webHidden/>
          </w:rPr>
          <w:fldChar w:fldCharType="separate"/>
        </w:r>
        <w:r>
          <w:rPr>
            <w:noProof/>
            <w:webHidden/>
          </w:rPr>
          <w:t>3</w:t>
        </w:r>
        <w:r>
          <w:rPr>
            <w:noProof/>
            <w:webHidden/>
          </w:rPr>
          <w:fldChar w:fldCharType="end"/>
        </w:r>
      </w:hyperlink>
    </w:p>
    <w:p>
      <w:pPr>
        <w:pStyle w:val="TM1"/>
        <w:rPr>
          <w:rFonts w:asciiTheme="minorHAnsi" w:eastAsiaTheme="minorEastAsia" w:hAnsiTheme="minorHAnsi" w:cstheme="minorBidi"/>
          <w:noProof/>
          <w:spacing w:val="0"/>
          <w:sz w:val="22"/>
          <w:lang w:eastAsia="fr-FR"/>
        </w:rPr>
      </w:pPr>
      <w:hyperlink w:anchor="_Toc184998539" w:history="1">
        <w:r>
          <w:rPr>
            <w:rStyle w:val="Lienhypertexte"/>
            <w:rFonts w:eastAsia="Arial"/>
            <w:noProof/>
          </w:rPr>
          <w:t>2</w:t>
        </w:r>
        <w:r>
          <w:rPr>
            <w:rFonts w:asciiTheme="minorHAnsi" w:eastAsiaTheme="minorEastAsia" w:hAnsiTheme="minorHAnsi" w:cstheme="minorBidi"/>
            <w:noProof/>
            <w:spacing w:val="0"/>
            <w:sz w:val="22"/>
            <w:lang w:eastAsia="fr-FR"/>
          </w:rPr>
          <w:tab/>
        </w:r>
        <w:r>
          <w:rPr>
            <w:rStyle w:val="Lienhypertexte"/>
            <w:rFonts w:eastAsia="Arial"/>
            <w:noProof/>
          </w:rPr>
          <w:t>Compréhension du contexte, des enjeux et des exigences</w:t>
        </w:r>
        <w:r>
          <w:rPr>
            <w:noProof/>
            <w:webHidden/>
          </w:rPr>
          <w:tab/>
        </w:r>
        <w:r>
          <w:rPr>
            <w:noProof/>
            <w:webHidden/>
          </w:rPr>
          <w:fldChar w:fldCharType="begin"/>
        </w:r>
        <w:r>
          <w:rPr>
            <w:noProof/>
            <w:webHidden/>
          </w:rPr>
          <w:instrText xml:space="preserve"> PAGEREF _Toc184998539 \h </w:instrText>
        </w:r>
        <w:r>
          <w:rPr>
            <w:noProof/>
            <w:webHidden/>
          </w:rPr>
        </w:r>
        <w:r>
          <w:rPr>
            <w:noProof/>
            <w:webHidden/>
          </w:rPr>
          <w:fldChar w:fldCharType="separate"/>
        </w:r>
        <w:r>
          <w:rPr>
            <w:noProof/>
            <w:webHidden/>
          </w:rPr>
          <w:t>3</w:t>
        </w:r>
        <w:r>
          <w:rPr>
            <w:noProof/>
            <w:webHidden/>
          </w:rPr>
          <w:fldChar w:fldCharType="end"/>
        </w:r>
      </w:hyperlink>
    </w:p>
    <w:p>
      <w:pPr>
        <w:pStyle w:val="TM1"/>
        <w:rPr>
          <w:rFonts w:asciiTheme="minorHAnsi" w:eastAsiaTheme="minorEastAsia" w:hAnsiTheme="minorHAnsi" w:cstheme="minorBidi"/>
          <w:noProof/>
          <w:spacing w:val="0"/>
          <w:sz w:val="22"/>
          <w:lang w:eastAsia="fr-FR"/>
        </w:rPr>
      </w:pPr>
      <w:hyperlink w:anchor="_Toc184998540" w:history="1">
        <w:r>
          <w:rPr>
            <w:rStyle w:val="Lienhypertexte"/>
            <w:rFonts w:eastAsia="Arial"/>
            <w:noProof/>
          </w:rPr>
          <w:t>3</w:t>
        </w:r>
        <w:r>
          <w:rPr>
            <w:rFonts w:asciiTheme="minorHAnsi" w:eastAsiaTheme="minorEastAsia" w:hAnsiTheme="minorHAnsi" w:cstheme="minorBidi"/>
            <w:noProof/>
            <w:spacing w:val="0"/>
            <w:sz w:val="22"/>
            <w:lang w:eastAsia="fr-FR"/>
          </w:rPr>
          <w:tab/>
        </w:r>
        <w:r>
          <w:rPr>
            <w:rStyle w:val="Lienhypertexte"/>
            <w:rFonts w:eastAsia="Arial"/>
            <w:noProof/>
          </w:rPr>
          <w:t>prestations du candidat</w:t>
        </w:r>
        <w:r>
          <w:rPr>
            <w:noProof/>
            <w:webHidden/>
          </w:rPr>
          <w:tab/>
        </w:r>
        <w:r>
          <w:rPr>
            <w:noProof/>
            <w:webHidden/>
          </w:rPr>
          <w:fldChar w:fldCharType="begin"/>
        </w:r>
        <w:r>
          <w:rPr>
            <w:noProof/>
            <w:webHidden/>
          </w:rPr>
          <w:instrText xml:space="preserve"> PAGEREF _Toc184998540 \h </w:instrText>
        </w:r>
        <w:r>
          <w:rPr>
            <w:noProof/>
            <w:webHidden/>
          </w:rPr>
        </w:r>
        <w:r>
          <w:rPr>
            <w:noProof/>
            <w:webHidden/>
          </w:rPr>
          <w:fldChar w:fldCharType="separate"/>
        </w:r>
        <w:r>
          <w:rPr>
            <w:noProof/>
            <w:webHidden/>
          </w:rPr>
          <w:t>3</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41" w:history="1">
        <w:r>
          <w:rPr>
            <w:rStyle w:val="Lienhypertexte"/>
            <w:rFonts w:eastAsia="Arial"/>
            <w:noProof/>
          </w:rPr>
          <w:t>3.1</w:t>
        </w:r>
        <w:r>
          <w:rPr>
            <w:rFonts w:asciiTheme="minorHAnsi" w:eastAsiaTheme="minorEastAsia" w:hAnsiTheme="minorHAnsi" w:cstheme="minorBidi"/>
            <w:noProof/>
            <w:sz w:val="22"/>
            <w:lang w:eastAsia="fr-FR"/>
          </w:rPr>
          <w:tab/>
        </w:r>
        <w:r>
          <w:rPr>
            <w:rStyle w:val="Lienhypertexte"/>
            <w:rFonts w:eastAsia="Arial"/>
            <w:noProof/>
          </w:rPr>
          <w:t>Description de la prestation et des modalités d’exécution</w:t>
        </w:r>
        <w:r>
          <w:rPr>
            <w:noProof/>
            <w:webHidden/>
          </w:rPr>
          <w:tab/>
        </w:r>
        <w:r>
          <w:rPr>
            <w:noProof/>
            <w:webHidden/>
          </w:rPr>
          <w:fldChar w:fldCharType="begin"/>
        </w:r>
        <w:r>
          <w:rPr>
            <w:noProof/>
            <w:webHidden/>
          </w:rPr>
          <w:instrText xml:space="preserve"> PAGEREF _Toc184998541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42" w:history="1">
        <w:r>
          <w:rPr>
            <w:rStyle w:val="Lienhypertexte"/>
            <w:rFonts w:eastAsia="Arial"/>
            <w:noProof/>
          </w:rPr>
          <w:t>3.2</w:t>
        </w:r>
        <w:r>
          <w:rPr>
            <w:rFonts w:asciiTheme="minorHAnsi" w:eastAsiaTheme="minorEastAsia" w:hAnsiTheme="minorHAnsi" w:cstheme="minorBidi"/>
            <w:noProof/>
            <w:sz w:val="22"/>
            <w:lang w:eastAsia="fr-FR"/>
          </w:rPr>
          <w:tab/>
        </w:r>
        <w:r>
          <w:rPr>
            <w:rStyle w:val="Lienhypertexte"/>
            <w:rFonts w:eastAsia="Arial"/>
            <w:noProof/>
          </w:rPr>
          <w:t>Facteurs clés de succès de la prestation</w:t>
        </w:r>
        <w:r>
          <w:rPr>
            <w:noProof/>
            <w:webHidden/>
          </w:rPr>
          <w:tab/>
        </w:r>
        <w:r>
          <w:rPr>
            <w:noProof/>
            <w:webHidden/>
          </w:rPr>
          <w:fldChar w:fldCharType="begin"/>
        </w:r>
        <w:r>
          <w:rPr>
            <w:noProof/>
            <w:webHidden/>
          </w:rPr>
          <w:instrText xml:space="preserve"> PAGEREF _Toc184998542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43" w:history="1">
        <w:r>
          <w:rPr>
            <w:rStyle w:val="Lienhypertexte"/>
            <w:rFonts w:eastAsia="Arial"/>
            <w:noProof/>
          </w:rPr>
          <w:t>3.3</w:t>
        </w:r>
        <w:r>
          <w:rPr>
            <w:rFonts w:asciiTheme="minorHAnsi" w:eastAsiaTheme="minorEastAsia" w:hAnsiTheme="minorHAnsi" w:cstheme="minorBidi"/>
            <w:noProof/>
            <w:sz w:val="22"/>
            <w:lang w:eastAsia="fr-FR"/>
          </w:rPr>
          <w:tab/>
        </w:r>
        <w:r>
          <w:rPr>
            <w:rStyle w:val="Lienhypertexte"/>
            <w:rFonts w:eastAsia="Arial"/>
            <w:noProof/>
          </w:rPr>
          <w:t>Principaux risques liés à la prestation</w:t>
        </w:r>
        <w:r>
          <w:rPr>
            <w:noProof/>
            <w:webHidden/>
          </w:rPr>
          <w:tab/>
        </w:r>
        <w:r>
          <w:rPr>
            <w:noProof/>
            <w:webHidden/>
          </w:rPr>
          <w:fldChar w:fldCharType="begin"/>
        </w:r>
        <w:r>
          <w:rPr>
            <w:noProof/>
            <w:webHidden/>
          </w:rPr>
          <w:instrText xml:space="preserve"> PAGEREF _Toc184998543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44" w:history="1">
        <w:r>
          <w:rPr>
            <w:rStyle w:val="Lienhypertexte"/>
            <w:rFonts w:eastAsia="Arial"/>
            <w:noProof/>
          </w:rPr>
          <w:t>3.4</w:t>
        </w:r>
        <w:r>
          <w:rPr>
            <w:rFonts w:asciiTheme="minorHAnsi" w:eastAsiaTheme="minorEastAsia" w:hAnsiTheme="minorHAnsi" w:cstheme="minorBidi"/>
            <w:noProof/>
            <w:sz w:val="22"/>
            <w:lang w:eastAsia="fr-FR"/>
          </w:rPr>
          <w:tab/>
        </w:r>
        <w:r>
          <w:rPr>
            <w:rStyle w:val="Lienhypertexte"/>
            <w:rFonts w:eastAsia="Arial"/>
            <w:noProof/>
          </w:rPr>
          <w:t>Améliorations et innovations proposées</w:t>
        </w:r>
        <w:r>
          <w:rPr>
            <w:noProof/>
            <w:webHidden/>
          </w:rPr>
          <w:tab/>
        </w:r>
        <w:r>
          <w:rPr>
            <w:noProof/>
            <w:webHidden/>
          </w:rPr>
          <w:fldChar w:fldCharType="begin"/>
        </w:r>
        <w:r>
          <w:rPr>
            <w:noProof/>
            <w:webHidden/>
          </w:rPr>
          <w:instrText xml:space="preserve"> PAGEREF _Toc184998544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45" w:history="1">
        <w:r>
          <w:rPr>
            <w:rStyle w:val="Lienhypertexte"/>
            <w:rFonts w:eastAsia="Arial"/>
            <w:noProof/>
          </w:rPr>
          <w:t>3.5</w:t>
        </w:r>
        <w:r>
          <w:rPr>
            <w:rFonts w:asciiTheme="minorHAnsi" w:eastAsiaTheme="minorEastAsia" w:hAnsiTheme="minorHAnsi" w:cstheme="minorBidi"/>
            <w:noProof/>
            <w:sz w:val="22"/>
            <w:lang w:eastAsia="fr-FR"/>
          </w:rPr>
          <w:tab/>
        </w:r>
        <w:r>
          <w:rPr>
            <w:rStyle w:val="Lienhypertexte"/>
            <w:rFonts w:eastAsia="Arial"/>
            <w:noProof/>
          </w:rPr>
          <w:t>Demandes spécifiques</w:t>
        </w:r>
        <w:r>
          <w:rPr>
            <w:noProof/>
            <w:webHidden/>
          </w:rPr>
          <w:tab/>
        </w:r>
        <w:r>
          <w:rPr>
            <w:noProof/>
            <w:webHidden/>
          </w:rPr>
          <w:fldChar w:fldCharType="begin"/>
        </w:r>
        <w:r>
          <w:rPr>
            <w:noProof/>
            <w:webHidden/>
          </w:rPr>
          <w:instrText xml:space="preserve"> PAGEREF _Toc184998545 \h </w:instrText>
        </w:r>
        <w:r>
          <w:rPr>
            <w:noProof/>
            <w:webHidden/>
          </w:rPr>
        </w:r>
        <w:r>
          <w:rPr>
            <w:noProof/>
            <w:webHidden/>
          </w:rPr>
          <w:fldChar w:fldCharType="separate"/>
        </w:r>
        <w:r>
          <w:rPr>
            <w:noProof/>
            <w:webHidden/>
          </w:rPr>
          <w:t>5</w:t>
        </w:r>
        <w:r>
          <w:rPr>
            <w:noProof/>
            <w:webHidden/>
          </w:rPr>
          <w:fldChar w:fldCharType="end"/>
        </w:r>
      </w:hyperlink>
    </w:p>
    <w:p>
      <w:pPr>
        <w:pStyle w:val="TM1"/>
        <w:rPr>
          <w:rFonts w:asciiTheme="minorHAnsi" w:eastAsiaTheme="minorEastAsia" w:hAnsiTheme="minorHAnsi" w:cstheme="minorBidi"/>
          <w:noProof/>
          <w:spacing w:val="0"/>
          <w:sz w:val="22"/>
          <w:lang w:eastAsia="fr-FR"/>
        </w:rPr>
      </w:pPr>
      <w:hyperlink w:anchor="_Toc184998546" w:history="1">
        <w:r>
          <w:rPr>
            <w:rStyle w:val="Lienhypertexte"/>
            <w:rFonts w:eastAsia="Arial"/>
            <w:noProof/>
          </w:rPr>
          <w:t>4</w:t>
        </w:r>
        <w:r>
          <w:rPr>
            <w:rFonts w:asciiTheme="minorHAnsi" w:eastAsiaTheme="minorEastAsia" w:hAnsiTheme="minorHAnsi" w:cstheme="minorBidi"/>
            <w:noProof/>
            <w:spacing w:val="0"/>
            <w:sz w:val="22"/>
            <w:lang w:eastAsia="fr-FR"/>
          </w:rPr>
          <w:tab/>
        </w:r>
        <w:r>
          <w:rPr>
            <w:rStyle w:val="Lienhypertexte"/>
            <w:rFonts w:eastAsia="Arial"/>
            <w:noProof/>
          </w:rPr>
          <w:t>Organisation pressentie</w:t>
        </w:r>
        <w:r>
          <w:rPr>
            <w:noProof/>
            <w:webHidden/>
          </w:rPr>
          <w:tab/>
        </w:r>
        <w:r>
          <w:rPr>
            <w:noProof/>
            <w:webHidden/>
          </w:rPr>
          <w:fldChar w:fldCharType="begin"/>
        </w:r>
        <w:r>
          <w:rPr>
            <w:noProof/>
            <w:webHidden/>
          </w:rPr>
          <w:instrText xml:space="preserve"> PAGEREF _Toc184998546 \h </w:instrText>
        </w:r>
        <w:r>
          <w:rPr>
            <w:noProof/>
            <w:webHidden/>
          </w:rPr>
        </w:r>
        <w:r>
          <w:rPr>
            <w:noProof/>
            <w:webHidden/>
          </w:rPr>
          <w:fldChar w:fldCharType="separate"/>
        </w:r>
        <w:r>
          <w:rPr>
            <w:noProof/>
            <w:webHidden/>
          </w:rPr>
          <w:t>7</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47" w:history="1">
        <w:r>
          <w:rPr>
            <w:rStyle w:val="Lienhypertexte"/>
            <w:rFonts w:eastAsia="Arial"/>
            <w:noProof/>
          </w:rPr>
          <w:t>4.1</w:t>
        </w:r>
        <w:r>
          <w:rPr>
            <w:rFonts w:asciiTheme="minorHAnsi" w:eastAsiaTheme="minorEastAsia" w:hAnsiTheme="minorHAnsi" w:cstheme="minorBidi"/>
            <w:noProof/>
            <w:sz w:val="22"/>
            <w:lang w:eastAsia="fr-FR"/>
          </w:rPr>
          <w:tab/>
        </w:r>
        <w:r>
          <w:rPr>
            <w:rStyle w:val="Lienhypertexte"/>
            <w:rFonts w:eastAsia="Arial"/>
            <w:noProof/>
          </w:rPr>
          <w:t>Organisation et profils pressentis</w:t>
        </w:r>
        <w:r>
          <w:rPr>
            <w:noProof/>
            <w:webHidden/>
          </w:rPr>
          <w:tab/>
        </w:r>
        <w:r>
          <w:rPr>
            <w:noProof/>
            <w:webHidden/>
          </w:rPr>
          <w:fldChar w:fldCharType="begin"/>
        </w:r>
        <w:r>
          <w:rPr>
            <w:noProof/>
            <w:webHidden/>
          </w:rPr>
          <w:instrText xml:space="preserve"> PAGEREF _Toc184998547 \h </w:instrText>
        </w:r>
        <w:r>
          <w:rPr>
            <w:noProof/>
            <w:webHidden/>
          </w:rPr>
        </w:r>
        <w:r>
          <w:rPr>
            <w:noProof/>
            <w:webHidden/>
          </w:rPr>
          <w:fldChar w:fldCharType="separate"/>
        </w:r>
        <w:r>
          <w:rPr>
            <w:noProof/>
            <w:webHidden/>
          </w:rPr>
          <w:t>7</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48" w:history="1">
        <w:r>
          <w:rPr>
            <w:rStyle w:val="Lienhypertexte"/>
            <w:rFonts w:eastAsia="Arial"/>
            <w:noProof/>
          </w:rPr>
          <w:t>4.2</w:t>
        </w:r>
        <w:r>
          <w:rPr>
            <w:rFonts w:asciiTheme="minorHAnsi" w:eastAsiaTheme="minorEastAsia" w:hAnsiTheme="minorHAnsi" w:cstheme="minorBidi"/>
            <w:noProof/>
            <w:sz w:val="22"/>
            <w:lang w:eastAsia="fr-FR"/>
          </w:rPr>
          <w:tab/>
        </w:r>
        <w:r>
          <w:rPr>
            <w:rStyle w:val="Lienhypertexte"/>
            <w:rFonts w:eastAsia="Arial"/>
            <w:noProof/>
          </w:rPr>
          <w:t>Mobilisation des compétences sur la durée du marché</w:t>
        </w:r>
        <w:r>
          <w:rPr>
            <w:noProof/>
            <w:webHidden/>
          </w:rPr>
          <w:tab/>
        </w:r>
        <w:r>
          <w:rPr>
            <w:noProof/>
            <w:webHidden/>
          </w:rPr>
          <w:fldChar w:fldCharType="begin"/>
        </w:r>
        <w:r>
          <w:rPr>
            <w:noProof/>
            <w:webHidden/>
          </w:rPr>
          <w:instrText xml:space="preserve"> PAGEREF _Toc184998548 \h </w:instrText>
        </w:r>
        <w:r>
          <w:rPr>
            <w:noProof/>
            <w:webHidden/>
          </w:rPr>
        </w:r>
        <w:r>
          <w:rPr>
            <w:noProof/>
            <w:webHidden/>
          </w:rPr>
          <w:fldChar w:fldCharType="separate"/>
        </w:r>
        <w:r>
          <w:rPr>
            <w:noProof/>
            <w:webHidden/>
          </w:rPr>
          <w:t>7</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49" w:history="1">
        <w:r>
          <w:rPr>
            <w:rStyle w:val="Lienhypertexte"/>
            <w:rFonts w:eastAsia="Arial"/>
            <w:noProof/>
          </w:rPr>
          <w:t>4.3</w:t>
        </w:r>
        <w:r>
          <w:rPr>
            <w:rFonts w:asciiTheme="minorHAnsi" w:eastAsiaTheme="minorEastAsia" w:hAnsiTheme="minorHAnsi" w:cstheme="minorBidi"/>
            <w:noProof/>
            <w:sz w:val="22"/>
            <w:lang w:eastAsia="fr-FR"/>
          </w:rPr>
          <w:tab/>
        </w:r>
        <w:r>
          <w:rPr>
            <w:rStyle w:val="Lienhypertexte"/>
            <w:rFonts w:eastAsia="Arial"/>
            <w:noProof/>
          </w:rPr>
          <w:t>Estimation des charges</w:t>
        </w:r>
        <w:r>
          <w:rPr>
            <w:noProof/>
            <w:webHidden/>
          </w:rPr>
          <w:tab/>
        </w:r>
        <w:r>
          <w:rPr>
            <w:noProof/>
            <w:webHidden/>
          </w:rPr>
          <w:fldChar w:fldCharType="begin"/>
        </w:r>
        <w:r>
          <w:rPr>
            <w:noProof/>
            <w:webHidden/>
          </w:rPr>
          <w:instrText xml:space="preserve"> PAGEREF _Toc184998549 \h </w:instrText>
        </w:r>
        <w:r>
          <w:rPr>
            <w:noProof/>
            <w:webHidden/>
          </w:rPr>
        </w:r>
        <w:r>
          <w:rPr>
            <w:noProof/>
            <w:webHidden/>
          </w:rPr>
          <w:fldChar w:fldCharType="separate"/>
        </w:r>
        <w:r>
          <w:rPr>
            <w:noProof/>
            <w:webHidden/>
          </w:rPr>
          <w:t>7</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184998550" w:history="1">
        <w:r>
          <w:rPr>
            <w:rStyle w:val="Lienhypertexte"/>
            <w:rFonts w:eastAsia="Arial"/>
            <w:noProof/>
          </w:rPr>
          <w:t>4.4</w:t>
        </w:r>
        <w:r>
          <w:rPr>
            <w:rFonts w:asciiTheme="minorHAnsi" w:eastAsiaTheme="minorEastAsia" w:hAnsiTheme="minorHAnsi" w:cstheme="minorBidi"/>
            <w:noProof/>
            <w:sz w:val="22"/>
            <w:lang w:eastAsia="fr-FR"/>
          </w:rPr>
          <w:tab/>
        </w:r>
        <w:r>
          <w:rPr>
            <w:rStyle w:val="Lienhypertexte"/>
            <w:rFonts w:eastAsia="Arial"/>
            <w:noProof/>
          </w:rPr>
          <w:t>Enjeux environnementaux</w:t>
        </w:r>
        <w:r>
          <w:rPr>
            <w:noProof/>
            <w:webHidden/>
          </w:rPr>
          <w:tab/>
        </w:r>
        <w:r>
          <w:rPr>
            <w:noProof/>
            <w:webHidden/>
          </w:rPr>
          <w:fldChar w:fldCharType="begin"/>
        </w:r>
        <w:r>
          <w:rPr>
            <w:noProof/>
            <w:webHidden/>
          </w:rPr>
          <w:instrText xml:space="preserve"> PAGEREF _Toc184998550 \h </w:instrText>
        </w:r>
        <w:r>
          <w:rPr>
            <w:noProof/>
            <w:webHidden/>
          </w:rPr>
        </w:r>
        <w:r>
          <w:rPr>
            <w:noProof/>
            <w:webHidden/>
          </w:rPr>
          <w:fldChar w:fldCharType="separate"/>
        </w:r>
        <w:r>
          <w:rPr>
            <w:noProof/>
            <w:webHidden/>
          </w:rPr>
          <w:t>8</w:t>
        </w:r>
        <w:r>
          <w:rPr>
            <w:noProof/>
            <w:webHidden/>
          </w:rPr>
          <w:fldChar w:fldCharType="end"/>
        </w:r>
      </w:hyperlink>
    </w:p>
    <w:p>
      <w:pPr>
        <w:rPr>
          <w:color w:val="8EB0AB"/>
        </w:rPr>
      </w:pPr>
      <w:r>
        <w:rPr>
          <w:color w:val="8EB0AB"/>
        </w:rPr>
        <w:fldChar w:fldCharType="end"/>
      </w:r>
    </w:p>
    <w:p>
      <w:pPr>
        <w:rPr>
          <w:color w:val="8EB0AB"/>
        </w:rPr>
      </w:pPr>
    </w:p>
    <w:p/>
    <w:p>
      <w:pPr>
        <w:rPr>
          <w:color w:val="8EB0AB"/>
        </w:rPr>
      </w:pPr>
    </w:p>
    <w:p>
      <w:pPr>
        <w:spacing w:line="240" w:lineRule="auto"/>
        <w:rPr>
          <w:b/>
          <w:sz w:val="28"/>
        </w:rPr>
      </w:pPr>
      <w:r>
        <w:rPr>
          <w:b/>
          <w:sz w:val="28"/>
        </w:rPr>
        <w:br w:type="page" w:clear="all"/>
      </w:r>
    </w:p>
    <w:p>
      <w:pPr>
        <w:jc w:val="both"/>
        <w:rPr>
          <w:b/>
          <w:sz w:val="28"/>
        </w:rPr>
      </w:pPr>
      <w:r>
        <w:rPr>
          <w:b/>
          <w:sz w:val="28"/>
        </w:rPr>
        <w:lastRenderedPageBreak/>
        <w:t>PRESENTATION</w:t>
      </w:r>
    </w:p>
    <w:p>
      <w:pPr>
        <w:jc w:val="both"/>
        <w:rPr>
          <w:b/>
        </w:rPr>
      </w:pPr>
    </w:p>
    <w:p>
      <w:pPr>
        <w:pStyle w:val="En-tte"/>
        <w:jc w:val="both"/>
      </w:pPr>
      <w:r>
        <w:t xml:space="preserve">Pour la présentation de sa proposition technique, et dans le but d’en assurer une meilleure lisibilité, </w:t>
      </w:r>
      <w:r>
        <w:rPr>
          <w:b/>
        </w:rPr>
        <w:t>il est demandé au candidat d'utiliser le présent cadre de réponse, sans apporter de modification à sa structure</w:t>
      </w:r>
      <w:r>
        <w:t>. Le candidat peut y joindre tout document qu’il estime propre à permettre une meilleure appréciation des renseignements demandés dans le présent cadre de réponse. Tout renvoi à un autre document joint au dossier, devra préciser le nom du document, la page concernée, la section concernée.</w:t>
      </w:r>
    </w:p>
    <w:p>
      <w:pPr>
        <w:pStyle w:val="En-tte"/>
        <w:jc w:val="both"/>
      </w:pPr>
    </w:p>
    <w:p>
      <w:pPr>
        <w:jc w:val="both"/>
      </w:pPr>
      <w:r>
        <w:t>Les éléments et les exigences décrits dans le CCTP sont à prendre en compte dans leur intégralité.</w:t>
      </w:r>
    </w:p>
    <w:p>
      <w:pPr>
        <w:jc w:val="both"/>
      </w:pPr>
      <w:r>
        <w:t>Le candidat limite son offre à 200 pages.</w:t>
      </w:r>
    </w:p>
    <w:p>
      <w:pPr>
        <w:pStyle w:val="Titre1"/>
        <w:pageBreakBefore w:val="0"/>
        <w:shd w:val="clear" w:color="auto" w:fill="FFFFFF"/>
        <w:tabs>
          <w:tab w:val="num" w:pos="851"/>
        </w:tabs>
        <w:spacing w:before="360" w:after="360"/>
        <w:ind w:left="851" w:hanging="851"/>
        <w:jc w:val="both"/>
      </w:pPr>
      <w:bookmarkStart w:id="0" w:name="_Toc184998538"/>
      <w:r>
        <w:t>Synthèse de l’offre</w:t>
      </w:r>
      <w:bookmarkEnd w:id="0"/>
    </w:p>
    <w:p>
      <w:pPr>
        <w:jc w:val="both"/>
      </w:pPr>
      <w:r>
        <w:t>Le candidat introduit sa proposition par une synthèse mettant notamment en avant les éléments différenciateurs de son offre.</w:t>
      </w:r>
    </w:p>
    <w:p>
      <w:pPr>
        <w:jc w:val="both"/>
      </w:pPr>
      <w:r>
        <w:t xml:space="preserve">Le candidat décrit les principes directeurs de son offre et ses engagements. </w:t>
      </w:r>
    </w:p>
    <w:p>
      <w:pPr>
        <w:jc w:val="both"/>
      </w:pPr>
      <w:r>
        <w:t>Le candidat présente les apports de son offre en termes de maîtrise des délais et de qualité de ses prestations et des livrables, ainsi qu’en termes de productivité globale et d’innovations.</w:t>
      </w:r>
    </w:p>
    <w:p>
      <w:pPr>
        <w:jc w:val="both"/>
      </w:pPr>
      <w:r>
        <w:t>Le candidat limite la synthèse de l’offre à 30 pages.</w:t>
      </w:r>
    </w:p>
    <w:p>
      <w:pPr>
        <w:pStyle w:val="Titre1"/>
        <w:pageBreakBefore w:val="0"/>
        <w:shd w:val="clear" w:color="auto" w:fill="FFFFFF"/>
        <w:tabs>
          <w:tab w:val="num" w:pos="851"/>
        </w:tabs>
        <w:spacing w:before="360" w:after="360"/>
        <w:ind w:left="851" w:hanging="851"/>
        <w:jc w:val="both"/>
      </w:pPr>
      <w:bookmarkStart w:id="1" w:name="_Toc184998539"/>
      <w:r>
        <w:t>Compréhension du contexte, des enjeux et des exigences</w:t>
      </w:r>
      <w:bookmarkEnd w:id="1"/>
    </w:p>
    <w:p>
      <w:pPr>
        <w:jc w:val="both"/>
      </w:pPr>
      <w:r>
        <w:t>Le contexte de travail de l’AIFE est complexe, avec de nombreux partenaires et différents prestataires. Or, sa maîtrise par le candidat est un facteur important de sa capacité à réaliser les prestations du périmètre du présent marché, en interaction avec les prestations des autres marchés.</w:t>
      </w:r>
    </w:p>
    <w:p>
      <w:pPr>
        <w:jc w:val="both"/>
      </w:pPr>
      <w:r>
        <w:t xml:space="preserve">Aussi le candidat procède-t-il dans ce chapitre à une reformulation précise du contexte et des enjeux du marché afin d’en montrer sa bonne compréhension. </w:t>
      </w:r>
    </w:p>
    <w:p>
      <w:pPr>
        <w:jc w:val="both"/>
      </w:pPr>
      <w:r>
        <w:t>Selon le même principe, le candidat décrit sa compréhension du paysage applicatif et technique existant et des exigences de l’Administration.</w:t>
      </w:r>
    </w:p>
    <w:p>
      <w:pPr>
        <w:jc w:val="both"/>
      </w:pPr>
    </w:p>
    <w:p>
      <w:pPr>
        <w:pStyle w:val="Titre1"/>
        <w:pageBreakBefore w:val="0"/>
        <w:shd w:val="clear" w:color="auto" w:fill="FFFFFF"/>
        <w:tabs>
          <w:tab w:val="num" w:pos="851"/>
        </w:tabs>
        <w:spacing w:before="360" w:after="360"/>
        <w:ind w:left="851" w:hanging="851"/>
        <w:jc w:val="both"/>
      </w:pPr>
      <w:bookmarkStart w:id="2" w:name="_Toc184998540"/>
      <w:r>
        <w:t>prestations du candidat</w:t>
      </w:r>
      <w:bookmarkEnd w:id="2"/>
    </w:p>
    <w:p>
      <w:pPr>
        <w:jc w:val="both"/>
      </w:pPr>
      <w:r>
        <w:t xml:space="preserve">Ce chapitre doit permettre au candidat d’exposer sa compréhension de chaque prestation du marché dans l’ordre d’énonciation du CCTP et de détailler les modalités mises en œuvre pour répondre aux différentes activités décrites. </w:t>
      </w:r>
    </w:p>
    <w:p>
      <w:pPr>
        <w:jc w:val="both"/>
      </w:pPr>
      <w:r>
        <w:lastRenderedPageBreak/>
        <w:t>Le candidat prend connaissance des prestations dans leur globalité afin de présenter sa compréhension de l’ensemble du périmètre du présent marché et des interactions éventuelles avec d’autres prestataires.</w:t>
      </w:r>
    </w:p>
    <w:p>
      <w:pPr>
        <w:jc w:val="both"/>
      </w:pPr>
    </w:p>
    <w:p>
      <w:pPr>
        <w:jc w:val="both"/>
      </w:pPr>
      <w:r>
        <w:t>Le candidat décrit donc ici comment il répond à chacune des prestations demandées en respectant l’ensemble des exigences.</w:t>
      </w:r>
    </w:p>
    <w:p>
      <w:pPr>
        <w:jc w:val="both"/>
      </w:pPr>
    </w:p>
    <w:p>
      <w:pPr>
        <w:jc w:val="both"/>
      </w:pPr>
      <w:r>
        <w:t>Pour chacune des prestations, le candidat donne une description synthétique de la méthodologie qu’il entend mettre en œuvre pour répondre aux activités décrites par la Personne publique dans le CCTP du marché et présente ses engagements, en termes de bonne exécution des prestations. Il veille à la clarté et la pertinence de la méthodologie et des modalités d’exécution proposées pour chaque prestation du marché.</w:t>
      </w:r>
    </w:p>
    <w:p>
      <w:pPr>
        <w:jc w:val="both"/>
      </w:pPr>
      <w:r>
        <w:t xml:space="preserve">Il est demandé que la trame générique suivante soit respectée pour décrire l’offre relative à chaque prestation. </w:t>
      </w:r>
    </w:p>
    <w:p>
      <w:pPr>
        <w:pStyle w:val="Titre2"/>
        <w:jc w:val="both"/>
      </w:pPr>
      <w:bookmarkStart w:id="3" w:name="_Toc184998541"/>
      <w:r>
        <w:t>Description de la prestation et des modalités d’exécution</w:t>
      </w:r>
      <w:bookmarkEnd w:id="3"/>
    </w:p>
    <w:p>
      <w:pPr>
        <w:jc w:val="both"/>
      </w:pPr>
      <w:r>
        <w:t>Le candidat présente sa compréhension de la prestation à réaliser et fournit une description des modalités d’exécution de cette prestation, il décrit notamment</w:t>
      </w:r>
      <w:r>
        <w:rPr>
          <w:rFonts w:ascii="Calibri" w:hAnsi="Calibri" w:cs="Calibri"/>
        </w:rPr>
        <w:t> </w:t>
      </w:r>
      <w:r>
        <w:t>:</w:t>
      </w:r>
    </w:p>
    <w:p>
      <w:pPr>
        <w:pStyle w:val="Liste1"/>
      </w:pPr>
      <w:r>
        <w:t>La méthodologie qu’il entend mettre en œuvre pour réaliser la prestation ;</w:t>
      </w:r>
    </w:p>
    <w:p>
      <w:pPr>
        <w:pStyle w:val="Liste1"/>
      </w:pPr>
      <w:r>
        <w:t>Le plan et le planning de déroulement de la prestation</w:t>
      </w:r>
      <w:r>
        <w:rPr>
          <w:rFonts w:ascii="Calibri" w:hAnsi="Calibri" w:cs="Calibri"/>
        </w:rPr>
        <w:t> </w:t>
      </w:r>
      <w:r>
        <w:t>;</w:t>
      </w:r>
    </w:p>
    <w:p>
      <w:pPr>
        <w:pStyle w:val="Liste1"/>
      </w:pPr>
      <w:r>
        <w:t>Ses engagements et hypothèses induisant les charges associées à chaque prestation</w:t>
      </w:r>
      <w:r>
        <w:rPr>
          <w:rFonts w:ascii="Calibri" w:hAnsi="Calibri" w:cs="Calibri"/>
        </w:rPr>
        <w:t> </w:t>
      </w:r>
      <w:r>
        <w:t>;</w:t>
      </w:r>
    </w:p>
    <w:p>
      <w:pPr>
        <w:pStyle w:val="Liste1"/>
      </w:pPr>
      <w:r>
        <w:t xml:space="preserve">Les solutions proposées pour réaliser la prestation. </w:t>
      </w:r>
    </w:p>
    <w:p>
      <w:pPr>
        <w:pStyle w:val="Titre2"/>
        <w:jc w:val="both"/>
      </w:pPr>
      <w:bookmarkStart w:id="4" w:name="_Toc184998542"/>
      <w:r>
        <w:t>Facteurs clés de succès de la prestation</w:t>
      </w:r>
      <w:bookmarkEnd w:id="4"/>
    </w:p>
    <w:p>
      <w:pPr>
        <w:jc w:val="both"/>
      </w:pPr>
      <w:r>
        <w:t>Le candidat présente les principaux facteurs qui assureront la réussite de la prestation.</w:t>
      </w:r>
    </w:p>
    <w:p>
      <w:pPr>
        <w:pStyle w:val="Titre2"/>
        <w:jc w:val="both"/>
      </w:pPr>
      <w:bookmarkStart w:id="5" w:name="_Toc184998543"/>
      <w:r>
        <w:t>Principaux risques liés à la prestation</w:t>
      </w:r>
      <w:bookmarkEnd w:id="5"/>
      <w:r>
        <w:t xml:space="preserve"> </w:t>
      </w:r>
    </w:p>
    <w:p>
      <w:pPr>
        <w:jc w:val="both"/>
      </w:pPr>
      <w:r>
        <w:t>Le candidat présente les principaux risques identifiés (trois maximum) pour la bonne exécution de la prestation, avec leurs plans de couverture associés.</w:t>
      </w:r>
    </w:p>
    <w:p>
      <w:pPr>
        <w:pStyle w:val="Titre2"/>
        <w:jc w:val="both"/>
      </w:pPr>
      <w:bookmarkStart w:id="6" w:name="_Toc184998544"/>
      <w:r>
        <w:t>Améliorations et innovations proposées</w:t>
      </w:r>
      <w:bookmarkEnd w:id="6"/>
    </w:p>
    <w:p>
      <w:pPr>
        <w:jc w:val="both"/>
      </w:pPr>
      <w:r>
        <w:t>Le candidat peut proposer des améliorations sur le contenu des prestations présentées dans le CCTP ainsi que des innovations (technologiques, méthodologiques, organisationnelles, etc.) s’il juge que celles-ci permettront d’augmenter la productivité de ses équipes et plus globalement de l’AIFE, et/ou d’améliorer la qualité du service proposé par ses équipes, voire in fine la qualité du service proposé par l’AIFE à ses clients.</w:t>
      </w:r>
    </w:p>
    <w:p>
      <w:pPr>
        <w:jc w:val="both"/>
      </w:pPr>
      <w:r>
        <w:t xml:space="preserve">Le candidat précisera et si possible quantifiera les bénéfices attendus, ainsi que les investissements associés pour atteindre ces bénéfices. Le candidat précisera s’il s’agit d’un investissement propre du candidat, d’un </w:t>
      </w:r>
      <w:proofErr w:type="spellStart"/>
      <w:r>
        <w:t>co</w:t>
      </w:r>
      <w:proofErr w:type="spellEnd"/>
      <w:r>
        <w:t>-investissement (AIFE/Candidat) ou d’un investissement totalement financé par l’AIFE. Il précisera également le délai estimé pour atteindre les bénéfices.</w:t>
      </w:r>
    </w:p>
    <w:p>
      <w:pPr>
        <w:pStyle w:val="Titre2"/>
        <w:jc w:val="both"/>
      </w:pPr>
      <w:bookmarkStart w:id="7" w:name="_Toc184998545"/>
      <w:r>
        <w:lastRenderedPageBreak/>
        <w:t>Demandes spécifiques</w:t>
      </w:r>
      <w:bookmarkEnd w:id="7"/>
    </w:p>
    <w:p>
      <w:pPr>
        <w:jc w:val="both"/>
      </w:pPr>
      <w:r>
        <w:t>Pour certaines prestations, des éléments de réponse complémentaires sont demandés spécifiquement aux candidats, tels qu’indiqués dans la colonne « Demandes spécifiques » ci-</w:t>
      </w:r>
      <w:proofErr w:type="gramStart"/>
      <w:r>
        <w:t>dessous:</w:t>
      </w:r>
      <w:proofErr w:type="gramEnd"/>
    </w:p>
    <w:p>
      <w:pPr>
        <w:jc w:val="both"/>
      </w:pPr>
    </w:p>
    <w:tbl>
      <w:tblPr>
        <w:tblStyle w:val="Grilledutableau"/>
        <w:tblW w:w="11341" w:type="dxa"/>
        <w:tblInd w:w="-856" w:type="dxa"/>
        <w:tblLayout w:type="fixed"/>
        <w:tblLook w:val="04A0" w:firstRow="1" w:lastRow="0" w:firstColumn="1" w:lastColumn="0" w:noHBand="0" w:noVBand="1"/>
      </w:tblPr>
      <w:tblGrid>
        <w:gridCol w:w="1418"/>
        <w:gridCol w:w="1134"/>
        <w:gridCol w:w="8789"/>
      </w:tblGrid>
      <w:tr>
        <w:trPr>
          <w:tblHeader/>
        </w:trPr>
        <w:tc>
          <w:tcPr>
            <w:tcW w:w="1418" w:type="dxa"/>
            <w:shd w:val="clear" w:color="auto" w:fill="000000" w:themeFill="text1"/>
            <w:vAlign w:val="center"/>
          </w:tcPr>
          <w:p>
            <w:pPr>
              <w:jc w:val="both"/>
              <w:rPr>
                <w:color w:val="FFFFFF"/>
              </w:rPr>
            </w:pPr>
            <w:r>
              <w:rPr>
                <w:b/>
                <w:color w:val="FFFFFF" w:themeColor="background1"/>
                <w:sz w:val="18"/>
                <w:szCs w:val="18"/>
              </w:rPr>
              <w:t xml:space="preserve">Prestation </w:t>
            </w:r>
          </w:p>
        </w:tc>
        <w:tc>
          <w:tcPr>
            <w:tcW w:w="1134" w:type="dxa"/>
            <w:shd w:val="clear" w:color="auto" w:fill="000000" w:themeFill="text1"/>
            <w:vAlign w:val="center"/>
          </w:tcPr>
          <w:p>
            <w:pPr>
              <w:jc w:val="both"/>
              <w:rPr>
                <w:color w:val="FFFFFF"/>
              </w:rPr>
            </w:pPr>
            <w:r>
              <w:rPr>
                <w:b/>
                <w:color w:val="FFFFFF" w:themeColor="background1"/>
                <w:sz w:val="18"/>
                <w:szCs w:val="18"/>
              </w:rPr>
              <w:t>Activité</w:t>
            </w:r>
          </w:p>
        </w:tc>
        <w:tc>
          <w:tcPr>
            <w:tcW w:w="8789" w:type="dxa"/>
            <w:shd w:val="clear" w:color="auto" w:fill="000000" w:themeFill="text1"/>
            <w:vAlign w:val="center"/>
          </w:tcPr>
          <w:p>
            <w:pPr>
              <w:jc w:val="both"/>
              <w:rPr>
                <w:color w:val="FFFFFF"/>
              </w:rPr>
            </w:pPr>
            <w:r>
              <w:rPr>
                <w:b/>
                <w:color w:val="FFFFFF" w:themeColor="background1"/>
                <w:sz w:val="18"/>
                <w:szCs w:val="18"/>
              </w:rPr>
              <w:t>Demandes spécifiques</w:t>
            </w:r>
          </w:p>
        </w:tc>
      </w:tr>
      <w:tr>
        <w:tc>
          <w:tcPr>
            <w:tcW w:w="1418" w:type="dxa"/>
            <w:vMerge w:val="restart"/>
            <w:shd w:val="clear" w:color="auto" w:fill="FFFFFF"/>
            <w:vAlign w:val="center"/>
          </w:tcPr>
          <w:p>
            <w:pPr>
              <w:jc w:val="both"/>
              <w:rPr>
                <w:sz w:val="18"/>
                <w:szCs w:val="18"/>
              </w:rPr>
            </w:pPr>
            <w:r>
              <w:rPr>
                <w:sz w:val="18"/>
                <w:szCs w:val="18"/>
              </w:rPr>
              <w:t>Initialisation</w:t>
            </w:r>
          </w:p>
        </w:tc>
        <w:tc>
          <w:tcPr>
            <w:tcW w:w="1134" w:type="dxa"/>
            <w:shd w:val="clear" w:color="auto" w:fill="FFFFFF"/>
            <w:vAlign w:val="center"/>
          </w:tcPr>
          <w:p>
            <w:pPr>
              <w:jc w:val="both"/>
              <w:rPr>
                <w:sz w:val="18"/>
                <w:szCs w:val="18"/>
              </w:rPr>
            </w:pPr>
            <w:r>
              <w:rPr>
                <w:sz w:val="18"/>
                <w:szCs w:val="18"/>
              </w:rPr>
              <w:t>P01A11</w:t>
            </w:r>
          </w:p>
        </w:tc>
        <w:tc>
          <w:tcPr>
            <w:tcW w:w="8789" w:type="dxa"/>
            <w:shd w:val="clear" w:color="auto" w:fill="FFFFFF"/>
          </w:tcPr>
          <w:p>
            <w:pPr>
              <w:jc w:val="both"/>
              <w:rPr>
                <w:sz w:val="18"/>
                <w:szCs w:val="18"/>
              </w:rPr>
            </w:pPr>
            <w:r>
              <w:rPr>
                <w:sz w:val="18"/>
                <w:szCs w:val="18"/>
              </w:rPr>
              <w:t>Renseigner la matrice de compétences avec les profils pressentis pour la phase d’initialisation</w:t>
            </w:r>
          </w:p>
        </w:tc>
      </w:tr>
      <w:tr>
        <w:trPr>
          <w:trHeight w:val="361"/>
        </w:trPr>
        <w:tc>
          <w:tcPr>
            <w:tcW w:w="1418" w:type="dxa"/>
            <w:vMerge/>
            <w:vAlign w:val="center"/>
          </w:tcPr>
          <w:p>
            <w:pPr>
              <w:jc w:val="both"/>
              <w:rPr>
                <w:sz w:val="18"/>
                <w:szCs w:val="18"/>
              </w:rPr>
            </w:pPr>
          </w:p>
        </w:tc>
        <w:tc>
          <w:tcPr>
            <w:tcW w:w="1134" w:type="dxa"/>
            <w:vAlign w:val="center"/>
          </w:tcPr>
          <w:p>
            <w:pPr>
              <w:jc w:val="both"/>
              <w:rPr>
                <w:sz w:val="18"/>
                <w:szCs w:val="18"/>
              </w:rPr>
            </w:pPr>
            <w:r>
              <w:rPr>
                <w:sz w:val="18"/>
                <w:szCs w:val="18"/>
              </w:rPr>
              <w:t>P01A01</w:t>
            </w:r>
          </w:p>
        </w:tc>
        <w:tc>
          <w:tcPr>
            <w:tcW w:w="8789" w:type="dxa"/>
          </w:tcPr>
          <w:p>
            <w:pPr>
              <w:jc w:val="both"/>
              <w:rPr>
                <w:sz w:val="18"/>
                <w:szCs w:val="18"/>
              </w:rPr>
            </w:pPr>
            <w:r>
              <w:rPr>
                <w:sz w:val="18"/>
                <w:szCs w:val="18"/>
              </w:rPr>
              <w:t>Expliciter les garanties de continuité de l’équipe pressentie entre la phase d’initialisation et le démarrage des prestations de MCO</w:t>
            </w:r>
          </w:p>
        </w:tc>
      </w:tr>
      <w:tr>
        <w:trPr>
          <w:trHeight w:val="361"/>
        </w:trPr>
        <w:tc>
          <w:tcPr>
            <w:tcW w:w="1418" w:type="dxa"/>
            <w:vMerge/>
            <w:vAlign w:val="center"/>
          </w:tcPr>
          <w:p>
            <w:pPr>
              <w:jc w:val="both"/>
              <w:rPr>
                <w:sz w:val="18"/>
                <w:szCs w:val="18"/>
              </w:rPr>
            </w:pPr>
          </w:p>
        </w:tc>
        <w:tc>
          <w:tcPr>
            <w:tcW w:w="1134" w:type="dxa"/>
            <w:vAlign w:val="center"/>
          </w:tcPr>
          <w:p>
            <w:pPr>
              <w:jc w:val="both"/>
              <w:rPr>
                <w:sz w:val="18"/>
                <w:szCs w:val="18"/>
              </w:rPr>
            </w:pPr>
            <w:r>
              <w:rPr>
                <w:sz w:val="18"/>
                <w:szCs w:val="18"/>
              </w:rPr>
              <w:t>P01A01</w:t>
            </w:r>
          </w:p>
        </w:tc>
        <w:tc>
          <w:tcPr>
            <w:tcW w:w="8789" w:type="dxa"/>
          </w:tcPr>
          <w:p>
            <w:pPr>
              <w:jc w:val="both"/>
              <w:rPr>
                <w:sz w:val="18"/>
                <w:szCs w:val="18"/>
              </w:rPr>
            </w:pPr>
            <w:r>
              <w:rPr>
                <w:sz w:val="18"/>
                <w:szCs w:val="18"/>
              </w:rPr>
              <w:t>Préciser le plan d’action permettant d’assurer le plan de livraison et les reports de correctifs lot1/lot2 ainsi que la gestion des mises en production lot1 et lot2.</w:t>
            </w:r>
          </w:p>
        </w:tc>
      </w:tr>
      <w:tr>
        <w:tc>
          <w:tcPr>
            <w:tcW w:w="1418" w:type="dxa"/>
            <w:vMerge/>
            <w:vAlign w:val="center"/>
          </w:tcPr>
          <w:p>
            <w:pPr>
              <w:pStyle w:val="Titre4"/>
              <w:keepLines w:val="0"/>
              <w:numPr>
                <w:ilvl w:val="0"/>
                <w:numId w:val="0"/>
              </w:numPr>
              <w:spacing w:before="120" w:after="80"/>
              <w:jc w:val="both"/>
              <w:rPr>
                <w:sz w:val="18"/>
                <w:szCs w:val="18"/>
              </w:rPr>
            </w:pPr>
          </w:p>
        </w:tc>
        <w:tc>
          <w:tcPr>
            <w:tcW w:w="1134" w:type="dxa"/>
            <w:vAlign w:val="center"/>
          </w:tcPr>
          <w:p>
            <w:pPr>
              <w:jc w:val="both"/>
              <w:rPr>
                <w:sz w:val="18"/>
                <w:szCs w:val="18"/>
              </w:rPr>
            </w:pPr>
            <w:r>
              <w:rPr>
                <w:sz w:val="18"/>
                <w:szCs w:val="18"/>
              </w:rPr>
              <w:t>P01A08</w:t>
            </w:r>
          </w:p>
        </w:tc>
        <w:tc>
          <w:tcPr>
            <w:tcW w:w="8789" w:type="dxa"/>
          </w:tcPr>
          <w:p>
            <w:pPr>
              <w:jc w:val="both"/>
              <w:rPr>
                <w:sz w:val="18"/>
                <w:szCs w:val="18"/>
              </w:rPr>
            </w:pPr>
            <w:r>
              <w:rPr>
                <w:sz w:val="18"/>
                <w:szCs w:val="18"/>
              </w:rPr>
              <w:t>Vu le contexte du projet PPF, faire des suggestions pour faciliter le transfert de compétences avec le prestataire sortant et ainsi minimiser l’impact sur ce dernier</w:t>
            </w:r>
          </w:p>
        </w:tc>
      </w:tr>
      <w:tr>
        <w:tc>
          <w:tcPr>
            <w:tcW w:w="1418" w:type="dxa"/>
            <w:vMerge/>
            <w:vAlign w:val="center"/>
          </w:tcPr>
          <w:p>
            <w:pPr>
              <w:pStyle w:val="Titre4"/>
              <w:spacing w:before="120" w:after="80" w:line="240" w:lineRule="atLeast"/>
              <w:ind w:left="0" w:hanging="864"/>
              <w:jc w:val="both"/>
              <w:rPr>
                <w:sz w:val="18"/>
                <w:szCs w:val="18"/>
              </w:rPr>
            </w:pPr>
          </w:p>
        </w:tc>
        <w:tc>
          <w:tcPr>
            <w:tcW w:w="1134" w:type="dxa"/>
            <w:vAlign w:val="center"/>
          </w:tcPr>
          <w:p>
            <w:pPr>
              <w:jc w:val="both"/>
              <w:rPr>
                <w:sz w:val="18"/>
                <w:szCs w:val="18"/>
              </w:rPr>
            </w:pPr>
            <w:r>
              <w:rPr>
                <w:sz w:val="18"/>
                <w:szCs w:val="18"/>
              </w:rPr>
              <w:t>P01A01</w:t>
            </w:r>
          </w:p>
        </w:tc>
        <w:tc>
          <w:tcPr>
            <w:tcW w:w="8789" w:type="dxa"/>
          </w:tcPr>
          <w:p>
            <w:pPr>
              <w:jc w:val="both"/>
              <w:rPr>
                <w:sz w:val="18"/>
                <w:szCs w:val="18"/>
              </w:rPr>
            </w:pPr>
            <w:r>
              <w:rPr>
                <w:sz w:val="18"/>
                <w:szCs w:val="18"/>
              </w:rPr>
              <w:t>Proposer des indicateurs de mesure d'avancement de la phase d'initialisation, ainsi que la méthodologie pour les mesurer. Préciser la fréquence de calcul de ces indicateurs</w:t>
            </w:r>
          </w:p>
        </w:tc>
      </w:tr>
      <w:tr>
        <w:trPr>
          <w:trHeight w:val="70"/>
        </w:trPr>
        <w:tc>
          <w:tcPr>
            <w:tcW w:w="1418" w:type="dxa"/>
            <w:vMerge/>
            <w:vAlign w:val="center"/>
          </w:tcPr>
          <w:p>
            <w:pPr>
              <w:pStyle w:val="Titre4"/>
              <w:spacing w:before="120" w:after="80" w:line="240" w:lineRule="atLeast"/>
              <w:ind w:left="0" w:hanging="864"/>
              <w:jc w:val="both"/>
              <w:rPr>
                <w:sz w:val="18"/>
                <w:szCs w:val="18"/>
              </w:rPr>
            </w:pPr>
          </w:p>
        </w:tc>
        <w:tc>
          <w:tcPr>
            <w:tcW w:w="1134" w:type="dxa"/>
            <w:vAlign w:val="center"/>
          </w:tcPr>
          <w:p>
            <w:pPr>
              <w:jc w:val="both"/>
              <w:rPr>
                <w:sz w:val="18"/>
                <w:szCs w:val="18"/>
              </w:rPr>
            </w:pPr>
            <w:r>
              <w:rPr>
                <w:sz w:val="18"/>
                <w:szCs w:val="18"/>
              </w:rPr>
              <w:t>P01A13</w:t>
            </w:r>
          </w:p>
        </w:tc>
        <w:tc>
          <w:tcPr>
            <w:tcW w:w="8789" w:type="dxa"/>
          </w:tcPr>
          <w:p>
            <w:pPr>
              <w:jc w:val="both"/>
              <w:rPr>
                <w:sz w:val="18"/>
                <w:szCs w:val="18"/>
              </w:rPr>
            </w:pPr>
            <w:r>
              <w:rPr>
                <w:sz w:val="18"/>
                <w:szCs w:val="18"/>
              </w:rPr>
              <w:t>Préciser l’approche qui pourrait être utilisée pour évaluer la situation du projet PPF pendant la phase d’initialisation, ainsi que le contenu type du rapport d’étonnement qui en résulterait. Quelles propositions pourraient découler de cette analyse ? avec quels types d’engagement et de financement ? Quels seraient les points bloquants pour un démarrage des prestations à la fin de la phase d'initialisation ?</w:t>
            </w:r>
          </w:p>
        </w:tc>
      </w:tr>
      <w:tr>
        <w:trPr>
          <w:trHeight w:val="278"/>
        </w:trPr>
        <w:tc>
          <w:tcPr>
            <w:tcW w:w="1418" w:type="dxa"/>
            <w:vMerge/>
            <w:vAlign w:val="center"/>
          </w:tcPr>
          <w:p>
            <w:pPr>
              <w:pStyle w:val="Titre4"/>
              <w:keepLines w:val="0"/>
              <w:numPr>
                <w:ilvl w:val="0"/>
                <w:numId w:val="0"/>
              </w:numPr>
              <w:spacing w:before="120" w:after="80"/>
              <w:jc w:val="both"/>
              <w:rPr>
                <w:sz w:val="18"/>
                <w:szCs w:val="18"/>
              </w:rPr>
            </w:pPr>
          </w:p>
        </w:tc>
        <w:tc>
          <w:tcPr>
            <w:tcW w:w="1134" w:type="dxa"/>
            <w:vAlign w:val="center"/>
          </w:tcPr>
          <w:p>
            <w:pPr>
              <w:jc w:val="both"/>
              <w:rPr>
                <w:sz w:val="18"/>
                <w:szCs w:val="18"/>
              </w:rPr>
            </w:pPr>
            <w:r>
              <w:rPr>
                <w:sz w:val="18"/>
                <w:szCs w:val="18"/>
              </w:rPr>
              <w:t>P01A09</w:t>
            </w:r>
          </w:p>
        </w:tc>
        <w:tc>
          <w:tcPr>
            <w:tcW w:w="8789" w:type="dxa"/>
          </w:tcPr>
          <w:p>
            <w:pPr>
              <w:jc w:val="both"/>
              <w:rPr>
                <w:sz w:val="18"/>
                <w:szCs w:val="18"/>
              </w:rPr>
            </w:pPr>
            <w:r>
              <w:rPr>
                <w:sz w:val="18"/>
                <w:szCs w:val="18"/>
              </w:rPr>
              <w:t>Préciser le plan d'actions proposé pour mettre en place toutes les mesures de sécurité pendant la phase d’initialisation (postes console, locaux, accès réseau, etc.)</w:t>
            </w:r>
          </w:p>
        </w:tc>
      </w:tr>
      <w:tr>
        <w:tc>
          <w:tcPr>
            <w:tcW w:w="1418" w:type="dxa"/>
            <w:vMerge w:val="restart"/>
            <w:vAlign w:val="center"/>
          </w:tcPr>
          <w:p>
            <w:pPr>
              <w:jc w:val="both"/>
              <w:rPr>
                <w:sz w:val="18"/>
                <w:szCs w:val="18"/>
              </w:rPr>
            </w:pPr>
            <w:r>
              <w:rPr>
                <w:sz w:val="18"/>
                <w:szCs w:val="18"/>
              </w:rPr>
              <w:t xml:space="preserve">Gestion des livraisons </w:t>
            </w:r>
          </w:p>
        </w:tc>
        <w:tc>
          <w:tcPr>
            <w:tcW w:w="1134" w:type="dxa"/>
            <w:vAlign w:val="center"/>
          </w:tcPr>
          <w:p>
            <w:pPr>
              <w:jc w:val="both"/>
              <w:rPr>
                <w:sz w:val="18"/>
                <w:szCs w:val="18"/>
              </w:rPr>
            </w:pPr>
            <w:r>
              <w:rPr>
                <w:sz w:val="18"/>
                <w:szCs w:val="18"/>
              </w:rPr>
              <w:t>P05A01</w:t>
            </w:r>
          </w:p>
        </w:tc>
        <w:tc>
          <w:tcPr>
            <w:tcW w:w="8789" w:type="dxa"/>
          </w:tcPr>
          <w:p>
            <w:pPr>
              <w:jc w:val="both"/>
              <w:rPr>
                <w:sz w:val="18"/>
                <w:szCs w:val="18"/>
              </w:rPr>
            </w:pPr>
            <w:r>
              <w:rPr>
                <w:sz w:val="18"/>
                <w:szCs w:val="18"/>
              </w:rPr>
              <w:t xml:space="preserve">Décrire l’organisation sur la gestion des livraisons </w:t>
            </w:r>
          </w:p>
        </w:tc>
      </w:tr>
      <w:tr>
        <w:tc>
          <w:tcPr>
            <w:tcW w:w="1418" w:type="dxa"/>
            <w:vMerge/>
            <w:vAlign w:val="center"/>
          </w:tcPr>
          <w:p>
            <w:pPr>
              <w:jc w:val="both"/>
              <w:rPr>
                <w:sz w:val="18"/>
                <w:szCs w:val="18"/>
              </w:rPr>
            </w:pPr>
          </w:p>
        </w:tc>
        <w:tc>
          <w:tcPr>
            <w:tcW w:w="1134" w:type="dxa"/>
            <w:vAlign w:val="center"/>
          </w:tcPr>
          <w:p>
            <w:pPr>
              <w:jc w:val="both"/>
              <w:rPr>
                <w:sz w:val="18"/>
                <w:szCs w:val="18"/>
              </w:rPr>
            </w:pPr>
            <w:r>
              <w:rPr>
                <w:sz w:val="18"/>
                <w:szCs w:val="18"/>
              </w:rPr>
              <w:t>P05A02</w:t>
            </w:r>
          </w:p>
        </w:tc>
        <w:tc>
          <w:tcPr>
            <w:tcW w:w="8789" w:type="dxa"/>
          </w:tcPr>
          <w:p>
            <w:pPr>
              <w:jc w:val="both"/>
              <w:rPr>
                <w:sz w:val="18"/>
                <w:szCs w:val="18"/>
              </w:rPr>
            </w:pPr>
            <w:r>
              <w:rPr>
                <w:sz w:val="18"/>
                <w:szCs w:val="18"/>
              </w:rPr>
              <w:t>Décrire l’approche du titulaire sur la gestion des développements et des tests pour pouvoir livrer un correctif ou une évolution en production</w:t>
            </w:r>
          </w:p>
        </w:tc>
      </w:tr>
      <w:tr>
        <w:trPr>
          <w:trHeight w:val="325"/>
        </w:trPr>
        <w:tc>
          <w:tcPr>
            <w:tcW w:w="1418" w:type="dxa"/>
            <w:vMerge w:val="restart"/>
            <w:vAlign w:val="center"/>
          </w:tcPr>
          <w:p>
            <w:pPr>
              <w:jc w:val="both"/>
              <w:rPr>
                <w:sz w:val="18"/>
                <w:szCs w:val="18"/>
              </w:rPr>
            </w:pPr>
            <w:r>
              <w:rPr>
                <w:sz w:val="18"/>
                <w:szCs w:val="18"/>
              </w:rPr>
              <w:t>Maintenance corrective</w:t>
            </w:r>
          </w:p>
          <w:p>
            <w:pPr>
              <w:jc w:val="both"/>
              <w:rPr>
                <w:sz w:val="18"/>
                <w:szCs w:val="18"/>
              </w:rPr>
            </w:pPr>
          </w:p>
          <w:p>
            <w:pPr>
              <w:jc w:val="both"/>
              <w:rPr>
                <w:sz w:val="18"/>
                <w:szCs w:val="18"/>
              </w:rPr>
            </w:pPr>
          </w:p>
          <w:p>
            <w:pPr>
              <w:jc w:val="both"/>
              <w:rPr>
                <w:sz w:val="18"/>
                <w:szCs w:val="18"/>
              </w:rPr>
            </w:pPr>
          </w:p>
          <w:p>
            <w:pPr>
              <w:jc w:val="both"/>
              <w:rPr>
                <w:sz w:val="18"/>
                <w:szCs w:val="18"/>
              </w:rPr>
            </w:pPr>
          </w:p>
          <w:p>
            <w:pPr>
              <w:jc w:val="both"/>
              <w:rPr>
                <w:sz w:val="18"/>
                <w:szCs w:val="18"/>
              </w:rPr>
            </w:pPr>
          </w:p>
        </w:tc>
        <w:tc>
          <w:tcPr>
            <w:tcW w:w="1134" w:type="dxa"/>
            <w:vAlign w:val="center"/>
          </w:tcPr>
          <w:p>
            <w:pPr>
              <w:jc w:val="both"/>
              <w:rPr>
                <w:sz w:val="18"/>
                <w:szCs w:val="18"/>
              </w:rPr>
            </w:pPr>
            <w:r>
              <w:rPr>
                <w:sz w:val="18"/>
                <w:szCs w:val="18"/>
              </w:rPr>
              <w:t>P02A01</w:t>
            </w:r>
          </w:p>
          <w:p>
            <w:pPr>
              <w:jc w:val="both"/>
              <w:rPr>
                <w:sz w:val="18"/>
                <w:szCs w:val="18"/>
              </w:rPr>
            </w:pPr>
            <w:r>
              <w:rPr>
                <w:sz w:val="18"/>
                <w:szCs w:val="18"/>
              </w:rPr>
              <w:t>P02A02</w:t>
            </w:r>
          </w:p>
          <w:p>
            <w:pPr>
              <w:jc w:val="both"/>
              <w:rPr>
                <w:sz w:val="18"/>
                <w:szCs w:val="18"/>
              </w:rPr>
            </w:pPr>
            <w:r>
              <w:rPr>
                <w:sz w:val="18"/>
                <w:szCs w:val="18"/>
              </w:rPr>
              <w:t>P02A03</w:t>
            </w:r>
          </w:p>
        </w:tc>
        <w:tc>
          <w:tcPr>
            <w:tcW w:w="8789" w:type="dxa"/>
          </w:tcPr>
          <w:p>
            <w:pPr>
              <w:jc w:val="both"/>
              <w:rPr>
                <w:sz w:val="18"/>
                <w:szCs w:val="18"/>
              </w:rPr>
            </w:pPr>
            <w:r>
              <w:rPr>
                <w:sz w:val="18"/>
                <w:szCs w:val="18"/>
              </w:rPr>
              <w:t>Décrire le dispositif mis en place pour qualifier les incidents, les problèmes et les traiter</w:t>
            </w:r>
          </w:p>
        </w:tc>
      </w:tr>
      <w:tr>
        <w:trPr>
          <w:trHeight w:val="361"/>
        </w:trPr>
        <w:tc>
          <w:tcPr>
            <w:tcW w:w="1418" w:type="dxa"/>
            <w:vMerge/>
            <w:vAlign w:val="center"/>
          </w:tcPr>
          <w:p/>
        </w:tc>
        <w:tc>
          <w:tcPr>
            <w:tcW w:w="1134" w:type="dxa"/>
            <w:vAlign w:val="center"/>
          </w:tcPr>
          <w:p>
            <w:pPr>
              <w:jc w:val="both"/>
              <w:rPr>
                <w:sz w:val="18"/>
                <w:szCs w:val="18"/>
              </w:rPr>
            </w:pPr>
            <w:r>
              <w:rPr>
                <w:sz w:val="18"/>
                <w:szCs w:val="18"/>
              </w:rPr>
              <w:t>P02A03</w:t>
            </w:r>
          </w:p>
          <w:p>
            <w:pPr>
              <w:jc w:val="both"/>
              <w:rPr>
                <w:sz w:val="18"/>
                <w:szCs w:val="18"/>
              </w:rPr>
            </w:pPr>
            <w:r>
              <w:rPr>
                <w:sz w:val="18"/>
                <w:szCs w:val="18"/>
              </w:rPr>
              <w:t>P02A05</w:t>
            </w:r>
          </w:p>
        </w:tc>
        <w:tc>
          <w:tcPr>
            <w:tcW w:w="8789" w:type="dxa"/>
          </w:tcPr>
          <w:p>
            <w:pPr>
              <w:jc w:val="both"/>
              <w:rPr>
                <w:sz w:val="18"/>
                <w:szCs w:val="18"/>
              </w:rPr>
            </w:pPr>
            <w:r>
              <w:rPr>
                <w:sz w:val="18"/>
                <w:szCs w:val="18"/>
              </w:rPr>
              <w:t>Préciser comment sera assurée l’intégration en termes de gestion de projet entre le correctif et l’évolutif et entre les différents volets de la solution (fonctionnel, applicatif, technique) et les SI partenaires. L’organisation proposée fera-t-elle bien partie du forfait ?</w:t>
            </w:r>
          </w:p>
        </w:tc>
      </w:tr>
      <w:tr>
        <w:trPr>
          <w:trHeight w:val="361"/>
        </w:trPr>
        <w:tc>
          <w:tcPr>
            <w:tcW w:w="1418" w:type="dxa"/>
            <w:vMerge/>
            <w:vAlign w:val="center"/>
          </w:tcPr>
          <w:p/>
        </w:tc>
        <w:tc>
          <w:tcPr>
            <w:tcW w:w="1134" w:type="dxa"/>
            <w:vAlign w:val="center"/>
          </w:tcPr>
          <w:p>
            <w:pPr>
              <w:jc w:val="both"/>
              <w:rPr>
                <w:sz w:val="18"/>
                <w:szCs w:val="18"/>
              </w:rPr>
            </w:pPr>
            <w:r>
              <w:rPr>
                <w:sz w:val="18"/>
                <w:szCs w:val="18"/>
              </w:rPr>
              <w:t>P02A04</w:t>
            </w:r>
          </w:p>
        </w:tc>
        <w:tc>
          <w:tcPr>
            <w:tcW w:w="8789" w:type="dxa"/>
          </w:tcPr>
          <w:p>
            <w:pPr>
              <w:jc w:val="both"/>
              <w:rPr>
                <w:sz w:val="18"/>
                <w:szCs w:val="18"/>
              </w:rPr>
            </w:pPr>
            <w:r>
              <w:rPr>
                <w:sz w:val="18"/>
                <w:szCs w:val="18"/>
              </w:rPr>
              <w:t>Décrire l’organisation qui sera mise en place pour échanger avec les éditeurs</w:t>
            </w:r>
          </w:p>
        </w:tc>
      </w:tr>
      <w:tr>
        <w:trPr>
          <w:trHeight w:val="361"/>
        </w:trPr>
        <w:tc>
          <w:tcPr>
            <w:tcW w:w="1418" w:type="dxa"/>
            <w:vMerge/>
            <w:vAlign w:val="center"/>
          </w:tcPr>
          <w:p/>
        </w:tc>
        <w:tc>
          <w:tcPr>
            <w:tcW w:w="1134" w:type="dxa"/>
            <w:vAlign w:val="center"/>
          </w:tcPr>
          <w:p>
            <w:pPr>
              <w:jc w:val="both"/>
              <w:rPr>
                <w:sz w:val="18"/>
                <w:szCs w:val="18"/>
              </w:rPr>
            </w:pPr>
            <w:r>
              <w:rPr>
                <w:sz w:val="18"/>
                <w:szCs w:val="18"/>
              </w:rPr>
              <w:t>P02A06</w:t>
            </w:r>
          </w:p>
        </w:tc>
        <w:tc>
          <w:tcPr>
            <w:tcW w:w="8789" w:type="dxa"/>
          </w:tcPr>
          <w:p>
            <w:pPr>
              <w:jc w:val="both"/>
              <w:rPr>
                <w:sz w:val="18"/>
                <w:szCs w:val="18"/>
              </w:rPr>
            </w:pPr>
            <w:r>
              <w:rPr>
                <w:sz w:val="18"/>
                <w:szCs w:val="18"/>
              </w:rPr>
              <w:t>Décrire l’approche pour s’assurer du bon fonctionnement des correctifs proposés</w:t>
            </w:r>
          </w:p>
        </w:tc>
      </w:tr>
      <w:tr>
        <w:trPr>
          <w:trHeight w:val="361"/>
        </w:trPr>
        <w:tc>
          <w:tcPr>
            <w:tcW w:w="1418" w:type="dxa"/>
            <w:vMerge/>
            <w:vAlign w:val="center"/>
          </w:tcPr>
          <w:p/>
        </w:tc>
        <w:tc>
          <w:tcPr>
            <w:tcW w:w="1134" w:type="dxa"/>
            <w:vAlign w:val="center"/>
          </w:tcPr>
          <w:p>
            <w:pPr>
              <w:jc w:val="both"/>
              <w:rPr>
                <w:sz w:val="18"/>
                <w:szCs w:val="18"/>
              </w:rPr>
            </w:pPr>
            <w:r>
              <w:rPr>
                <w:sz w:val="18"/>
                <w:szCs w:val="18"/>
              </w:rPr>
              <w:t>P02A07</w:t>
            </w:r>
          </w:p>
        </w:tc>
        <w:tc>
          <w:tcPr>
            <w:tcW w:w="8789" w:type="dxa"/>
          </w:tcPr>
          <w:p>
            <w:pPr>
              <w:jc w:val="both"/>
              <w:rPr>
                <w:sz w:val="18"/>
                <w:szCs w:val="18"/>
              </w:rPr>
            </w:pPr>
            <w:r>
              <w:rPr>
                <w:sz w:val="18"/>
                <w:szCs w:val="18"/>
              </w:rPr>
              <w:t xml:space="preserve">Préciser l’approche mise en </w:t>
            </w:r>
            <w:proofErr w:type="spellStart"/>
            <w:r>
              <w:rPr>
                <w:sz w:val="18"/>
                <w:szCs w:val="18"/>
              </w:rPr>
              <w:t>oeuvre</w:t>
            </w:r>
            <w:proofErr w:type="spellEnd"/>
            <w:r>
              <w:rPr>
                <w:sz w:val="18"/>
                <w:szCs w:val="18"/>
              </w:rPr>
              <w:t xml:space="preserve"> pour s’assurer que les correctifs mis en place ne dégradent pas les performances</w:t>
            </w:r>
          </w:p>
        </w:tc>
      </w:tr>
      <w:tr>
        <w:trPr>
          <w:trHeight w:val="361"/>
        </w:trPr>
        <w:tc>
          <w:tcPr>
            <w:tcW w:w="1418" w:type="dxa"/>
            <w:vMerge/>
            <w:vAlign w:val="center"/>
          </w:tcPr>
          <w:p/>
        </w:tc>
        <w:tc>
          <w:tcPr>
            <w:tcW w:w="1134" w:type="dxa"/>
            <w:vAlign w:val="center"/>
          </w:tcPr>
          <w:p>
            <w:pPr>
              <w:jc w:val="both"/>
              <w:rPr>
                <w:sz w:val="18"/>
                <w:szCs w:val="18"/>
              </w:rPr>
            </w:pPr>
            <w:r>
              <w:rPr>
                <w:sz w:val="18"/>
                <w:szCs w:val="18"/>
              </w:rPr>
              <w:t>P02A12</w:t>
            </w:r>
          </w:p>
        </w:tc>
        <w:tc>
          <w:tcPr>
            <w:tcW w:w="8789" w:type="dxa"/>
          </w:tcPr>
          <w:p>
            <w:pPr>
              <w:jc w:val="both"/>
              <w:rPr>
                <w:sz w:val="18"/>
                <w:szCs w:val="18"/>
              </w:rPr>
            </w:pPr>
            <w:r>
              <w:rPr>
                <w:sz w:val="18"/>
                <w:szCs w:val="18"/>
              </w:rPr>
              <w:t>Décrire l’organisation pour garantir la tenue à jour de la documentation des solutions</w:t>
            </w:r>
          </w:p>
        </w:tc>
      </w:tr>
      <w:tr>
        <w:trPr>
          <w:trHeight w:val="325"/>
        </w:trPr>
        <w:tc>
          <w:tcPr>
            <w:tcW w:w="1418" w:type="dxa"/>
            <w:vMerge w:val="restart"/>
            <w:vAlign w:val="center"/>
          </w:tcPr>
          <w:p>
            <w:pPr>
              <w:jc w:val="both"/>
              <w:rPr>
                <w:sz w:val="18"/>
                <w:szCs w:val="18"/>
              </w:rPr>
            </w:pPr>
            <w:r>
              <w:rPr>
                <w:sz w:val="18"/>
                <w:szCs w:val="18"/>
              </w:rPr>
              <w:t>Maintenance préventive</w:t>
            </w:r>
          </w:p>
          <w:p>
            <w:pPr>
              <w:jc w:val="both"/>
              <w:rPr>
                <w:sz w:val="18"/>
                <w:szCs w:val="18"/>
              </w:rPr>
            </w:pPr>
          </w:p>
        </w:tc>
        <w:tc>
          <w:tcPr>
            <w:tcW w:w="1134" w:type="dxa"/>
            <w:vAlign w:val="center"/>
          </w:tcPr>
          <w:p>
            <w:pPr>
              <w:jc w:val="both"/>
              <w:rPr>
                <w:sz w:val="18"/>
                <w:szCs w:val="18"/>
              </w:rPr>
            </w:pPr>
            <w:r>
              <w:rPr>
                <w:sz w:val="18"/>
                <w:szCs w:val="18"/>
              </w:rPr>
              <w:t>P03A01</w:t>
            </w:r>
          </w:p>
        </w:tc>
        <w:tc>
          <w:tcPr>
            <w:tcW w:w="8789" w:type="dxa"/>
          </w:tcPr>
          <w:p>
            <w:pPr>
              <w:jc w:val="both"/>
              <w:rPr>
                <w:sz w:val="18"/>
                <w:szCs w:val="18"/>
              </w:rPr>
            </w:pPr>
            <w:r>
              <w:rPr>
                <w:sz w:val="18"/>
                <w:szCs w:val="18"/>
              </w:rPr>
              <w:t xml:space="preserve">Indiquer comment sera mise en </w:t>
            </w:r>
            <w:proofErr w:type="spellStart"/>
            <w:r>
              <w:rPr>
                <w:sz w:val="18"/>
                <w:szCs w:val="18"/>
              </w:rPr>
              <w:t>oeuvre</w:t>
            </w:r>
            <w:proofErr w:type="spellEnd"/>
            <w:r>
              <w:rPr>
                <w:sz w:val="18"/>
                <w:szCs w:val="18"/>
              </w:rPr>
              <w:t xml:space="preserve"> la surveillance applicative</w:t>
            </w:r>
          </w:p>
        </w:tc>
      </w:tr>
      <w:tr>
        <w:trPr>
          <w:trHeight w:val="361"/>
        </w:trPr>
        <w:tc>
          <w:tcPr>
            <w:tcW w:w="1418" w:type="dxa"/>
            <w:vMerge/>
            <w:vAlign w:val="center"/>
          </w:tcPr>
          <w:p/>
        </w:tc>
        <w:tc>
          <w:tcPr>
            <w:tcW w:w="1134" w:type="dxa"/>
            <w:vAlign w:val="center"/>
          </w:tcPr>
          <w:p>
            <w:pPr>
              <w:jc w:val="both"/>
              <w:rPr>
                <w:sz w:val="18"/>
                <w:szCs w:val="18"/>
              </w:rPr>
            </w:pPr>
            <w:r>
              <w:rPr>
                <w:sz w:val="18"/>
                <w:szCs w:val="18"/>
              </w:rPr>
              <w:t>P03A06</w:t>
            </w:r>
          </w:p>
        </w:tc>
        <w:tc>
          <w:tcPr>
            <w:tcW w:w="8789" w:type="dxa"/>
          </w:tcPr>
          <w:p>
            <w:pPr>
              <w:jc w:val="both"/>
              <w:rPr>
                <w:sz w:val="18"/>
                <w:szCs w:val="18"/>
              </w:rPr>
            </w:pPr>
            <w:r>
              <w:rPr>
                <w:sz w:val="18"/>
                <w:szCs w:val="18"/>
              </w:rPr>
              <w:t>Indiquer le dispositif mis en place pour maintenir une note CAST supérieure aux valeurs moyennes selon l’âge des applications</w:t>
            </w:r>
          </w:p>
        </w:tc>
      </w:tr>
      <w:tr>
        <w:trPr>
          <w:trHeight w:val="325"/>
        </w:trPr>
        <w:tc>
          <w:tcPr>
            <w:tcW w:w="1418" w:type="dxa"/>
            <w:vAlign w:val="center"/>
          </w:tcPr>
          <w:p>
            <w:pPr>
              <w:jc w:val="both"/>
              <w:rPr>
                <w:sz w:val="18"/>
                <w:szCs w:val="18"/>
              </w:rPr>
            </w:pPr>
            <w:r>
              <w:rPr>
                <w:sz w:val="18"/>
                <w:szCs w:val="18"/>
              </w:rPr>
              <w:t>Plan de reprise d’activités</w:t>
            </w:r>
          </w:p>
        </w:tc>
        <w:tc>
          <w:tcPr>
            <w:tcW w:w="1134" w:type="dxa"/>
            <w:vAlign w:val="center"/>
          </w:tcPr>
          <w:p>
            <w:pPr>
              <w:jc w:val="both"/>
              <w:rPr>
                <w:sz w:val="18"/>
                <w:szCs w:val="18"/>
              </w:rPr>
            </w:pPr>
            <w:r>
              <w:rPr>
                <w:sz w:val="18"/>
                <w:szCs w:val="18"/>
              </w:rPr>
              <w:t>P07A01</w:t>
            </w:r>
          </w:p>
        </w:tc>
        <w:tc>
          <w:tcPr>
            <w:tcW w:w="8789" w:type="dxa"/>
          </w:tcPr>
          <w:p>
            <w:pPr>
              <w:jc w:val="both"/>
              <w:rPr>
                <w:sz w:val="18"/>
                <w:szCs w:val="18"/>
              </w:rPr>
            </w:pPr>
            <w:r>
              <w:rPr>
                <w:sz w:val="18"/>
                <w:szCs w:val="18"/>
              </w:rPr>
              <w:t>Décrire l’organisation pour suivre les exercices de PRA, et comment elle s’insère dans le dispositif global, avec l’exploitant notamment.</w:t>
            </w:r>
          </w:p>
          <w:p>
            <w:pPr>
              <w:jc w:val="both"/>
              <w:rPr>
                <w:sz w:val="18"/>
                <w:szCs w:val="18"/>
              </w:rPr>
            </w:pPr>
            <w:r>
              <w:rPr>
                <w:sz w:val="18"/>
                <w:szCs w:val="18"/>
              </w:rPr>
              <w:t>Décrire comment sont mobilisées les équipes en cas de PRA réel.</w:t>
            </w:r>
          </w:p>
        </w:tc>
      </w:tr>
      <w:tr>
        <w:tc>
          <w:tcPr>
            <w:tcW w:w="1418" w:type="dxa"/>
            <w:vMerge w:val="restart"/>
            <w:vAlign w:val="center"/>
          </w:tcPr>
          <w:p>
            <w:pPr>
              <w:jc w:val="both"/>
              <w:rPr>
                <w:sz w:val="18"/>
                <w:szCs w:val="18"/>
              </w:rPr>
            </w:pPr>
            <w:r>
              <w:rPr>
                <w:sz w:val="18"/>
                <w:szCs w:val="18"/>
              </w:rPr>
              <w:t>Maintenance technique</w:t>
            </w:r>
          </w:p>
        </w:tc>
        <w:tc>
          <w:tcPr>
            <w:tcW w:w="1134" w:type="dxa"/>
            <w:vAlign w:val="center"/>
          </w:tcPr>
          <w:p>
            <w:pPr>
              <w:jc w:val="both"/>
              <w:rPr>
                <w:sz w:val="18"/>
                <w:szCs w:val="18"/>
              </w:rPr>
            </w:pPr>
            <w:r>
              <w:rPr>
                <w:sz w:val="18"/>
                <w:szCs w:val="18"/>
              </w:rPr>
              <w:t>P10A02</w:t>
            </w:r>
          </w:p>
        </w:tc>
        <w:tc>
          <w:tcPr>
            <w:tcW w:w="8789" w:type="dxa"/>
          </w:tcPr>
          <w:p>
            <w:pPr>
              <w:jc w:val="both"/>
              <w:rPr>
                <w:sz w:val="18"/>
                <w:szCs w:val="18"/>
              </w:rPr>
            </w:pPr>
            <w:r>
              <w:rPr>
                <w:sz w:val="18"/>
                <w:szCs w:val="18"/>
              </w:rPr>
              <w:t>Préciser l’approche pour maintenir et améliorer la détection des évènements de son périmètre.</w:t>
            </w:r>
          </w:p>
        </w:tc>
      </w:tr>
      <w:tr>
        <w:tc>
          <w:tcPr>
            <w:tcW w:w="1418" w:type="dxa"/>
            <w:vMerge/>
            <w:vAlign w:val="center"/>
          </w:tcPr>
          <w:p>
            <w:pPr>
              <w:jc w:val="both"/>
              <w:rPr>
                <w:sz w:val="18"/>
                <w:szCs w:val="18"/>
              </w:rPr>
            </w:pPr>
          </w:p>
        </w:tc>
        <w:tc>
          <w:tcPr>
            <w:tcW w:w="1134" w:type="dxa"/>
            <w:vAlign w:val="center"/>
          </w:tcPr>
          <w:p>
            <w:pPr>
              <w:jc w:val="both"/>
              <w:rPr>
                <w:sz w:val="18"/>
                <w:szCs w:val="18"/>
              </w:rPr>
            </w:pPr>
            <w:r>
              <w:rPr>
                <w:sz w:val="18"/>
                <w:szCs w:val="18"/>
              </w:rPr>
              <w:t>P10A09</w:t>
            </w:r>
          </w:p>
        </w:tc>
        <w:tc>
          <w:tcPr>
            <w:tcW w:w="8789" w:type="dxa"/>
          </w:tcPr>
          <w:p>
            <w:pPr>
              <w:jc w:val="both"/>
              <w:rPr>
                <w:sz w:val="18"/>
                <w:szCs w:val="18"/>
              </w:rPr>
            </w:pPr>
            <w:r>
              <w:rPr>
                <w:sz w:val="18"/>
                <w:szCs w:val="18"/>
              </w:rPr>
              <w:t>Décrire l’approche pour maintenir et tester les mécanismes de haute disponibilité applicative.</w:t>
            </w:r>
          </w:p>
        </w:tc>
      </w:tr>
      <w:tr>
        <w:trPr>
          <w:trHeight w:val="361"/>
        </w:trPr>
        <w:tc>
          <w:tcPr>
            <w:tcW w:w="1418" w:type="dxa"/>
            <w:vMerge/>
            <w:vAlign w:val="center"/>
          </w:tcPr>
          <w:p>
            <w:pPr>
              <w:jc w:val="both"/>
              <w:rPr>
                <w:sz w:val="18"/>
                <w:szCs w:val="18"/>
              </w:rPr>
            </w:pPr>
          </w:p>
        </w:tc>
        <w:tc>
          <w:tcPr>
            <w:tcW w:w="1134" w:type="dxa"/>
            <w:vAlign w:val="center"/>
          </w:tcPr>
          <w:p>
            <w:pPr>
              <w:jc w:val="both"/>
              <w:rPr>
                <w:sz w:val="18"/>
                <w:szCs w:val="18"/>
              </w:rPr>
            </w:pPr>
            <w:r>
              <w:rPr>
                <w:sz w:val="18"/>
                <w:szCs w:val="18"/>
              </w:rPr>
              <w:t>P10A11</w:t>
            </w:r>
          </w:p>
        </w:tc>
        <w:tc>
          <w:tcPr>
            <w:tcW w:w="8789" w:type="dxa"/>
          </w:tcPr>
          <w:p>
            <w:pPr>
              <w:jc w:val="both"/>
              <w:rPr>
                <w:sz w:val="18"/>
                <w:szCs w:val="18"/>
              </w:rPr>
            </w:pPr>
            <w:r>
              <w:rPr>
                <w:sz w:val="18"/>
                <w:szCs w:val="18"/>
              </w:rPr>
              <w:t>Préciser comment contribuer au plan de capacité.</w:t>
            </w:r>
          </w:p>
        </w:tc>
      </w:tr>
      <w:tr>
        <w:trPr>
          <w:trHeight w:val="361"/>
        </w:trPr>
        <w:tc>
          <w:tcPr>
            <w:tcW w:w="1418" w:type="dxa"/>
            <w:vMerge/>
            <w:vAlign w:val="center"/>
          </w:tcPr>
          <w:p>
            <w:pPr>
              <w:jc w:val="both"/>
              <w:rPr>
                <w:sz w:val="18"/>
                <w:szCs w:val="18"/>
              </w:rPr>
            </w:pPr>
          </w:p>
        </w:tc>
        <w:tc>
          <w:tcPr>
            <w:tcW w:w="1134" w:type="dxa"/>
            <w:vAlign w:val="center"/>
          </w:tcPr>
          <w:p>
            <w:pPr>
              <w:jc w:val="both"/>
              <w:rPr>
                <w:sz w:val="18"/>
                <w:szCs w:val="18"/>
              </w:rPr>
            </w:pPr>
            <w:r>
              <w:rPr>
                <w:sz w:val="18"/>
                <w:szCs w:val="18"/>
              </w:rPr>
              <w:t>P10A13</w:t>
            </w:r>
          </w:p>
        </w:tc>
        <w:tc>
          <w:tcPr>
            <w:tcW w:w="8789" w:type="dxa"/>
          </w:tcPr>
          <w:p>
            <w:pPr>
              <w:jc w:val="both"/>
              <w:rPr>
                <w:sz w:val="18"/>
                <w:szCs w:val="18"/>
              </w:rPr>
            </w:pPr>
            <w:r>
              <w:rPr>
                <w:sz w:val="18"/>
                <w:szCs w:val="18"/>
              </w:rPr>
              <w:t>Décrire comment valider les cartographies des services applicatifs.</w:t>
            </w:r>
          </w:p>
        </w:tc>
      </w:tr>
      <w:tr>
        <w:tc>
          <w:tcPr>
            <w:tcW w:w="1418" w:type="dxa"/>
            <w:vMerge/>
            <w:vAlign w:val="center"/>
          </w:tcPr>
          <w:p>
            <w:pPr>
              <w:jc w:val="both"/>
              <w:rPr>
                <w:sz w:val="18"/>
                <w:szCs w:val="18"/>
              </w:rPr>
            </w:pPr>
          </w:p>
        </w:tc>
        <w:tc>
          <w:tcPr>
            <w:tcW w:w="1134" w:type="dxa"/>
            <w:vAlign w:val="center"/>
          </w:tcPr>
          <w:p>
            <w:pPr>
              <w:jc w:val="both"/>
              <w:rPr>
                <w:sz w:val="18"/>
                <w:szCs w:val="18"/>
              </w:rPr>
            </w:pPr>
            <w:r>
              <w:rPr>
                <w:sz w:val="18"/>
                <w:szCs w:val="18"/>
              </w:rPr>
              <w:t>P10A16</w:t>
            </w:r>
          </w:p>
        </w:tc>
        <w:tc>
          <w:tcPr>
            <w:tcW w:w="8789" w:type="dxa"/>
          </w:tcPr>
          <w:p>
            <w:pPr>
              <w:jc w:val="both"/>
              <w:rPr>
                <w:sz w:val="18"/>
                <w:szCs w:val="18"/>
              </w:rPr>
            </w:pPr>
            <w:r>
              <w:rPr>
                <w:sz w:val="18"/>
                <w:szCs w:val="18"/>
              </w:rPr>
              <w:t>Préciser l’approche d’automatisation, d’utilisation et de création de nouveaux changements standards.</w:t>
            </w:r>
          </w:p>
          <w:p>
            <w:pPr>
              <w:jc w:val="both"/>
              <w:rPr>
                <w:sz w:val="18"/>
                <w:szCs w:val="18"/>
              </w:rPr>
            </w:pPr>
            <w:r>
              <w:rPr>
                <w:sz w:val="18"/>
                <w:szCs w:val="18"/>
              </w:rPr>
              <w:t>Décrire l’organisation pour assurer le support à l’exploitation pour la réalisation des changements et déploiements.</w:t>
            </w:r>
          </w:p>
        </w:tc>
      </w:tr>
      <w:tr>
        <w:trPr>
          <w:trHeight w:val="325"/>
        </w:trPr>
        <w:tc>
          <w:tcPr>
            <w:tcW w:w="1418" w:type="dxa"/>
            <w:vMerge/>
            <w:vAlign w:val="center"/>
          </w:tcPr>
          <w:p>
            <w:pPr>
              <w:jc w:val="both"/>
              <w:rPr>
                <w:sz w:val="18"/>
                <w:szCs w:val="18"/>
              </w:rPr>
            </w:pPr>
          </w:p>
        </w:tc>
        <w:tc>
          <w:tcPr>
            <w:tcW w:w="1134" w:type="dxa"/>
            <w:vAlign w:val="center"/>
          </w:tcPr>
          <w:p>
            <w:pPr>
              <w:jc w:val="both"/>
              <w:rPr>
                <w:sz w:val="18"/>
                <w:szCs w:val="18"/>
              </w:rPr>
            </w:pPr>
            <w:r>
              <w:rPr>
                <w:sz w:val="18"/>
                <w:szCs w:val="18"/>
              </w:rPr>
              <w:t>P10A20</w:t>
            </w:r>
          </w:p>
        </w:tc>
        <w:tc>
          <w:tcPr>
            <w:tcW w:w="8789" w:type="dxa"/>
          </w:tcPr>
          <w:p>
            <w:pPr>
              <w:jc w:val="both"/>
              <w:rPr>
                <w:sz w:val="18"/>
                <w:szCs w:val="18"/>
              </w:rPr>
            </w:pPr>
            <w:r>
              <w:rPr>
                <w:sz w:val="18"/>
                <w:szCs w:val="18"/>
              </w:rPr>
              <w:t>Décrire l’approche pour le déploiement des patchs et des montées de versions, notamment sur la fréquence des montées de versions majeures. Préciser les ressources consacrées à ces activités.</w:t>
            </w:r>
          </w:p>
        </w:tc>
      </w:tr>
      <w:tr>
        <w:tc>
          <w:tcPr>
            <w:tcW w:w="1418" w:type="dxa"/>
            <w:vAlign w:val="center"/>
          </w:tcPr>
          <w:p>
            <w:pPr>
              <w:jc w:val="both"/>
              <w:rPr>
                <w:sz w:val="18"/>
                <w:szCs w:val="18"/>
              </w:rPr>
            </w:pPr>
            <w:r>
              <w:rPr>
                <w:sz w:val="18"/>
                <w:szCs w:val="18"/>
              </w:rPr>
              <w:t>10</w:t>
            </w:r>
          </w:p>
        </w:tc>
        <w:tc>
          <w:tcPr>
            <w:tcW w:w="1134" w:type="dxa"/>
            <w:vAlign w:val="center"/>
          </w:tcPr>
          <w:p>
            <w:pPr>
              <w:jc w:val="both"/>
              <w:rPr>
                <w:sz w:val="18"/>
                <w:szCs w:val="18"/>
              </w:rPr>
            </w:pPr>
            <w:r>
              <w:rPr>
                <w:sz w:val="18"/>
                <w:szCs w:val="18"/>
              </w:rPr>
              <w:t>P10A21</w:t>
            </w:r>
          </w:p>
        </w:tc>
        <w:tc>
          <w:tcPr>
            <w:tcW w:w="8789" w:type="dxa"/>
          </w:tcPr>
          <w:p>
            <w:pPr>
              <w:jc w:val="both"/>
              <w:rPr>
                <w:sz w:val="18"/>
                <w:szCs w:val="18"/>
              </w:rPr>
            </w:pPr>
            <w:r>
              <w:rPr>
                <w:sz w:val="18"/>
                <w:szCs w:val="18"/>
              </w:rPr>
              <w:t>Décrire l’organisation pour l’exploitation des environnements projet.</w:t>
            </w:r>
          </w:p>
        </w:tc>
      </w:tr>
      <w:tr>
        <w:tc>
          <w:tcPr>
            <w:tcW w:w="1418" w:type="dxa"/>
            <w:vMerge w:val="restart"/>
            <w:vAlign w:val="center"/>
          </w:tcPr>
          <w:p>
            <w:pPr>
              <w:jc w:val="both"/>
              <w:rPr>
                <w:sz w:val="18"/>
                <w:szCs w:val="18"/>
              </w:rPr>
            </w:pPr>
            <w:r>
              <w:rPr>
                <w:sz w:val="18"/>
                <w:szCs w:val="18"/>
              </w:rPr>
              <w:t>Maintenance évolutive</w:t>
            </w:r>
          </w:p>
        </w:tc>
        <w:tc>
          <w:tcPr>
            <w:tcW w:w="1134" w:type="dxa"/>
            <w:vAlign w:val="center"/>
          </w:tcPr>
          <w:p>
            <w:pPr>
              <w:jc w:val="both"/>
              <w:rPr>
                <w:sz w:val="18"/>
                <w:szCs w:val="18"/>
              </w:rPr>
            </w:pPr>
            <w:r>
              <w:rPr>
                <w:sz w:val="18"/>
                <w:szCs w:val="18"/>
              </w:rPr>
              <w:t>P11A01</w:t>
            </w:r>
          </w:p>
        </w:tc>
        <w:tc>
          <w:tcPr>
            <w:tcW w:w="8789" w:type="dxa"/>
          </w:tcPr>
          <w:p>
            <w:pPr>
              <w:jc w:val="both"/>
              <w:rPr>
                <w:sz w:val="18"/>
                <w:szCs w:val="18"/>
              </w:rPr>
            </w:pPr>
            <w:r>
              <w:rPr>
                <w:sz w:val="18"/>
                <w:szCs w:val="18"/>
              </w:rPr>
              <w:t>Décrire la méthodologie pour s’assurer que l’ensemble des impacts sont identifiés.</w:t>
            </w:r>
          </w:p>
        </w:tc>
      </w:tr>
      <w:tr>
        <w:trPr>
          <w:trHeight w:val="361"/>
        </w:trPr>
        <w:tc>
          <w:tcPr>
            <w:tcW w:w="1418" w:type="dxa"/>
            <w:vMerge/>
            <w:vAlign w:val="center"/>
          </w:tcPr>
          <w:p/>
        </w:tc>
        <w:tc>
          <w:tcPr>
            <w:tcW w:w="1134" w:type="dxa"/>
            <w:vAlign w:val="center"/>
          </w:tcPr>
          <w:p>
            <w:pPr>
              <w:jc w:val="both"/>
              <w:rPr>
                <w:sz w:val="18"/>
                <w:szCs w:val="18"/>
              </w:rPr>
            </w:pPr>
            <w:r>
              <w:rPr>
                <w:sz w:val="18"/>
                <w:szCs w:val="18"/>
              </w:rPr>
              <w:t>P11A05</w:t>
            </w:r>
          </w:p>
        </w:tc>
        <w:tc>
          <w:tcPr>
            <w:tcW w:w="8789" w:type="dxa"/>
          </w:tcPr>
          <w:p>
            <w:pPr>
              <w:jc w:val="both"/>
              <w:rPr>
                <w:sz w:val="18"/>
                <w:szCs w:val="18"/>
              </w:rPr>
            </w:pPr>
            <w:r>
              <w:rPr>
                <w:sz w:val="18"/>
                <w:szCs w:val="18"/>
              </w:rPr>
              <w:t>Décrire les activités pour transférer une évolution vers le support et l’exploitation.</w:t>
            </w:r>
          </w:p>
        </w:tc>
      </w:tr>
      <w:tr>
        <w:trPr>
          <w:trHeight w:val="361"/>
        </w:trPr>
        <w:tc>
          <w:tcPr>
            <w:tcW w:w="1418" w:type="dxa"/>
            <w:vMerge/>
            <w:vAlign w:val="center"/>
          </w:tcPr>
          <w:p/>
        </w:tc>
        <w:tc>
          <w:tcPr>
            <w:tcW w:w="1134" w:type="dxa"/>
            <w:vAlign w:val="center"/>
          </w:tcPr>
          <w:p>
            <w:pPr>
              <w:jc w:val="both"/>
              <w:rPr>
                <w:sz w:val="18"/>
                <w:szCs w:val="18"/>
              </w:rPr>
            </w:pPr>
          </w:p>
        </w:tc>
        <w:tc>
          <w:tcPr>
            <w:tcW w:w="8789" w:type="dxa"/>
          </w:tcPr>
          <w:p>
            <w:pPr>
              <w:jc w:val="both"/>
              <w:rPr>
                <w:sz w:val="18"/>
                <w:szCs w:val="18"/>
              </w:rPr>
            </w:pPr>
          </w:p>
        </w:tc>
      </w:tr>
      <w:tr>
        <w:trPr>
          <w:trHeight w:val="325"/>
        </w:trPr>
        <w:tc>
          <w:tcPr>
            <w:tcW w:w="1418" w:type="dxa"/>
            <w:vAlign w:val="center"/>
          </w:tcPr>
          <w:p>
            <w:pPr>
              <w:jc w:val="both"/>
              <w:rPr>
                <w:sz w:val="18"/>
                <w:szCs w:val="18"/>
              </w:rPr>
            </w:pPr>
            <w:r>
              <w:rPr>
                <w:sz w:val="18"/>
                <w:szCs w:val="18"/>
              </w:rPr>
              <w:t>Pilotage opérationnel</w:t>
            </w:r>
          </w:p>
        </w:tc>
        <w:tc>
          <w:tcPr>
            <w:tcW w:w="1134" w:type="dxa"/>
            <w:vAlign w:val="center"/>
          </w:tcPr>
          <w:p>
            <w:pPr>
              <w:jc w:val="both"/>
              <w:rPr>
                <w:sz w:val="18"/>
                <w:szCs w:val="18"/>
              </w:rPr>
            </w:pPr>
            <w:r>
              <w:rPr>
                <w:sz w:val="18"/>
                <w:szCs w:val="18"/>
              </w:rPr>
              <w:t>P15A05</w:t>
            </w:r>
          </w:p>
        </w:tc>
        <w:tc>
          <w:tcPr>
            <w:tcW w:w="8789" w:type="dxa"/>
          </w:tcPr>
          <w:p>
            <w:pPr>
              <w:jc w:val="both"/>
              <w:rPr>
                <w:sz w:val="18"/>
                <w:szCs w:val="18"/>
              </w:rPr>
            </w:pPr>
            <w:r>
              <w:rPr>
                <w:sz w:val="18"/>
                <w:szCs w:val="18"/>
              </w:rPr>
              <w:t xml:space="preserve">Décrire le pilotage des évolutions, la gestion du plan de charges, le </w:t>
            </w:r>
            <w:proofErr w:type="spellStart"/>
            <w:r>
              <w:rPr>
                <w:sz w:val="18"/>
                <w:szCs w:val="18"/>
              </w:rPr>
              <w:t>staffing</w:t>
            </w:r>
            <w:proofErr w:type="spellEnd"/>
            <w:r>
              <w:rPr>
                <w:sz w:val="18"/>
                <w:szCs w:val="18"/>
              </w:rPr>
              <w:t xml:space="preserve"> des évolutions</w:t>
            </w:r>
          </w:p>
        </w:tc>
      </w:tr>
      <w:tr>
        <w:trPr>
          <w:trHeight w:val="325"/>
        </w:trPr>
        <w:tc>
          <w:tcPr>
            <w:tcW w:w="1418" w:type="dxa"/>
            <w:vAlign w:val="center"/>
          </w:tcPr>
          <w:p>
            <w:pPr>
              <w:jc w:val="both"/>
              <w:rPr>
                <w:sz w:val="18"/>
                <w:szCs w:val="18"/>
              </w:rPr>
            </w:pPr>
          </w:p>
        </w:tc>
        <w:tc>
          <w:tcPr>
            <w:tcW w:w="1134" w:type="dxa"/>
            <w:vAlign w:val="center"/>
          </w:tcPr>
          <w:p>
            <w:pPr>
              <w:jc w:val="both"/>
              <w:rPr>
                <w:sz w:val="18"/>
                <w:szCs w:val="18"/>
              </w:rPr>
            </w:pPr>
            <w:r>
              <w:rPr>
                <w:sz w:val="18"/>
                <w:szCs w:val="18"/>
              </w:rPr>
              <w:t>P15A05</w:t>
            </w:r>
          </w:p>
        </w:tc>
        <w:tc>
          <w:tcPr>
            <w:tcW w:w="8789" w:type="dxa"/>
          </w:tcPr>
          <w:p>
            <w:pPr>
              <w:jc w:val="both"/>
              <w:rPr>
                <w:sz w:val="18"/>
                <w:szCs w:val="18"/>
              </w:rPr>
            </w:pPr>
            <w:r>
              <w:rPr>
                <w:sz w:val="18"/>
                <w:szCs w:val="18"/>
              </w:rPr>
              <w:t>Proposer des approches pour maîtriser le chiffrage des évolutions : abaques, autres approches ?</w:t>
            </w:r>
          </w:p>
        </w:tc>
      </w:tr>
      <w:tr>
        <w:trPr>
          <w:trHeight w:val="325"/>
        </w:trPr>
        <w:tc>
          <w:tcPr>
            <w:tcW w:w="1418" w:type="dxa"/>
            <w:vAlign w:val="center"/>
          </w:tcPr>
          <w:p>
            <w:pPr>
              <w:jc w:val="both"/>
              <w:rPr>
                <w:sz w:val="18"/>
                <w:szCs w:val="18"/>
              </w:rPr>
            </w:pPr>
            <w:r>
              <w:rPr>
                <w:sz w:val="18"/>
                <w:szCs w:val="18"/>
              </w:rPr>
              <w:t>Réaliser un pilotage de la sécurité</w:t>
            </w:r>
          </w:p>
        </w:tc>
        <w:tc>
          <w:tcPr>
            <w:tcW w:w="1134" w:type="dxa"/>
            <w:vAlign w:val="center"/>
          </w:tcPr>
          <w:p>
            <w:pPr>
              <w:jc w:val="both"/>
              <w:rPr>
                <w:sz w:val="18"/>
                <w:szCs w:val="18"/>
              </w:rPr>
            </w:pPr>
            <w:r>
              <w:rPr>
                <w:sz w:val="18"/>
                <w:szCs w:val="18"/>
              </w:rPr>
              <w:t>P18A01</w:t>
            </w:r>
          </w:p>
        </w:tc>
        <w:tc>
          <w:tcPr>
            <w:tcW w:w="8789" w:type="dxa"/>
          </w:tcPr>
          <w:p>
            <w:pPr>
              <w:jc w:val="both"/>
              <w:rPr>
                <w:sz w:val="18"/>
                <w:szCs w:val="18"/>
              </w:rPr>
            </w:pPr>
            <w:r>
              <w:rPr>
                <w:sz w:val="18"/>
                <w:szCs w:val="18"/>
              </w:rPr>
              <w:t>Décrire la prise en compte de la sécurité tout au long de la prestation.</w:t>
            </w:r>
          </w:p>
        </w:tc>
      </w:tr>
      <w:tr>
        <w:trPr>
          <w:trHeight w:val="657"/>
        </w:trPr>
        <w:tc>
          <w:tcPr>
            <w:tcW w:w="1418" w:type="dxa"/>
            <w:vAlign w:val="center"/>
          </w:tcPr>
          <w:p>
            <w:pPr>
              <w:jc w:val="both"/>
              <w:rPr>
                <w:sz w:val="18"/>
                <w:szCs w:val="18"/>
              </w:rPr>
            </w:pPr>
            <w:r>
              <w:rPr>
                <w:sz w:val="18"/>
                <w:szCs w:val="18"/>
              </w:rPr>
              <w:t xml:space="preserve"> Réaliser la réversibilité</w:t>
            </w:r>
          </w:p>
        </w:tc>
        <w:tc>
          <w:tcPr>
            <w:tcW w:w="1134" w:type="dxa"/>
            <w:vAlign w:val="center"/>
          </w:tcPr>
          <w:p>
            <w:pPr>
              <w:jc w:val="both"/>
              <w:rPr>
                <w:sz w:val="18"/>
                <w:szCs w:val="18"/>
              </w:rPr>
            </w:pPr>
            <w:r>
              <w:rPr>
                <w:sz w:val="18"/>
                <w:szCs w:val="18"/>
              </w:rPr>
              <w:t>P18A01</w:t>
            </w:r>
          </w:p>
        </w:tc>
        <w:tc>
          <w:tcPr>
            <w:tcW w:w="8789" w:type="dxa"/>
          </w:tcPr>
          <w:p>
            <w:pPr>
              <w:jc w:val="both"/>
              <w:rPr>
                <w:sz w:val="18"/>
                <w:szCs w:val="18"/>
              </w:rPr>
            </w:pPr>
            <w:r>
              <w:rPr>
                <w:sz w:val="18"/>
                <w:szCs w:val="18"/>
              </w:rPr>
              <w:t>Étape de préparation et de planification de la réversibilité. La préparation devra être décrite et partagée avec l’administration pour validation. Cette étape doit décrire le dispositif, les processus et les moyens mis en œuvre pour assurer une réversibilité dans de bonnes conditions. Le titulaire devra également décrire les moyens mis en place pour produire des supports de formations de qualité.</w:t>
            </w:r>
          </w:p>
        </w:tc>
      </w:tr>
      <w:tr>
        <w:trPr>
          <w:trHeight w:val="325"/>
        </w:trPr>
        <w:tc>
          <w:tcPr>
            <w:tcW w:w="1418" w:type="dxa"/>
            <w:vAlign w:val="center"/>
          </w:tcPr>
          <w:p>
            <w:pPr>
              <w:jc w:val="both"/>
              <w:rPr>
                <w:sz w:val="18"/>
                <w:szCs w:val="18"/>
              </w:rPr>
            </w:pPr>
          </w:p>
        </w:tc>
        <w:tc>
          <w:tcPr>
            <w:tcW w:w="1134" w:type="dxa"/>
            <w:vAlign w:val="center"/>
          </w:tcPr>
          <w:p>
            <w:pPr>
              <w:jc w:val="both"/>
              <w:rPr>
                <w:sz w:val="18"/>
                <w:szCs w:val="18"/>
              </w:rPr>
            </w:pPr>
            <w:r>
              <w:rPr>
                <w:sz w:val="18"/>
                <w:szCs w:val="18"/>
              </w:rPr>
              <w:t>P18A02</w:t>
            </w:r>
          </w:p>
        </w:tc>
        <w:tc>
          <w:tcPr>
            <w:tcW w:w="8789" w:type="dxa"/>
          </w:tcPr>
          <w:p>
            <w:pPr>
              <w:jc w:val="both"/>
              <w:rPr>
                <w:sz w:val="18"/>
                <w:szCs w:val="18"/>
              </w:rPr>
            </w:pPr>
            <w:r>
              <w:rPr>
                <w:sz w:val="18"/>
                <w:szCs w:val="18"/>
              </w:rPr>
              <w:t>Étape de formation théorique. Cette étape sera évaluée sur les outils et la comitologie mise en œuvre pour piloter cette montée en compétence du repreneur. L’organisation et la qualité des formateurs devront être détaillés. Préciser des indicateurs de pilotage précis pour suivre cette montée en compétence.</w:t>
            </w:r>
          </w:p>
        </w:tc>
      </w:tr>
      <w:tr>
        <w:trPr>
          <w:trHeight w:val="325"/>
        </w:trPr>
        <w:tc>
          <w:tcPr>
            <w:tcW w:w="1418" w:type="dxa"/>
            <w:vAlign w:val="center"/>
          </w:tcPr>
          <w:p>
            <w:pPr>
              <w:jc w:val="both"/>
              <w:rPr>
                <w:sz w:val="18"/>
                <w:szCs w:val="18"/>
              </w:rPr>
            </w:pPr>
          </w:p>
        </w:tc>
        <w:tc>
          <w:tcPr>
            <w:tcW w:w="1134" w:type="dxa"/>
            <w:vAlign w:val="center"/>
          </w:tcPr>
          <w:p>
            <w:pPr>
              <w:jc w:val="both"/>
              <w:rPr>
                <w:sz w:val="18"/>
                <w:szCs w:val="18"/>
              </w:rPr>
            </w:pPr>
            <w:r>
              <w:rPr>
                <w:sz w:val="18"/>
                <w:szCs w:val="18"/>
              </w:rPr>
              <w:t>P18A03</w:t>
            </w:r>
          </w:p>
        </w:tc>
        <w:tc>
          <w:tcPr>
            <w:tcW w:w="8789" w:type="dxa"/>
          </w:tcPr>
          <w:p>
            <w:pPr>
              <w:jc w:val="both"/>
              <w:rPr>
                <w:sz w:val="18"/>
                <w:szCs w:val="18"/>
              </w:rPr>
            </w:pPr>
            <w:r>
              <w:rPr>
                <w:sz w:val="18"/>
                <w:szCs w:val="18"/>
              </w:rPr>
              <w:t>Étape dite de « double commande ». Préciser les outils utilisés, les processus mis en place, le RACI clair ainsi que des indicateurs de suivi et une gestion des risques efficace.</w:t>
            </w:r>
          </w:p>
        </w:tc>
      </w:tr>
      <w:tr>
        <w:trPr>
          <w:trHeight w:val="325"/>
        </w:trPr>
        <w:tc>
          <w:tcPr>
            <w:tcW w:w="1418" w:type="dxa"/>
            <w:vAlign w:val="center"/>
          </w:tcPr>
          <w:p>
            <w:pPr>
              <w:jc w:val="both"/>
              <w:rPr>
                <w:sz w:val="18"/>
                <w:szCs w:val="18"/>
              </w:rPr>
            </w:pPr>
          </w:p>
        </w:tc>
        <w:tc>
          <w:tcPr>
            <w:tcW w:w="1134" w:type="dxa"/>
            <w:vAlign w:val="center"/>
          </w:tcPr>
          <w:p>
            <w:pPr>
              <w:jc w:val="both"/>
              <w:rPr>
                <w:sz w:val="18"/>
                <w:szCs w:val="18"/>
              </w:rPr>
            </w:pPr>
            <w:r>
              <w:rPr>
                <w:sz w:val="18"/>
                <w:szCs w:val="18"/>
              </w:rPr>
              <w:t>P18A04</w:t>
            </w:r>
          </w:p>
        </w:tc>
        <w:tc>
          <w:tcPr>
            <w:tcW w:w="8789" w:type="dxa"/>
          </w:tcPr>
          <w:p>
            <w:pPr>
              <w:jc w:val="both"/>
              <w:rPr>
                <w:sz w:val="18"/>
                <w:szCs w:val="18"/>
              </w:rPr>
            </w:pPr>
            <w:r>
              <w:rPr>
                <w:sz w:val="18"/>
                <w:szCs w:val="18"/>
              </w:rPr>
              <w:t>Étape de « certification ». Durant cette phase finale, préciser des indicateurs de suivi de l’activité, de reprise en main par le repreneur, suivi de la coordination des travaux entre le repreneur et le titulaire. Bilan à la fin de cette phase à présenter à l’administration (anomalies résiduelles, risques identifiés, synthèse de la phase de réversibilité...)</w:t>
            </w:r>
          </w:p>
        </w:tc>
      </w:tr>
    </w:tbl>
    <w:p>
      <w:pPr>
        <w:jc w:val="both"/>
      </w:pPr>
    </w:p>
    <w:p>
      <w:pPr>
        <w:jc w:val="both"/>
      </w:pPr>
    </w:p>
    <w:p>
      <w:pPr>
        <w:pStyle w:val="Titre1"/>
        <w:jc w:val="both"/>
      </w:pPr>
      <w:bookmarkStart w:id="8" w:name="_Toc184998546"/>
      <w:r>
        <w:lastRenderedPageBreak/>
        <w:t>Organisation pressentie</w:t>
      </w:r>
      <w:bookmarkEnd w:id="8"/>
    </w:p>
    <w:p>
      <w:pPr>
        <w:pStyle w:val="Titre2"/>
        <w:jc w:val="both"/>
      </w:pPr>
      <w:bookmarkStart w:id="9" w:name="_Toc184998547"/>
      <w:r>
        <w:t>Organisation et profils pressentis</w:t>
      </w:r>
      <w:bookmarkEnd w:id="9"/>
    </w:p>
    <w:p>
      <w:pPr>
        <w:jc w:val="both"/>
      </w:pPr>
      <w:r>
        <w:t>Le candidat présente les modalités d’organisation et de gouvernance de ses équipes, ainsi que les profils des intervenants pressentis sur la base des types de fonctions définies dans l’onglet “TJM (Profils)” de l’annexe financière.</w:t>
      </w:r>
    </w:p>
    <w:p>
      <w:pPr>
        <w:jc w:val="both"/>
      </w:pPr>
    </w:p>
    <w:p>
      <w:pPr>
        <w:jc w:val="both"/>
      </w:pPr>
      <w:r>
        <w:t>Ainsi, pour chaque profil, le candidat doit présenter</w:t>
      </w:r>
      <w:r>
        <w:rPr>
          <w:rFonts w:ascii="Calibri" w:hAnsi="Calibri" w:cs="Calibri"/>
        </w:rPr>
        <w:t> </w:t>
      </w:r>
      <w:r>
        <w:t>:</w:t>
      </w:r>
    </w:p>
    <w:p>
      <w:pPr>
        <w:pStyle w:val="Liste1"/>
      </w:pPr>
      <w:proofErr w:type="gramStart"/>
      <w:r>
        <w:t>la</w:t>
      </w:r>
      <w:proofErr w:type="gramEnd"/>
      <w:r>
        <w:t xml:space="preserve"> fonction du profil (conformément aux fonctions des profils définies dans l’annexe financière du présent marché) et son trigramme,</w:t>
      </w:r>
    </w:p>
    <w:p>
      <w:pPr>
        <w:pStyle w:val="Liste1"/>
      </w:pPr>
      <w:proofErr w:type="gramStart"/>
      <w:r>
        <w:t>ses</w:t>
      </w:r>
      <w:proofErr w:type="gramEnd"/>
      <w:r>
        <w:t xml:space="preserve"> diplômes et formations complémentaires (et certifications) durant son parcours professionnel</w:t>
      </w:r>
      <w:r>
        <w:rPr>
          <w:rFonts w:ascii="Calibri" w:hAnsi="Calibri" w:cs="Calibri"/>
        </w:rPr>
        <w:t> </w:t>
      </w:r>
      <w:r>
        <w:t>;</w:t>
      </w:r>
    </w:p>
    <w:p>
      <w:pPr>
        <w:pStyle w:val="Liste1"/>
      </w:pPr>
      <w:proofErr w:type="gramStart"/>
      <w:r>
        <w:t>les</w:t>
      </w:r>
      <w:proofErr w:type="gramEnd"/>
      <w:r>
        <w:t xml:space="preserve"> domaines de compétences maîtrisés par le profil</w:t>
      </w:r>
      <w:r>
        <w:rPr>
          <w:rFonts w:ascii="Calibri" w:hAnsi="Calibri" w:cs="Calibri"/>
        </w:rPr>
        <w:t> </w:t>
      </w:r>
      <w:r>
        <w:t>;</w:t>
      </w:r>
    </w:p>
    <w:p>
      <w:pPr>
        <w:pStyle w:val="Liste1"/>
      </w:pPr>
      <w:proofErr w:type="gramStart"/>
      <w:r>
        <w:t>les</w:t>
      </w:r>
      <w:proofErr w:type="gramEnd"/>
      <w:r>
        <w:t xml:space="preserve"> secteurs d’activités maîtrisés par le profil</w:t>
      </w:r>
      <w:r>
        <w:rPr>
          <w:rFonts w:ascii="Calibri" w:hAnsi="Calibri" w:cs="Calibri"/>
        </w:rPr>
        <w:t> </w:t>
      </w:r>
      <w:r>
        <w:t>;</w:t>
      </w:r>
    </w:p>
    <w:p>
      <w:pPr>
        <w:pStyle w:val="Liste1"/>
      </w:pPr>
      <w:proofErr w:type="gramStart"/>
      <w:r>
        <w:t>ses</w:t>
      </w:r>
      <w:proofErr w:type="gramEnd"/>
      <w:r>
        <w:t xml:space="preserve"> expériences et missions, les plus significatives au regard du présent marché.</w:t>
      </w:r>
    </w:p>
    <w:p>
      <w:pPr>
        <w:jc w:val="both"/>
      </w:pPr>
      <w:r>
        <w:t>Ces éléments doivent mettre en évidence la pertinence et la qualité des profils pressentis à l’exécution du marché, compte tenu en particulier de leurs connaissances et de leur expérience professionnelle dans le cadre des différentes prestations du marché.</w:t>
      </w:r>
    </w:p>
    <w:p>
      <w:pPr>
        <w:jc w:val="both"/>
      </w:pPr>
    </w:p>
    <w:p>
      <w:pPr>
        <w:jc w:val="both"/>
      </w:pPr>
      <w:r>
        <w:t>Concernant l’organisation, le candidat précise son organigramme, les méthodes de travail qu’il propose, en particulier dans sa relation avec les équipes de l’AIFE. Le candidat précise également son organisation interne pour gérer les différents lots du projet PPF et les évolutions à venir. Le candidat précise comment il gère le plan de charge de ses équipes et comment il le partage avec les équipes de l’AIFE.</w:t>
      </w:r>
    </w:p>
    <w:p>
      <w:pPr>
        <w:pStyle w:val="Titre2"/>
        <w:jc w:val="both"/>
      </w:pPr>
      <w:bookmarkStart w:id="10" w:name="_Toc184998548"/>
      <w:r>
        <w:t>Mobilisation des compétences sur la durée du marché</w:t>
      </w:r>
      <w:bookmarkEnd w:id="10"/>
    </w:p>
    <w:p>
      <w:pPr>
        <w:jc w:val="both"/>
      </w:pPr>
      <w:r>
        <w:t>Le candidat explicite sa gestion des ressources tout au long de l’exécution du marché. En particulier, il détaille sa gestion du turn-over</w:t>
      </w:r>
      <w:r>
        <w:rPr>
          <w:rFonts w:ascii="Calibri" w:hAnsi="Calibri" w:cs="Calibri"/>
        </w:rPr>
        <w:t> </w:t>
      </w:r>
      <w:r>
        <w:t>: d</w:t>
      </w:r>
      <w:r>
        <w:rPr>
          <w:rFonts w:cs="Marianne"/>
        </w:rPr>
        <w:t>é</w:t>
      </w:r>
      <w:r>
        <w:t>lai de pr</w:t>
      </w:r>
      <w:r>
        <w:rPr>
          <w:rFonts w:cs="Marianne"/>
        </w:rPr>
        <w:t>é</w:t>
      </w:r>
      <w:r>
        <w:t>venance, d</w:t>
      </w:r>
      <w:r>
        <w:rPr>
          <w:rFonts w:cs="Marianne"/>
        </w:rPr>
        <w:t>é</w:t>
      </w:r>
      <w:r>
        <w:t>lai du recouvrement entre les ressources entrantes et sortantes, impact sur la matrice de comp</w:t>
      </w:r>
      <w:r>
        <w:rPr>
          <w:rFonts w:cs="Marianne"/>
        </w:rPr>
        <w:t>é</w:t>
      </w:r>
      <w:r>
        <w:t xml:space="preserve">tences des </w:t>
      </w:r>
      <w:r>
        <w:rPr>
          <w:rFonts w:cs="Marianne"/>
        </w:rPr>
        <w:t>é</w:t>
      </w:r>
      <w:r>
        <w:t>quipes et plan d’action associé si besoin, plan de montée en compétences des nouveaux arrivants.</w:t>
      </w:r>
    </w:p>
    <w:p>
      <w:pPr>
        <w:jc w:val="both"/>
      </w:pPr>
    </w:p>
    <w:p>
      <w:pPr>
        <w:jc w:val="both"/>
      </w:pPr>
      <w:r>
        <w:t>Le candidat décrit sa capacité à mobiliser les niveaux de compétence et d’expertise adéquats, en fonction de la montée en charge et des aléas susceptibles d’être rencontrés dans le cadre de l’exécution du marché.</w:t>
      </w:r>
    </w:p>
    <w:p>
      <w:pPr>
        <w:jc w:val="both"/>
      </w:pPr>
    </w:p>
    <w:p>
      <w:pPr>
        <w:pStyle w:val="Titre2"/>
        <w:jc w:val="both"/>
      </w:pPr>
      <w:bookmarkStart w:id="11" w:name="_Toc184998549"/>
      <w:r>
        <w:t>Estimation des charges</w:t>
      </w:r>
      <w:bookmarkEnd w:id="11"/>
    </w:p>
    <w:p>
      <w:pPr>
        <w:jc w:val="both"/>
      </w:pPr>
      <w:r>
        <w:t xml:space="preserve">Le candidat procède à l’estimation des charges pour chacune des prestations et unités d’œuvre qu’il ventilera par type de profil d’intervenants dans l’onglet “Charges” de l’annexe financière. Ces types de profils doivent </w:t>
      </w:r>
      <w:r>
        <w:rPr>
          <w:rFonts w:cs="Marianne"/>
        </w:rPr>
        <w:t>ê</w:t>
      </w:r>
      <w:r>
        <w:t xml:space="preserve">tre identiques </w:t>
      </w:r>
      <w:r>
        <w:rPr>
          <w:rFonts w:cs="Marianne"/>
        </w:rPr>
        <w:t>à</w:t>
      </w:r>
      <w:r>
        <w:t xml:space="preserve"> ceux renseign</w:t>
      </w:r>
      <w:r>
        <w:rPr>
          <w:rFonts w:cs="Marianne"/>
        </w:rPr>
        <w:t>é</w:t>
      </w:r>
      <w:r>
        <w:t>s dans l</w:t>
      </w:r>
      <w:r>
        <w:rPr>
          <w:rFonts w:cs="Marianne"/>
        </w:rPr>
        <w:t>’</w:t>
      </w:r>
      <w:r>
        <w:t>onglet “TJM (Profils)” de l’annexe financière.</w:t>
      </w:r>
    </w:p>
    <w:p>
      <w:pPr>
        <w:jc w:val="both"/>
      </w:pPr>
    </w:p>
    <w:p>
      <w:pPr>
        <w:jc w:val="both"/>
      </w:pPr>
      <w:r>
        <w:t>Pour chaque type de profil, le candidat précise la charge en jours/homme nécessaire à l’exécution de chaque prestation ainsi que les hypothèses retenues pour réaliser cette estimation.</w:t>
      </w:r>
    </w:p>
    <w:p>
      <w:pPr>
        <w:jc w:val="both"/>
      </w:pPr>
    </w:p>
    <w:p>
      <w:pPr>
        <w:jc w:val="both"/>
      </w:pPr>
      <w:r>
        <w:t>Les charges ainsi estimées doivent être en cohérence avec le planning et la durée de la prestation.</w:t>
      </w:r>
    </w:p>
    <w:p>
      <w:pPr>
        <w:jc w:val="both"/>
      </w:pPr>
    </w:p>
    <w:p>
      <w:pPr>
        <w:jc w:val="both"/>
      </w:pPr>
      <w:r>
        <w:t>Le candidat veille à la pertinence et au caractère réaliste de ses hypothèses de charges humaines, au regard des exigences exprimées par l’AIFE, de la complémentarité des compétences et de la séniorité des profils.</w:t>
      </w:r>
    </w:p>
    <w:p>
      <w:pPr>
        <w:pStyle w:val="Titre2"/>
      </w:pPr>
      <w:bookmarkStart w:id="12" w:name="_Toc184998550"/>
      <w:r>
        <w:t>Enjeux environnementaux</w:t>
      </w:r>
      <w:bookmarkEnd w:id="12"/>
    </w:p>
    <w:p>
      <w:r>
        <w:t>Le candidat précisera comment il va respecter les normes et exigences du Référentiel de Conception Numérique (RCN) de l’AIFE, notamment les exigences liées à l’inclusion pour tous les usagers, à l’accessibilité du service, au respect des normes de développement et au principe d’éco-conception dont l’objectif est de réduire l’empreinte environnementale de nos services numériques tout au long de leur cycle de vie, de sa conception en passant par son utilisation.</w:t>
      </w:r>
    </w:p>
    <w:sectPr>
      <w:headerReference w:type="default" r:id="rId11"/>
      <w:footerReference w:type="default" r:id="rId12"/>
      <w:pgSz w:w="11907" w:h="16840"/>
      <w:pgMar w:top="1134" w:right="1134" w:bottom="1134" w:left="1134" w:header="340" w:footer="34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auto"/>
    <w:pitch w:val="default"/>
  </w:font>
  <w:font w:name="Arial Black">
    <w:panose1 w:val="020B0A040201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framePr w:wrap="around" w:vAnchor="text" w:hAnchor="margin" w:xAlign="right" w:y="1"/>
    </w:pPr>
    <w:r>
      <w:fldChar w:fldCharType="begin"/>
    </w:r>
    <w:r>
      <w:instrText xml:space="preserve">PAGE  </w:instrText>
    </w:r>
    <w:r>
      <w:fldChar w:fldCharType="separate"/>
    </w:r>
    <w:r>
      <w:t>2</w:t>
    </w:r>
    <w:r>
      <w:fldChar w:fldCharType="end"/>
    </w:r>
  </w:p>
  <w:p>
    <w:pPr>
      <w:ind w:left="-1080" w:right="360"/>
    </w:pPr>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margin" w:tblpYSpec="bottom"/>
      <w:tblW w:w="10056" w:type="dxa"/>
      <w:tblLayout w:type="fixed"/>
      <w:tblLook w:val="0600" w:firstRow="0" w:lastRow="0" w:firstColumn="0" w:lastColumn="0" w:noHBand="1" w:noVBand="1"/>
    </w:tblPr>
    <w:tblGrid>
      <w:gridCol w:w="9820"/>
      <w:gridCol w:w="236"/>
    </w:tblGrid>
    <w:tr>
      <w:trPr>
        <w:trHeight w:val="1474"/>
      </w:trPr>
      <w:tc>
        <w:tcPr>
          <w:tcW w:w="10035" w:type="dxa"/>
          <w:tcBorders>
            <w:top w:val="none" w:sz="4" w:space="0" w:color="000000"/>
            <w:left w:val="none" w:sz="4" w:space="0" w:color="000000"/>
            <w:bottom w:val="none" w:sz="4" w:space="0" w:color="000000"/>
            <w:right w:val="none" w:sz="4" w:space="0" w:color="000000"/>
          </w:tcBorders>
          <w:vAlign w:val="center"/>
        </w:tcPr>
        <w:tbl>
          <w:tblPr>
            <w:tblStyle w:val="Grilledutableau"/>
            <w:tblpPr w:vertAnchor="page" w:horzAnchor="page" w:tblpXSpec="center" w:tblpYSpec="bottom"/>
            <w:tblW w:w="9979" w:type="dxa"/>
            <w:tblLayout w:type="fixed"/>
            <w:tblLook w:val="0600" w:firstRow="0" w:lastRow="0" w:firstColumn="0" w:lastColumn="0" w:noHBand="1" w:noVBand="1"/>
          </w:tblPr>
          <w:tblGrid>
            <w:gridCol w:w="4649"/>
            <w:gridCol w:w="907"/>
            <w:gridCol w:w="4423"/>
          </w:tblGrid>
          <w:tr>
            <w:trPr>
              <w:trHeight w:hRule="exact" w:val="284"/>
            </w:trPr>
            <w:tc>
              <w:tcPr>
                <w:tcW w:w="9979" w:type="dxa"/>
                <w:gridSpan w:val="3"/>
                <w:tcBorders>
                  <w:top w:val="none" w:sz="4" w:space="0" w:color="000000"/>
                  <w:left w:val="none" w:sz="4" w:space="0" w:color="000000"/>
                  <w:bottom w:val="none" w:sz="4" w:space="0" w:color="000000"/>
                  <w:right w:val="none" w:sz="4" w:space="0" w:color="000000"/>
                </w:tcBorders>
              </w:tcPr>
              <w:p>
                <w:pPr>
                  <w:tabs>
                    <w:tab w:val="left" w:pos="1269"/>
                  </w:tabs>
                </w:pPr>
                <w:r>
                  <w:tab/>
                </w:r>
              </w:p>
            </w:tc>
          </w:tr>
          <w:tr>
            <w:trPr>
              <w:trHeight w:val="192"/>
            </w:trPr>
            <w:tc>
              <w:tcPr>
                <w:tcW w:w="4649" w:type="dxa"/>
                <w:tcBorders>
                  <w:top w:val="none" w:sz="4" w:space="0" w:color="000000"/>
                  <w:left w:val="none" w:sz="4" w:space="0" w:color="000000"/>
                  <w:bottom w:val="none" w:sz="4" w:space="0" w:color="000000"/>
                  <w:right w:val="none" w:sz="4" w:space="0" w:color="000000"/>
                </w:tcBorders>
                <w:vAlign w:val="bottom"/>
              </w:tcPr>
              <w:p>
                <w:pPr>
                  <w:pStyle w:val="Texte-Adresseligne1"/>
                  <w:framePr w:w="0" w:hRule="auto" w:wrap="auto" w:vAnchor="margin" w:hAnchor="text" w:xAlign="left" w:yAlign="inline"/>
                  <w:rPr>
                    <w:rFonts w:ascii="Marianne" w:hAnsi="Marianne"/>
                  </w:rPr>
                </w:pPr>
                <w:r>
                  <w:rPr>
                    <w:rFonts w:ascii="Marianne" w:hAnsi="Marianne"/>
                  </w:rPr>
                  <w:t>10, Rue du Centre</w:t>
                </w:r>
              </w:p>
              <w:p>
                <w:pPr>
                  <w:pStyle w:val="Texte-Adresseligne2"/>
                  <w:framePr w:w="0" w:hRule="auto" w:wrap="auto" w:vAnchor="margin" w:hAnchor="text" w:xAlign="left" w:yAlign="inline"/>
                  <w:rPr>
                    <w:rFonts w:ascii="Marianne" w:hAnsi="Marianne"/>
                  </w:rPr>
                </w:pPr>
                <w:r>
                  <w:rPr>
                    <w:rFonts w:ascii="Marianne" w:hAnsi="Marianne"/>
                  </w:rPr>
                  <w:t xml:space="preserve">93160 NOISY-LE-GRAND </w:t>
                </w:r>
              </w:p>
              <w:p>
                <w:pPr>
                  <w:pStyle w:val="Texte-Tl"/>
                  <w:framePr w:w="0" w:hRule="auto" w:wrap="auto" w:vAnchor="margin" w:hAnchor="text" w:xAlign="left" w:yAlign="inline"/>
                  <w:rPr>
                    <w:rFonts w:ascii="Marianne" w:hAnsi="Marianne"/>
                  </w:rPr>
                </w:pPr>
                <w:r>
                  <w:rPr>
                    <w:rFonts w:ascii="Marianne" w:hAnsi="Marianne"/>
                  </w:rPr>
                  <w:t>Tél : 01 57 33 95 87</w:t>
                </w:r>
              </w:p>
              <w:p>
                <w:pPr>
                  <w:pStyle w:val="Texte-Tl"/>
                  <w:framePr w:w="0" w:hRule="auto" w:wrap="auto" w:vAnchor="margin" w:hAnchor="text" w:xAlign="left" w:yAlign="inline"/>
                  <w:rPr>
                    <w:rFonts w:ascii="Marianne" w:hAnsi="Marianne"/>
                  </w:rPr>
                </w:pPr>
                <w:hyperlink r:id="rId1" w:tooltip="https://aife.economie.gouv.fr" w:history="1">
                  <w:r>
                    <w:rPr>
                      <w:rStyle w:val="Lienhypertexte"/>
                      <w:rFonts w:ascii="Marianne" w:hAnsi="Marianne"/>
                    </w:rPr>
                    <w:t>https://aife.economie.gouv.fr</w:t>
                  </w:r>
                </w:hyperlink>
              </w:p>
              <w:p>
                <w:pPr>
                  <w:pStyle w:val="Texte-Pieddepage"/>
                  <w:framePr w:w="0" w:hRule="auto" w:wrap="auto" w:vAnchor="margin" w:hAnchor="text" w:xAlign="left" w:yAlign="inline"/>
                  <w:rPr>
                    <w:rFonts w:ascii="Marianne" w:hAnsi="Marianne"/>
                    <w:lang w:val="fr-FR"/>
                  </w:rPr>
                </w:pPr>
              </w:p>
            </w:tc>
            <w:tc>
              <w:tcPr>
                <w:tcW w:w="907" w:type="dxa"/>
                <w:tcBorders>
                  <w:top w:val="none" w:sz="4" w:space="0" w:color="000000"/>
                  <w:left w:val="none" w:sz="4" w:space="0" w:color="000000"/>
                  <w:bottom w:val="none" w:sz="4" w:space="0" w:color="000000"/>
                  <w:right w:val="none" w:sz="4" w:space="0" w:color="000000"/>
                </w:tcBorders>
                <w:vAlign w:val="bottom"/>
              </w:tcPr>
              <w:p>
                <w:pPr>
                  <w:pStyle w:val="Pagination"/>
                  <w:framePr w:w="0" w:hRule="auto" w:wrap="auto" w:vAnchor="margin" w:hAnchor="text" w:xAlign="left" w:yAlign="inline"/>
                  <w:rPr>
                    <w:rFonts w:ascii="Marianne" w:hAnsi="Marianne"/>
                  </w:rPr>
                </w:pPr>
                <w:r>
                  <w:rPr>
                    <w:rFonts w:ascii="Marianne" w:hAnsi="Marianne"/>
                  </w:rPr>
                  <w:t>1/</w:t>
                </w:r>
                <w:r>
                  <w:rPr>
                    <w:rFonts w:ascii="Marianne" w:hAnsi="Marianne"/>
                  </w:rPr>
                  <w:fldChar w:fldCharType="begin"/>
                </w:r>
                <w:r>
                  <w:rPr>
                    <w:rFonts w:ascii="Marianne" w:hAnsi="Marianne"/>
                  </w:rPr>
                  <w:instrText xml:space="preserve"> NUMPAGES  </w:instrText>
                </w:r>
                <w:r>
                  <w:rPr>
                    <w:rFonts w:ascii="Marianne" w:hAnsi="Marianne"/>
                  </w:rPr>
                  <w:fldChar w:fldCharType="separate"/>
                </w:r>
                <w:r>
                  <w:rPr>
                    <w:rFonts w:ascii="Marianne" w:hAnsi="Marianne"/>
                  </w:rPr>
                  <w:t>7</w:t>
                </w:r>
                <w:r>
                  <w:rPr>
                    <w:rFonts w:ascii="Marianne" w:hAnsi="Marianne"/>
                  </w:rPr>
                  <w:fldChar w:fldCharType="end"/>
                </w:r>
              </w:p>
            </w:tc>
            <w:tc>
              <w:tcPr>
                <w:tcW w:w="4423" w:type="dxa"/>
                <w:tcBorders>
                  <w:top w:val="none" w:sz="4" w:space="0" w:color="000000"/>
                  <w:left w:val="none" w:sz="4" w:space="0" w:color="000000"/>
                  <w:bottom w:val="none" w:sz="4" w:space="0" w:color="000000"/>
                  <w:right w:val="none" w:sz="4" w:space="0" w:color="000000"/>
                </w:tcBorders>
                <w:vAlign w:val="bottom"/>
              </w:tcPr>
              <w:p>
                <w:pPr>
                  <w:pStyle w:val="Date"/>
                  <w:jc w:val="left"/>
                  <w:rPr>
                    <w:rFonts w:ascii="Marianne" w:hAnsi="Marianne"/>
                    <w:lang w:val="en-US"/>
                  </w:rPr>
                </w:pPr>
              </w:p>
            </w:tc>
          </w:tr>
          <w:tr>
            <w:trPr>
              <w:trHeight w:hRule="exact" w:val="936"/>
            </w:trPr>
            <w:tc>
              <w:tcPr>
                <w:tcW w:w="9979" w:type="dxa"/>
                <w:gridSpan w:val="3"/>
                <w:tcBorders>
                  <w:top w:val="none" w:sz="4" w:space="0" w:color="000000"/>
                  <w:left w:val="none" w:sz="4" w:space="0" w:color="000000"/>
                  <w:bottom w:val="none" w:sz="4" w:space="0" w:color="000000"/>
                  <w:right w:val="none" w:sz="4" w:space="0" w:color="000000"/>
                </w:tcBorders>
              </w:tcPr>
              <w:p>
                <w:pPr>
                  <w:rPr>
                    <w:lang w:val="en-US"/>
                  </w:rPr>
                </w:pPr>
              </w:p>
            </w:tc>
          </w:tr>
        </w:tbl>
        <w:p>
          <w:pPr>
            <w:pStyle w:val="Pagination"/>
            <w:framePr w:w="0" w:hRule="auto" w:wrap="auto" w:vAnchor="margin" w:hAnchor="text" w:xAlign="left" w:yAlign="inline"/>
            <w:ind w:left="877" w:hanging="877"/>
          </w:pPr>
        </w:p>
      </w:tc>
      <w:tc>
        <w:tcPr>
          <w:tcW w:w="21" w:type="dxa"/>
          <w:tcBorders>
            <w:top w:val="none" w:sz="4" w:space="0" w:color="000000"/>
            <w:left w:val="none" w:sz="4" w:space="0" w:color="000000"/>
            <w:bottom w:val="none" w:sz="4" w:space="0" w:color="000000"/>
            <w:right w:val="none" w:sz="4" w:space="0" w:color="000000"/>
          </w:tcBorders>
          <w:vAlign w:val="bottom"/>
        </w:tcPr>
        <w:p>
          <w:pPr>
            <w:pStyle w:val="Date"/>
            <w:jc w:val="left"/>
            <w:rPr>
              <w:lang w:val="en-US"/>
            </w:rPr>
          </w:pPr>
        </w:p>
      </w:tc>
    </w:tr>
  </w:tbl>
  <w:p>
    <w:pPr>
      <w:tabs>
        <w:tab w:val="left" w:pos="0"/>
      </w:tabs>
      <w:jc w:val="center"/>
      <w:rPr>
        <w:i/>
        <w:iCs/>
        <w:sz w:val="11"/>
        <w:szCs w:val="1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ayout w:type="fixed"/>
      <w:tblLook w:val="04A0" w:firstRow="1" w:lastRow="0" w:firstColumn="1" w:lastColumn="0" w:noHBand="0" w:noVBand="1"/>
    </w:tblPr>
    <w:tblGrid>
      <w:gridCol w:w="10206"/>
    </w:tblGrid>
    <w:tr>
      <w:trPr>
        <w:trHeight w:val="338"/>
        <w:jc w:val="center"/>
      </w:trPr>
      <w:tc>
        <w:tcPr>
          <w:tcW w:w="10206" w:type="dxa"/>
        </w:tcPr>
        <w:p>
          <w:pPr>
            <w:pStyle w:val="CompanyInformation"/>
            <w:jc w:val="center"/>
            <w:rPr>
              <w:rFonts w:ascii="Garamond" w:hAnsi="Garamond"/>
              <w:i/>
            </w:rPr>
          </w:pPr>
          <w:r>
            <w:rPr>
              <w:lang w:val="fr-FR" w:eastAsia="fr-FR"/>
            </w:rPr>
            <w:fldChar w:fldCharType="begin"/>
          </w:r>
          <w:r>
            <w:rPr>
              <w:lang w:val="fr-FR" w:eastAsia="fr-FR"/>
            </w:rPr>
            <w:instrText xml:space="preserve"> PAGE </w:instrText>
          </w:r>
          <w:r>
            <w:rPr>
              <w:lang w:val="fr-FR" w:eastAsia="fr-FR"/>
            </w:rPr>
            <w:fldChar w:fldCharType="separate"/>
          </w:r>
          <w:r>
            <w:rPr>
              <w:lang w:val="fr-FR" w:eastAsia="fr-FR"/>
            </w:rPr>
            <w:t>7</w:t>
          </w:r>
          <w:r>
            <w:rPr>
              <w:lang w:val="fr-FR" w:eastAsia="fr-FR"/>
            </w:rPr>
            <w:fldChar w:fldCharType="end"/>
          </w:r>
          <w:r>
            <w:rPr>
              <w:lang w:val="fr-FR" w:eastAsia="fr-FR"/>
            </w:rPr>
            <w:t xml:space="preserve"> / </w:t>
          </w:r>
          <w:r>
            <w:rPr>
              <w:lang w:val="fr-FR" w:eastAsia="fr-FR"/>
            </w:rPr>
            <w:fldChar w:fldCharType="begin"/>
          </w:r>
          <w:r>
            <w:rPr>
              <w:lang w:val="fr-FR" w:eastAsia="fr-FR"/>
            </w:rPr>
            <w:instrText xml:space="preserve"> NUMPAGES   \* MERGEFORMAT </w:instrText>
          </w:r>
          <w:r>
            <w:rPr>
              <w:lang w:val="fr-FR" w:eastAsia="fr-FR"/>
            </w:rPr>
            <w:fldChar w:fldCharType="separate"/>
          </w:r>
          <w:r>
            <w:rPr>
              <w:lang w:val="fr-FR" w:eastAsia="fr-FR"/>
            </w:rPr>
            <w:t>7</w:t>
          </w:r>
          <w:r>
            <w:rPr>
              <w:lang w:val="fr-FR" w:eastAsia="fr-FR"/>
            </w:rPr>
            <w:fldChar w:fldCharType="end"/>
          </w:r>
        </w:p>
      </w:tc>
    </w:tr>
  </w:tbl>
  <w:p>
    <w:pPr>
      <w:pStyle w:val="Pieddepage"/>
      <w:jc w:val="cente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horzAnchor="margin" w:tblpXSpec="center" w:tblpY="1"/>
      <w:tblW w:w="11669" w:type="dxa"/>
      <w:tblBorders>
        <w:insideH w:val="single" w:sz="4" w:space="0" w:color="999999"/>
        <w:insideV w:val="single" w:sz="4" w:space="0" w:color="999999"/>
      </w:tblBorders>
      <w:tblCellMar>
        <w:left w:w="86" w:type="dxa"/>
        <w:right w:w="86" w:type="dxa"/>
      </w:tblCellMar>
      <w:tblLook w:val="0000" w:firstRow="0" w:lastRow="0" w:firstColumn="0" w:lastColumn="0" w:noHBand="0" w:noVBand="0"/>
    </w:tblPr>
    <w:tblGrid>
      <w:gridCol w:w="5048"/>
      <w:gridCol w:w="3863"/>
      <w:gridCol w:w="2758"/>
    </w:tblGrid>
    <w:tr>
      <w:trPr>
        <w:trHeight w:val="574"/>
      </w:trPr>
      <w:tc>
        <w:tcPr>
          <w:tcW w:w="5048" w:type="dxa"/>
          <w:vAlign w:val="center"/>
        </w:tcPr>
        <w:p>
          <w:pPr>
            <w:pStyle w:val="CompanyInformation"/>
            <w:rPr>
              <w:lang w:val="fr-FR"/>
            </w:rPr>
          </w:pPr>
          <w:r>
            <w:rPr>
              <w:rFonts w:ascii="Garamond" w:hAnsi="Garamond"/>
              <w:noProof/>
              <w:lang w:val="fr-FR" w:eastAsia="fr-FR"/>
            </w:rPr>
            <mc:AlternateContent>
              <mc:Choice Requires="wpg">
                <w:drawing>
                  <wp:inline distT="0" distB="0" distL="0" distR="0">
                    <wp:extent cx="921385" cy="334645"/>
                    <wp:effectExtent l="0" t="0" r="0" b="8255"/>
                    <wp:docPr id="1" name="Image 16" descr="s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6" descr="sife"/>
                            <pic:cNvPicPr>
                              <a:picLocks noChangeAspect="1"/>
                            </pic:cNvPicPr>
                          </pic:nvPicPr>
                          <pic:blipFill>
                            <a:blip r:embed="rId1"/>
                            <a:stretch/>
                          </pic:blipFill>
                          <pic:spPr bwMode="auto">
                            <a:xfrm>
                              <a:off x="0" y="0"/>
                              <a:ext cx="921385" cy="33464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72.55pt;height:26.35pt;mso-wrap-distance-left:0.00pt;mso-wrap-distance-top:0.00pt;mso-wrap-distance-right:0.00pt;mso-wrap-distance-bottom:0.00pt;" stroked="f">
                    <v:path textboxrect="0,0,0,0"/>
                    <v:imagedata r:id="rId2" o:title=""/>
                  </v:shape>
                </w:pict>
              </mc:Fallback>
            </mc:AlternateContent>
          </w:r>
        </w:p>
      </w:tc>
      <w:tc>
        <w:tcPr>
          <w:tcW w:w="3863" w:type="dxa"/>
          <w:vAlign w:val="center"/>
        </w:tcPr>
        <w:p>
          <w:pPr>
            <w:pStyle w:val="CompanyInformation"/>
            <w:rPr>
              <w:lang w:val="fr-FR"/>
            </w:rPr>
          </w:pPr>
          <w:r>
            <w:rPr>
              <w:lang w:val="fr-FR"/>
            </w:rPr>
            <w:t>Auteur : Florent Tournois</w:t>
          </w:r>
        </w:p>
        <w:p>
          <w:pPr>
            <w:pStyle w:val="CompanyInformation"/>
            <w:rPr>
              <w:lang w:val="fr-FR"/>
            </w:rPr>
          </w:pPr>
          <w:r>
            <w:rPr>
              <w:lang w:val="fr-FR"/>
            </w:rPr>
            <w:t>Vérificateur : Florent Tournois</w:t>
          </w:r>
        </w:p>
        <w:p>
          <w:pPr>
            <w:pStyle w:val="CompanyInformation"/>
            <w:rPr>
              <w:lang w:val="fr-FR"/>
            </w:rPr>
          </w:pPr>
          <w:r>
            <w:rPr>
              <w:lang w:val="fr-FR"/>
            </w:rPr>
            <w:t>Approbateur : Florent Tournois</w:t>
          </w:r>
        </w:p>
      </w:tc>
      <w:tc>
        <w:tcPr>
          <w:tcW w:w="2758" w:type="dxa"/>
          <w:vAlign w:val="center"/>
        </w:tcPr>
        <w:p>
          <w:pPr>
            <w:pStyle w:val="CompanyInformation"/>
            <w:rPr>
              <w:i/>
              <w:lang w:val="fr-FR"/>
            </w:rPr>
          </w:pPr>
          <w:r>
            <w:rPr>
              <w:rStyle w:val="CompanyInformationItalicChar"/>
              <w:i w:val="0"/>
              <w:lang w:val="fr-FR"/>
            </w:rPr>
            <w:t>Statut : Initial</w:t>
          </w:r>
        </w:p>
        <w:p>
          <w:pPr>
            <w:pStyle w:val="CompanyInformation"/>
            <w:rPr>
              <w:rStyle w:val="CompanyInformationItalicChar"/>
              <w:i w:val="0"/>
              <w:lang w:val="fr-FR"/>
            </w:rPr>
          </w:pPr>
          <w:r>
            <w:rPr>
              <w:rStyle w:val="CompanyInformationItalicChar"/>
              <w:i w:val="0"/>
              <w:lang w:val="fr-FR"/>
            </w:rPr>
            <w:t xml:space="preserve">Création : </w:t>
          </w:r>
        </w:p>
        <w:p>
          <w:pPr>
            <w:pStyle w:val="CompanyInformation"/>
            <w:rPr>
              <w:lang w:val="fr-FR"/>
            </w:rPr>
          </w:pPr>
          <w:r>
            <w:rPr>
              <w:rStyle w:val="CompanyInformationItalicChar"/>
              <w:i w:val="0"/>
              <w:lang w:val="fr-FR"/>
            </w:rPr>
            <w:t xml:space="preserve">Effectif le : </w:t>
          </w:r>
        </w:p>
      </w:tc>
    </w:tr>
  </w:tbl>
  <w:p/>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horzAnchor="margin" w:tblpXSpec="center" w:tblpY="1"/>
      <w:tblW w:w="11001" w:type="dxa"/>
      <w:tblBorders>
        <w:insideH w:val="single" w:sz="4" w:space="0" w:color="8EB0AB"/>
      </w:tblBorders>
      <w:tblCellMar>
        <w:left w:w="86" w:type="dxa"/>
        <w:right w:w="86" w:type="dxa"/>
      </w:tblCellMar>
      <w:tblLook w:val="0000" w:firstRow="0" w:lastRow="0" w:firstColumn="0" w:lastColumn="0" w:noHBand="0" w:noVBand="0"/>
    </w:tblPr>
    <w:tblGrid>
      <w:gridCol w:w="5245"/>
      <w:gridCol w:w="5756"/>
    </w:tblGrid>
    <w:tr>
      <w:trPr>
        <w:trHeight w:val="555"/>
      </w:trPr>
      <w:tc>
        <w:tcPr>
          <w:tcW w:w="5245" w:type="dxa"/>
          <w:vAlign w:val="center"/>
        </w:tcPr>
        <w:p>
          <w:pPr>
            <w:pStyle w:val="CompanyInformation"/>
            <w:rPr>
              <w:lang w:val="fr-FR"/>
            </w:rPr>
          </w:pPr>
          <w:r>
            <w:rPr>
              <w:lang w:val="fr-FR"/>
            </w:rPr>
            <w:t xml:space="preserve">Ministère chargé du budget et des comptes publics - </w:t>
          </w:r>
          <w:r>
            <w:rPr>
              <w:lang w:val="fr-FR" w:eastAsia="fr-FR"/>
            </w:rPr>
            <w:t>AIFE</w:t>
          </w:r>
        </w:p>
      </w:tc>
      <w:tc>
        <w:tcPr>
          <w:tcW w:w="5756" w:type="dxa"/>
          <w:vAlign w:val="center"/>
        </w:tcPr>
        <w:p>
          <w:pPr>
            <w:pStyle w:val="CompanyInformation"/>
            <w:jc w:val="right"/>
            <w:rPr>
              <w:lang w:val="fr-FR" w:eastAsia="fr-FR"/>
            </w:rPr>
          </w:pPr>
          <w:r>
            <w:rPr>
              <w:lang w:val="fr-FR" w:eastAsia="fr-FR"/>
            </w:rPr>
            <w:t>25_AIFE_TMA_TMT_PPF – Cadre de réponse</w:t>
          </w:r>
        </w:p>
      </w:tc>
    </w:tr>
  </w:tbl>
  <w:p>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D50"/>
    <w:multiLevelType w:val="hybridMultilevel"/>
    <w:tmpl w:val="DA6E306E"/>
    <w:lvl w:ilvl="0" w:tplc="45A8B412">
      <w:start w:val="1"/>
      <w:numFmt w:val="bullet"/>
      <w:lvlText w:val=""/>
      <w:lvlJc w:val="left"/>
      <w:pPr>
        <w:ind w:left="720" w:hanging="360"/>
      </w:pPr>
      <w:rPr>
        <w:rFonts w:ascii="Symbol" w:hAnsi="Symbol" w:hint="default"/>
      </w:rPr>
    </w:lvl>
    <w:lvl w:ilvl="1" w:tplc="9C68E31C">
      <w:start w:val="1"/>
      <w:numFmt w:val="bullet"/>
      <w:lvlText w:val="o"/>
      <w:lvlJc w:val="left"/>
      <w:pPr>
        <w:ind w:left="1440" w:hanging="360"/>
      </w:pPr>
      <w:rPr>
        <w:rFonts w:ascii="Courier New" w:hAnsi="Courier New" w:cs="Courier New" w:hint="default"/>
      </w:rPr>
    </w:lvl>
    <w:lvl w:ilvl="2" w:tplc="2EF24F74">
      <w:start w:val="1"/>
      <w:numFmt w:val="bullet"/>
      <w:lvlText w:val=""/>
      <w:lvlJc w:val="left"/>
      <w:pPr>
        <w:ind w:left="2160" w:hanging="360"/>
      </w:pPr>
      <w:rPr>
        <w:rFonts w:ascii="Wingdings" w:hAnsi="Wingdings" w:hint="default"/>
      </w:rPr>
    </w:lvl>
    <w:lvl w:ilvl="3" w:tplc="A7BA3D80">
      <w:start w:val="1"/>
      <w:numFmt w:val="bullet"/>
      <w:lvlText w:val=""/>
      <w:lvlJc w:val="left"/>
      <w:pPr>
        <w:ind w:left="2880" w:hanging="360"/>
      </w:pPr>
      <w:rPr>
        <w:rFonts w:ascii="Symbol" w:hAnsi="Symbol" w:hint="default"/>
      </w:rPr>
    </w:lvl>
    <w:lvl w:ilvl="4" w:tplc="BB6A4B0C">
      <w:start w:val="1"/>
      <w:numFmt w:val="bullet"/>
      <w:lvlText w:val="o"/>
      <w:lvlJc w:val="left"/>
      <w:pPr>
        <w:ind w:left="3600" w:hanging="360"/>
      </w:pPr>
      <w:rPr>
        <w:rFonts w:ascii="Courier New" w:hAnsi="Courier New" w:cs="Courier New" w:hint="default"/>
      </w:rPr>
    </w:lvl>
    <w:lvl w:ilvl="5" w:tplc="79CA9AFE">
      <w:start w:val="1"/>
      <w:numFmt w:val="bullet"/>
      <w:lvlText w:val=""/>
      <w:lvlJc w:val="left"/>
      <w:pPr>
        <w:ind w:left="4320" w:hanging="360"/>
      </w:pPr>
      <w:rPr>
        <w:rFonts w:ascii="Wingdings" w:hAnsi="Wingdings" w:hint="default"/>
      </w:rPr>
    </w:lvl>
    <w:lvl w:ilvl="6" w:tplc="79FE749E">
      <w:start w:val="1"/>
      <w:numFmt w:val="bullet"/>
      <w:lvlText w:val=""/>
      <w:lvlJc w:val="left"/>
      <w:pPr>
        <w:ind w:left="5040" w:hanging="360"/>
      </w:pPr>
      <w:rPr>
        <w:rFonts w:ascii="Symbol" w:hAnsi="Symbol" w:hint="default"/>
      </w:rPr>
    </w:lvl>
    <w:lvl w:ilvl="7" w:tplc="593CCE70">
      <w:start w:val="1"/>
      <w:numFmt w:val="bullet"/>
      <w:lvlText w:val="o"/>
      <w:lvlJc w:val="left"/>
      <w:pPr>
        <w:ind w:left="5760" w:hanging="360"/>
      </w:pPr>
      <w:rPr>
        <w:rFonts w:ascii="Courier New" w:hAnsi="Courier New" w:cs="Courier New" w:hint="default"/>
      </w:rPr>
    </w:lvl>
    <w:lvl w:ilvl="8" w:tplc="12F80754">
      <w:start w:val="1"/>
      <w:numFmt w:val="bullet"/>
      <w:lvlText w:val=""/>
      <w:lvlJc w:val="left"/>
      <w:pPr>
        <w:ind w:left="6480" w:hanging="360"/>
      </w:pPr>
      <w:rPr>
        <w:rFonts w:ascii="Wingdings" w:hAnsi="Wingdings" w:hint="default"/>
      </w:rPr>
    </w:lvl>
  </w:abstractNum>
  <w:abstractNum w:abstractNumId="1" w15:restartNumberingAfterBreak="0">
    <w:nsid w:val="0A896315"/>
    <w:multiLevelType w:val="hybridMultilevel"/>
    <w:tmpl w:val="BECC312E"/>
    <w:lvl w:ilvl="0" w:tplc="2856DB14">
      <w:start w:val="1"/>
      <w:numFmt w:val="bullet"/>
      <w:lvlText w:val=""/>
      <w:lvlJc w:val="left"/>
      <w:pPr>
        <w:ind w:left="720" w:hanging="360"/>
      </w:pPr>
      <w:rPr>
        <w:rFonts w:ascii="Symbol" w:hAnsi="Symbol" w:hint="default"/>
      </w:rPr>
    </w:lvl>
    <w:lvl w:ilvl="1" w:tplc="33209D1E">
      <w:start w:val="1"/>
      <w:numFmt w:val="bullet"/>
      <w:lvlText w:val="o"/>
      <w:lvlJc w:val="left"/>
      <w:pPr>
        <w:ind w:left="1440" w:hanging="360"/>
      </w:pPr>
      <w:rPr>
        <w:rFonts w:ascii="Courier New" w:hAnsi="Courier New" w:cs="Courier New" w:hint="default"/>
      </w:rPr>
    </w:lvl>
    <w:lvl w:ilvl="2" w:tplc="383E2680">
      <w:start w:val="1"/>
      <w:numFmt w:val="bullet"/>
      <w:lvlText w:val=""/>
      <w:lvlJc w:val="left"/>
      <w:pPr>
        <w:ind w:left="2160" w:hanging="360"/>
      </w:pPr>
      <w:rPr>
        <w:rFonts w:ascii="Wingdings" w:hAnsi="Wingdings" w:hint="default"/>
      </w:rPr>
    </w:lvl>
    <w:lvl w:ilvl="3" w:tplc="72D4C0EA">
      <w:start w:val="1"/>
      <w:numFmt w:val="bullet"/>
      <w:lvlText w:val=""/>
      <w:lvlJc w:val="left"/>
      <w:pPr>
        <w:ind w:left="2880" w:hanging="360"/>
      </w:pPr>
      <w:rPr>
        <w:rFonts w:ascii="Symbol" w:hAnsi="Symbol" w:hint="default"/>
      </w:rPr>
    </w:lvl>
    <w:lvl w:ilvl="4" w:tplc="7B5AB292">
      <w:start w:val="1"/>
      <w:numFmt w:val="bullet"/>
      <w:lvlText w:val="o"/>
      <w:lvlJc w:val="left"/>
      <w:pPr>
        <w:ind w:left="3600" w:hanging="360"/>
      </w:pPr>
      <w:rPr>
        <w:rFonts w:ascii="Courier New" w:hAnsi="Courier New" w:cs="Courier New" w:hint="default"/>
      </w:rPr>
    </w:lvl>
    <w:lvl w:ilvl="5" w:tplc="0150AB4A">
      <w:start w:val="1"/>
      <w:numFmt w:val="bullet"/>
      <w:lvlText w:val=""/>
      <w:lvlJc w:val="left"/>
      <w:pPr>
        <w:ind w:left="4320" w:hanging="360"/>
      </w:pPr>
      <w:rPr>
        <w:rFonts w:ascii="Wingdings" w:hAnsi="Wingdings" w:hint="default"/>
      </w:rPr>
    </w:lvl>
    <w:lvl w:ilvl="6" w:tplc="E30CDB8E">
      <w:start w:val="1"/>
      <w:numFmt w:val="bullet"/>
      <w:lvlText w:val=""/>
      <w:lvlJc w:val="left"/>
      <w:pPr>
        <w:ind w:left="5040" w:hanging="360"/>
      </w:pPr>
      <w:rPr>
        <w:rFonts w:ascii="Symbol" w:hAnsi="Symbol" w:hint="default"/>
      </w:rPr>
    </w:lvl>
    <w:lvl w:ilvl="7" w:tplc="524A697C">
      <w:start w:val="1"/>
      <w:numFmt w:val="bullet"/>
      <w:lvlText w:val="o"/>
      <w:lvlJc w:val="left"/>
      <w:pPr>
        <w:ind w:left="5760" w:hanging="360"/>
      </w:pPr>
      <w:rPr>
        <w:rFonts w:ascii="Courier New" w:hAnsi="Courier New" w:cs="Courier New" w:hint="default"/>
      </w:rPr>
    </w:lvl>
    <w:lvl w:ilvl="8" w:tplc="58DC5F50">
      <w:start w:val="1"/>
      <w:numFmt w:val="bullet"/>
      <w:lvlText w:val=""/>
      <w:lvlJc w:val="left"/>
      <w:pPr>
        <w:ind w:left="6480" w:hanging="360"/>
      </w:pPr>
      <w:rPr>
        <w:rFonts w:ascii="Wingdings" w:hAnsi="Wingdings" w:hint="default"/>
      </w:rPr>
    </w:lvl>
  </w:abstractNum>
  <w:abstractNum w:abstractNumId="2" w15:restartNumberingAfterBreak="0">
    <w:nsid w:val="0A994EB7"/>
    <w:multiLevelType w:val="multilevel"/>
    <w:tmpl w:val="1C26203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15:restartNumberingAfterBreak="0">
    <w:nsid w:val="0F6E139C"/>
    <w:multiLevelType w:val="hybridMultilevel"/>
    <w:tmpl w:val="150A9DD4"/>
    <w:lvl w:ilvl="0" w:tplc="7CCE6B02">
      <w:start w:val="1"/>
      <w:numFmt w:val="bullet"/>
      <w:lvlText w:val=""/>
      <w:lvlJc w:val="left"/>
      <w:pPr>
        <w:tabs>
          <w:tab w:val="num" w:pos="1080"/>
        </w:tabs>
        <w:ind w:left="1080" w:hanging="360"/>
      </w:pPr>
      <w:rPr>
        <w:rFonts w:ascii="Symbol" w:hAnsi="Symbol" w:hint="default"/>
      </w:rPr>
    </w:lvl>
    <w:lvl w:ilvl="1" w:tplc="89CA879E">
      <w:start w:val="1"/>
      <w:numFmt w:val="bullet"/>
      <w:lvlText w:val="o"/>
      <w:lvlJc w:val="left"/>
      <w:pPr>
        <w:ind w:left="1440" w:hanging="360"/>
      </w:pPr>
      <w:rPr>
        <w:rFonts w:ascii="Courier New" w:eastAsia="Courier New" w:hAnsi="Courier New" w:cs="Courier New" w:hint="default"/>
      </w:rPr>
    </w:lvl>
    <w:lvl w:ilvl="2" w:tplc="3ECA3A96">
      <w:start w:val="1"/>
      <w:numFmt w:val="bullet"/>
      <w:lvlText w:val="§"/>
      <w:lvlJc w:val="left"/>
      <w:pPr>
        <w:ind w:left="2160" w:hanging="360"/>
      </w:pPr>
      <w:rPr>
        <w:rFonts w:ascii="Wingdings" w:eastAsia="Wingdings" w:hAnsi="Wingdings" w:cs="Wingdings" w:hint="default"/>
      </w:rPr>
    </w:lvl>
    <w:lvl w:ilvl="3" w:tplc="EAD212D4">
      <w:start w:val="1"/>
      <w:numFmt w:val="bullet"/>
      <w:lvlText w:val="·"/>
      <w:lvlJc w:val="left"/>
      <w:pPr>
        <w:ind w:left="2880" w:hanging="360"/>
      </w:pPr>
      <w:rPr>
        <w:rFonts w:ascii="Symbol" w:eastAsia="Symbol" w:hAnsi="Symbol" w:cs="Symbol" w:hint="default"/>
      </w:rPr>
    </w:lvl>
    <w:lvl w:ilvl="4" w:tplc="982EB420">
      <w:start w:val="1"/>
      <w:numFmt w:val="bullet"/>
      <w:lvlText w:val="o"/>
      <w:lvlJc w:val="left"/>
      <w:pPr>
        <w:ind w:left="3600" w:hanging="360"/>
      </w:pPr>
      <w:rPr>
        <w:rFonts w:ascii="Courier New" w:eastAsia="Courier New" w:hAnsi="Courier New" w:cs="Courier New" w:hint="default"/>
      </w:rPr>
    </w:lvl>
    <w:lvl w:ilvl="5" w:tplc="D86C3654">
      <w:start w:val="1"/>
      <w:numFmt w:val="bullet"/>
      <w:lvlText w:val="§"/>
      <w:lvlJc w:val="left"/>
      <w:pPr>
        <w:ind w:left="4320" w:hanging="360"/>
      </w:pPr>
      <w:rPr>
        <w:rFonts w:ascii="Wingdings" w:eastAsia="Wingdings" w:hAnsi="Wingdings" w:cs="Wingdings" w:hint="default"/>
      </w:rPr>
    </w:lvl>
    <w:lvl w:ilvl="6" w:tplc="92CAC0AA">
      <w:start w:val="1"/>
      <w:numFmt w:val="bullet"/>
      <w:lvlText w:val="·"/>
      <w:lvlJc w:val="left"/>
      <w:pPr>
        <w:ind w:left="5040" w:hanging="360"/>
      </w:pPr>
      <w:rPr>
        <w:rFonts w:ascii="Symbol" w:eastAsia="Symbol" w:hAnsi="Symbol" w:cs="Symbol" w:hint="default"/>
      </w:rPr>
    </w:lvl>
    <w:lvl w:ilvl="7" w:tplc="CCF46764">
      <w:start w:val="1"/>
      <w:numFmt w:val="bullet"/>
      <w:lvlText w:val="o"/>
      <w:lvlJc w:val="left"/>
      <w:pPr>
        <w:ind w:left="5760" w:hanging="360"/>
      </w:pPr>
      <w:rPr>
        <w:rFonts w:ascii="Courier New" w:eastAsia="Courier New" w:hAnsi="Courier New" w:cs="Courier New" w:hint="default"/>
      </w:rPr>
    </w:lvl>
    <w:lvl w:ilvl="8" w:tplc="BD8A074A">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2F31AE7"/>
    <w:multiLevelType w:val="multilevel"/>
    <w:tmpl w:val="7F902AF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15:restartNumberingAfterBreak="0">
    <w:nsid w:val="16C2396E"/>
    <w:multiLevelType w:val="hybridMultilevel"/>
    <w:tmpl w:val="E9202AC2"/>
    <w:lvl w:ilvl="0" w:tplc="ADE4867A">
      <w:start w:val="1"/>
      <w:numFmt w:val="bullet"/>
      <w:pStyle w:val="lmentsPointsdaction"/>
      <w:lvlText w:val=""/>
      <w:lvlJc w:val="left"/>
      <w:pPr>
        <w:tabs>
          <w:tab w:val="num" w:pos="360"/>
        </w:tabs>
        <w:ind w:left="360" w:hanging="360"/>
      </w:pPr>
      <w:rPr>
        <w:rFonts w:ascii="Wingdings" w:hAnsi="Wingdings" w:hint="default"/>
      </w:rPr>
    </w:lvl>
    <w:lvl w:ilvl="1" w:tplc="973451A4">
      <w:start w:val="1"/>
      <w:numFmt w:val="decimal"/>
      <w:lvlText w:val="%2."/>
      <w:lvlJc w:val="left"/>
      <w:pPr>
        <w:tabs>
          <w:tab w:val="num" w:pos="1440"/>
        </w:tabs>
        <w:ind w:left="1440" w:hanging="360"/>
      </w:pPr>
      <w:rPr>
        <w:rFonts w:cs="Times New Roman"/>
      </w:rPr>
    </w:lvl>
    <w:lvl w:ilvl="2" w:tplc="74FEA97A">
      <w:start w:val="1"/>
      <w:numFmt w:val="decimal"/>
      <w:lvlText w:val="%3."/>
      <w:lvlJc w:val="left"/>
      <w:pPr>
        <w:tabs>
          <w:tab w:val="num" w:pos="2160"/>
        </w:tabs>
        <w:ind w:left="2160" w:hanging="360"/>
      </w:pPr>
      <w:rPr>
        <w:rFonts w:cs="Times New Roman"/>
      </w:rPr>
    </w:lvl>
    <w:lvl w:ilvl="3" w:tplc="3C0045B0">
      <w:start w:val="1"/>
      <w:numFmt w:val="decimal"/>
      <w:lvlText w:val="%4."/>
      <w:lvlJc w:val="left"/>
      <w:pPr>
        <w:tabs>
          <w:tab w:val="num" w:pos="2880"/>
        </w:tabs>
        <w:ind w:left="2880" w:hanging="360"/>
      </w:pPr>
      <w:rPr>
        <w:rFonts w:cs="Times New Roman"/>
      </w:rPr>
    </w:lvl>
    <w:lvl w:ilvl="4" w:tplc="F454C9E2">
      <w:start w:val="1"/>
      <w:numFmt w:val="decimal"/>
      <w:lvlText w:val="%5."/>
      <w:lvlJc w:val="left"/>
      <w:pPr>
        <w:tabs>
          <w:tab w:val="num" w:pos="3600"/>
        </w:tabs>
        <w:ind w:left="3600" w:hanging="360"/>
      </w:pPr>
      <w:rPr>
        <w:rFonts w:cs="Times New Roman"/>
      </w:rPr>
    </w:lvl>
    <w:lvl w:ilvl="5" w:tplc="7F788B94">
      <w:start w:val="1"/>
      <w:numFmt w:val="decimal"/>
      <w:lvlText w:val="%6."/>
      <w:lvlJc w:val="left"/>
      <w:pPr>
        <w:tabs>
          <w:tab w:val="num" w:pos="4320"/>
        </w:tabs>
        <w:ind w:left="4320" w:hanging="360"/>
      </w:pPr>
      <w:rPr>
        <w:rFonts w:cs="Times New Roman"/>
      </w:rPr>
    </w:lvl>
    <w:lvl w:ilvl="6" w:tplc="10DC2AFC">
      <w:start w:val="1"/>
      <w:numFmt w:val="decimal"/>
      <w:lvlText w:val="%7."/>
      <w:lvlJc w:val="left"/>
      <w:pPr>
        <w:tabs>
          <w:tab w:val="num" w:pos="5040"/>
        </w:tabs>
        <w:ind w:left="5040" w:hanging="360"/>
      </w:pPr>
      <w:rPr>
        <w:rFonts w:cs="Times New Roman"/>
      </w:rPr>
    </w:lvl>
    <w:lvl w:ilvl="7" w:tplc="81FE60EC">
      <w:start w:val="1"/>
      <w:numFmt w:val="decimal"/>
      <w:lvlText w:val="%8."/>
      <w:lvlJc w:val="left"/>
      <w:pPr>
        <w:tabs>
          <w:tab w:val="num" w:pos="5760"/>
        </w:tabs>
        <w:ind w:left="5760" w:hanging="360"/>
      </w:pPr>
      <w:rPr>
        <w:rFonts w:cs="Times New Roman"/>
      </w:rPr>
    </w:lvl>
    <w:lvl w:ilvl="8" w:tplc="DCA8C156">
      <w:start w:val="1"/>
      <w:numFmt w:val="decimal"/>
      <w:lvlText w:val="%9."/>
      <w:lvlJc w:val="left"/>
      <w:pPr>
        <w:tabs>
          <w:tab w:val="num" w:pos="6480"/>
        </w:tabs>
        <w:ind w:left="6480" w:hanging="360"/>
      </w:pPr>
      <w:rPr>
        <w:rFonts w:cs="Times New Roman"/>
      </w:rPr>
    </w:lvl>
  </w:abstractNum>
  <w:abstractNum w:abstractNumId="6" w15:restartNumberingAfterBreak="0">
    <w:nsid w:val="1F717896"/>
    <w:multiLevelType w:val="hybridMultilevel"/>
    <w:tmpl w:val="EE189D1C"/>
    <w:lvl w:ilvl="0" w:tplc="D6C6F4EE">
      <w:start w:val="1"/>
      <w:numFmt w:val="lowerLetter"/>
      <w:lvlText w:val="%1."/>
      <w:lvlJc w:val="left"/>
      <w:pPr>
        <w:ind w:left="3762" w:hanging="360"/>
      </w:pPr>
      <w:rPr>
        <w:rFonts w:hint="default"/>
      </w:rPr>
    </w:lvl>
    <w:lvl w:ilvl="1" w:tplc="E9F61D68">
      <w:start w:val="1"/>
      <w:numFmt w:val="lowerLetter"/>
      <w:lvlText w:val="%2."/>
      <w:lvlJc w:val="left"/>
      <w:pPr>
        <w:ind w:left="1222" w:hanging="360"/>
      </w:pPr>
    </w:lvl>
    <w:lvl w:ilvl="2" w:tplc="60561F64">
      <w:start w:val="1"/>
      <w:numFmt w:val="lowerRoman"/>
      <w:lvlText w:val="%3."/>
      <w:lvlJc w:val="right"/>
      <w:pPr>
        <w:ind w:left="1942" w:hanging="180"/>
      </w:pPr>
    </w:lvl>
    <w:lvl w:ilvl="3" w:tplc="BE22C7EA">
      <w:start w:val="1"/>
      <w:numFmt w:val="decimal"/>
      <w:lvlText w:val="%4."/>
      <w:lvlJc w:val="left"/>
      <w:pPr>
        <w:ind w:left="2662" w:hanging="360"/>
      </w:pPr>
    </w:lvl>
    <w:lvl w:ilvl="4" w:tplc="EA901A26">
      <w:start w:val="1"/>
      <w:numFmt w:val="lowerLetter"/>
      <w:lvlText w:val="%5."/>
      <w:lvlJc w:val="left"/>
      <w:pPr>
        <w:ind w:left="3382" w:hanging="360"/>
      </w:pPr>
    </w:lvl>
    <w:lvl w:ilvl="5" w:tplc="650ACD1C">
      <w:start w:val="1"/>
      <w:numFmt w:val="lowerRoman"/>
      <w:lvlText w:val="%6."/>
      <w:lvlJc w:val="right"/>
      <w:pPr>
        <w:ind w:left="4102" w:hanging="180"/>
      </w:pPr>
    </w:lvl>
    <w:lvl w:ilvl="6" w:tplc="426E0130">
      <w:start w:val="1"/>
      <w:numFmt w:val="decimal"/>
      <w:lvlText w:val="%7."/>
      <w:lvlJc w:val="left"/>
      <w:pPr>
        <w:ind w:left="4822" w:hanging="360"/>
      </w:pPr>
    </w:lvl>
    <w:lvl w:ilvl="7" w:tplc="E89AF086">
      <w:start w:val="1"/>
      <w:numFmt w:val="lowerLetter"/>
      <w:lvlText w:val="%8."/>
      <w:lvlJc w:val="left"/>
      <w:pPr>
        <w:ind w:left="5542" w:hanging="360"/>
      </w:pPr>
    </w:lvl>
    <w:lvl w:ilvl="8" w:tplc="DDFA6FE6">
      <w:start w:val="1"/>
      <w:numFmt w:val="lowerRoman"/>
      <w:lvlText w:val="%9."/>
      <w:lvlJc w:val="right"/>
      <w:pPr>
        <w:ind w:left="6262" w:hanging="180"/>
      </w:pPr>
    </w:lvl>
  </w:abstractNum>
  <w:abstractNum w:abstractNumId="7" w15:restartNumberingAfterBreak="0">
    <w:nsid w:val="22CB03BC"/>
    <w:multiLevelType w:val="hybridMultilevel"/>
    <w:tmpl w:val="D0A8353C"/>
    <w:lvl w:ilvl="0" w:tplc="B4C8F4E6">
      <w:start w:val="1"/>
      <w:numFmt w:val="bullet"/>
      <w:lvlText w:val=""/>
      <w:lvlJc w:val="left"/>
      <w:pPr>
        <w:ind w:left="720" w:hanging="360"/>
      </w:pPr>
      <w:rPr>
        <w:rFonts w:ascii="Symbol" w:hAnsi="Symbol" w:hint="default"/>
      </w:rPr>
    </w:lvl>
    <w:lvl w:ilvl="1" w:tplc="B6A42BCC">
      <w:start w:val="1"/>
      <w:numFmt w:val="bullet"/>
      <w:lvlText w:val="o"/>
      <w:lvlJc w:val="left"/>
      <w:pPr>
        <w:ind w:left="1440" w:hanging="360"/>
      </w:pPr>
      <w:rPr>
        <w:rFonts w:ascii="Courier New" w:hAnsi="Courier New" w:cs="Courier New" w:hint="default"/>
      </w:rPr>
    </w:lvl>
    <w:lvl w:ilvl="2" w:tplc="B33450E2">
      <w:start w:val="1"/>
      <w:numFmt w:val="bullet"/>
      <w:lvlText w:val=""/>
      <w:lvlJc w:val="left"/>
      <w:pPr>
        <w:ind w:left="2160" w:hanging="360"/>
      </w:pPr>
      <w:rPr>
        <w:rFonts w:ascii="Wingdings" w:hAnsi="Wingdings" w:hint="default"/>
      </w:rPr>
    </w:lvl>
    <w:lvl w:ilvl="3" w:tplc="64C452B8">
      <w:start w:val="1"/>
      <w:numFmt w:val="bullet"/>
      <w:lvlText w:val=""/>
      <w:lvlJc w:val="left"/>
      <w:pPr>
        <w:ind w:left="2880" w:hanging="360"/>
      </w:pPr>
      <w:rPr>
        <w:rFonts w:ascii="Symbol" w:hAnsi="Symbol" w:hint="default"/>
      </w:rPr>
    </w:lvl>
    <w:lvl w:ilvl="4" w:tplc="DEFAC9A4">
      <w:start w:val="1"/>
      <w:numFmt w:val="bullet"/>
      <w:lvlText w:val="o"/>
      <w:lvlJc w:val="left"/>
      <w:pPr>
        <w:ind w:left="3600" w:hanging="360"/>
      </w:pPr>
      <w:rPr>
        <w:rFonts w:ascii="Courier New" w:hAnsi="Courier New" w:cs="Courier New" w:hint="default"/>
      </w:rPr>
    </w:lvl>
    <w:lvl w:ilvl="5" w:tplc="4F9ECF18">
      <w:start w:val="1"/>
      <w:numFmt w:val="bullet"/>
      <w:lvlText w:val=""/>
      <w:lvlJc w:val="left"/>
      <w:pPr>
        <w:ind w:left="4320" w:hanging="360"/>
      </w:pPr>
      <w:rPr>
        <w:rFonts w:ascii="Wingdings" w:hAnsi="Wingdings" w:hint="default"/>
      </w:rPr>
    </w:lvl>
    <w:lvl w:ilvl="6" w:tplc="62B64BC6">
      <w:start w:val="1"/>
      <w:numFmt w:val="bullet"/>
      <w:lvlText w:val=""/>
      <w:lvlJc w:val="left"/>
      <w:pPr>
        <w:ind w:left="5040" w:hanging="360"/>
      </w:pPr>
      <w:rPr>
        <w:rFonts w:ascii="Symbol" w:hAnsi="Symbol" w:hint="default"/>
      </w:rPr>
    </w:lvl>
    <w:lvl w:ilvl="7" w:tplc="7680984E">
      <w:start w:val="1"/>
      <w:numFmt w:val="bullet"/>
      <w:lvlText w:val="o"/>
      <w:lvlJc w:val="left"/>
      <w:pPr>
        <w:ind w:left="5760" w:hanging="360"/>
      </w:pPr>
      <w:rPr>
        <w:rFonts w:ascii="Courier New" w:hAnsi="Courier New" w:cs="Courier New" w:hint="default"/>
      </w:rPr>
    </w:lvl>
    <w:lvl w:ilvl="8" w:tplc="950C5568">
      <w:start w:val="1"/>
      <w:numFmt w:val="bullet"/>
      <w:lvlText w:val=""/>
      <w:lvlJc w:val="left"/>
      <w:pPr>
        <w:ind w:left="6480" w:hanging="360"/>
      </w:pPr>
      <w:rPr>
        <w:rFonts w:ascii="Wingdings" w:hAnsi="Wingdings" w:hint="default"/>
      </w:rPr>
    </w:lvl>
  </w:abstractNum>
  <w:abstractNum w:abstractNumId="8" w15:restartNumberingAfterBreak="0">
    <w:nsid w:val="326C0A62"/>
    <w:multiLevelType w:val="hybridMultilevel"/>
    <w:tmpl w:val="12B63578"/>
    <w:lvl w:ilvl="0" w:tplc="B0EE3B70">
      <w:start w:val="1"/>
      <w:numFmt w:val="bullet"/>
      <w:lvlText w:val=""/>
      <w:lvlJc w:val="left"/>
      <w:pPr>
        <w:ind w:left="720" w:hanging="360"/>
      </w:pPr>
      <w:rPr>
        <w:rFonts w:ascii="Symbol" w:hAnsi="Symbol" w:hint="default"/>
      </w:rPr>
    </w:lvl>
    <w:lvl w:ilvl="1" w:tplc="985C7412">
      <w:start w:val="1"/>
      <w:numFmt w:val="bullet"/>
      <w:lvlText w:val="o"/>
      <w:lvlJc w:val="left"/>
      <w:pPr>
        <w:ind w:left="1440" w:hanging="360"/>
      </w:pPr>
      <w:rPr>
        <w:rFonts w:ascii="Courier New" w:hAnsi="Courier New" w:cs="Courier New" w:hint="default"/>
      </w:rPr>
    </w:lvl>
    <w:lvl w:ilvl="2" w:tplc="409AAEE2">
      <w:start w:val="1"/>
      <w:numFmt w:val="bullet"/>
      <w:lvlText w:val=""/>
      <w:lvlJc w:val="left"/>
      <w:pPr>
        <w:ind w:left="2160" w:hanging="360"/>
      </w:pPr>
      <w:rPr>
        <w:rFonts w:ascii="Wingdings" w:hAnsi="Wingdings" w:hint="default"/>
      </w:rPr>
    </w:lvl>
    <w:lvl w:ilvl="3" w:tplc="AF06246A">
      <w:start w:val="1"/>
      <w:numFmt w:val="bullet"/>
      <w:lvlText w:val=""/>
      <w:lvlJc w:val="left"/>
      <w:pPr>
        <w:ind w:left="2880" w:hanging="360"/>
      </w:pPr>
      <w:rPr>
        <w:rFonts w:ascii="Symbol" w:hAnsi="Symbol" w:hint="default"/>
      </w:rPr>
    </w:lvl>
    <w:lvl w:ilvl="4" w:tplc="705E5B70">
      <w:start w:val="1"/>
      <w:numFmt w:val="bullet"/>
      <w:lvlText w:val="o"/>
      <w:lvlJc w:val="left"/>
      <w:pPr>
        <w:ind w:left="3600" w:hanging="360"/>
      </w:pPr>
      <w:rPr>
        <w:rFonts w:ascii="Courier New" w:hAnsi="Courier New" w:cs="Courier New" w:hint="default"/>
      </w:rPr>
    </w:lvl>
    <w:lvl w:ilvl="5" w:tplc="3726285E">
      <w:start w:val="1"/>
      <w:numFmt w:val="bullet"/>
      <w:lvlText w:val=""/>
      <w:lvlJc w:val="left"/>
      <w:pPr>
        <w:ind w:left="4320" w:hanging="360"/>
      </w:pPr>
      <w:rPr>
        <w:rFonts w:ascii="Wingdings" w:hAnsi="Wingdings" w:hint="default"/>
      </w:rPr>
    </w:lvl>
    <w:lvl w:ilvl="6" w:tplc="216ED96C">
      <w:start w:val="1"/>
      <w:numFmt w:val="bullet"/>
      <w:lvlText w:val=""/>
      <w:lvlJc w:val="left"/>
      <w:pPr>
        <w:ind w:left="5040" w:hanging="360"/>
      </w:pPr>
      <w:rPr>
        <w:rFonts w:ascii="Symbol" w:hAnsi="Symbol" w:hint="default"/>
      </w:rPr>
    </w:lvl>
    <w:lvl w:ilvl="7" w:tplc="BAFE54CE">
      <w:start w:val="1"/>
      <w:numFmt w:val="bullet"/>
      <w:lvlText w:val="o"/>
      <w:lvlJc w:val="left"/>
      <w:pPr>
        <w:ind w:left="5760" w:hanging="360"/>
      </w:pPr>
      <w:rPr>
        <w:rFonts w:ascii="Courier New" w:hAnsi="Courier New" w:cs="Courier New" w:hint="default"/>
      </w:rPr>
    </w:lvl>
    <w:lvl w:ilvl="8" w:tplc="E57C460E">
      <w:start w:val="1"/>
      <w:numFmt w:val="bullet"/>
      <w:lvlText w:val=""/>
      <w:lvlJc w:val="left"/>
      <w:pPr>
        <w:ind w:left="6480" w:hanging="360"/>
      </w:pPr>
      <w:rPr>
        <w:rFonts w:ascii="Wingdings" w:hAnsi="Wingdings" w:hint="default"/>
      </w:rPr>
    </w:lvl>
  </w:abstractNum>
  <w:abstractNum w:abstractNumId="9" w15:restartNumberingAfterBreak="0">
    <w:nsid w:val="332E2C69"/>
    <w:multiLevelType w:val="hybridMultilevel"/>
    <w:tmpl w:val="DE04EFCE"/>
    <w:lvl w:ilvl="0" w:tplc="49D4D93A">
      <w:start w:val="1"/>
      <w:numFmt w:val="bullet"/>
      <w:pStyle w:val="BulletedList"/>
      <w:lvlText w:val=""/>
      <w:lvlJc w:val="left"/>
      <w:pPr>
        <w:tabs>
          <w:tab w:val="num" w:pos="720"/>
        </w:tabs>
        <w:ind w:left="720" w:hanging="360"/>
      </w:pPr>
      <w:rPr>
        <w:rFonts w:ascii="Symbol" w:hAnsi="Symbol" w:hint="default"/>
        <w:sz w:val="16"/>
      </w:rPr>
    </w:lvl>
    <w:lvl w:ilvl="1" w:tplc="003C7756">
      <w:start w:val="1"/>
      <w:numFmt w:val="bullet"/>
      <w:lvlText w:val="o"/>
      <w:lvlJc w:val="left"/>
      <w:pPr>
        <w:tabs>
          <w:tab w:val="num" w:pos="1440"/>
        </w:tabs>
        <w:ind w:left="1440" w:hanging="360"/>
      </w:pPr>
      <w:rPr>
        <w:rFonts w:ascii="Courier New" w:hAnsi="Courier New" w:hint="default"/>
      </w:rPr>
    </w:lvl>
    <w:lvl w:ilvl="2" w:tplc="BBEAA884">
      <w:start w:val="1"/>
      <w:numFmt w:val="bullet"/>
      <w:lvlText w:val=""/>
      <w:lvlJc w:val="left"/>
      <w:pPr>
        <w:tabs>
          <w:tab w:val="num" w:pos="2160"/>
        </w:tabs>
        <w:ind w:left="2160" w:hanging="360"/>
      </w:pPr>
      <w:rPr>
        <w:rFonts w:ascii="Wingdings" w:hAnsi="Wingdings" w:hint="default"/>
      </w:rPr>
    </w:lvl>
    <w:lvl w:ilvl="3" w:tplc="6226C07A">
      <w:start w:val="1"/>
      <w:numFmt w:val="bullet"/>
      <w:lvlText w:val=""/>
      <w:lvlJc w:val="left"/>
      <w:pPr>
        <w:tabs>
          <w:tab w:val="num" w:pos="2880"/>
        </w:tabs>
        <w:ind w:left="2880" w:hanging="360"/>
      </w:pPr>
      <w:rPr>
        <w:rFonts w:ascii="Symbol" w:hAnsi="Symbol" w:hint="default"/>
      </w:rPr>
    </w:lvl>
    <w:lvl w:ilvl="4" w:tplc="B5225804">
      <w:start w:val="1"/>
      <w:numFmt w:val="bullet"/>
      <w:lvlText w:val="o"/>
      <w:lvlJc w:val="left"/>
      <w:pPr>
        <w:tabs>
          <w:tab w:val="num" w:pos="3600"/>
        </w:tabs>
        <w:ind w:left="3600" w:hanging="360"/>
      </w:pPr>
      <w:rPr>
        <w:rFonts w:ascii="Courier New" w:hAnsi="Courier New" w:hint="default"/>
      </w:rPr>
    </w:lvl>
    <w:lvl w:ilvl="5" w:tplc="F61667FE">
      <w:start w:val="1"/>
      <w:numFmt w:val="bullet"/>
      <w:lvlText w:val=""/>
      <w:lvlJc w:val="left"/>
      <w:pPr>
        <w:tabs>
          <w:tab w:val="num" w:pos="4320"/>
        </w:tabs>
        <w:ind w:left="4320" w:hanging="360"/>
      </w:pPr>
      <w:rPr>
        <w:rFonts w:ascii="Wingdings" w:hAnsi="Wingdings" w:hint="default"/>
      </w:rPr>
    </w:lvl>
    <w:lvl w:ilvl="6" w:tplc="1CFAFF96">
      <w:start w:val="1"/>
      <w:numFmt w:val="bullet"/>
      <w:lvlText w:val=""/>
      <w:lvlJc w:val="left"/>
      <w:pPr>
        <w:tabs>
          <w:tab w:val="num" w:pos="5040"/>
        </w:tabs>
        <w:ind w:left="5040" w:hanging="360"/>
      </w:pPr>
      <w:rPr>
        <w:rFonts w:ascii="Symbol" w:hAnsi="Symbol" w:hint="default"/>
      </w:rPr>
    </w:lvl>
    <w:lvl w:ilvl="7" w:tplc="A8B6C720">
      <w:start w:val="1"/>
      <w:numFmt w:val="bullet"/>
      <w:lvlText w:val="o"/>
      <w:lvlJc w:val="left"/>
      <w:pPr>
        <w:tabs>
          <w:tab w:val="num" w:pos="5760"/>
        </w:tabs>
        <w:ind w:left="5760" w:hanging="360"/>
      </w:pPr>
      <w:rPr>
        <w:rFonts w:ascii="Courier New" w:hAnsi="Courier New" w:hint="default"/>
      </w:rPr>
    </w:lvl>
    <w:lvl w:ilvl="8" w:tplc="CA769C2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483209"/>
    <w:multiLevelType w:val="multilevel"/>
    <w:tmpl w:val="6780F92A"/>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386A7C44"/>
    <w:multiLevelType w:val="hybridMultilevel"/>
    <w:tmpl w:val="3EC6A1C0"/>
    <w:lvl w:ilvl="0" w:tplc="BCEA00AE">
      <w:start w:val="1"/>
      <w:numFmt w:val="decimal"/>
      <w:pStyle w:val="NumberedList"/>
      <w:lvlText w:val="%1."/>
      <w:lvlJc w:val="left"/>
      <w:pPr>
        <w:tabs>
          <w:tab w:val="num" w:pos="720"/>
        </w:tabs>
        <w:ind w:left="720" w:hanging="360"/>
      </w:pPr>
      <w:rPr>
        <w:rFonts w:ascii="Verdana" w:hAnsi="Verdana" w:cs="Times New Roman" w:hint="default"/>
        <w:sz w:val="16"/>
        <w:szCs w:val="16"/>
      </w:rPr>
    </w:lvl>
    <w:lvl w:ilvl="1" w:tplc="8E7EE548">
      <w:start w:val="1"/>
      <w:numFmt w:val="lowerLetter"/>
      <w:lvlText w:val="%2."/>
      <w:lvlJc w:val="left"/>
      <w:pPr>
        <w:tabs>
          <w:tab w:val="num" w:pos="1440"/>
        </w:tabs>
        <w:ind w:left="1440" w:hanging="360"/>
      </w:pPr>
      <w:rPr>
        <w:rFonts w:cs="Times New Roman"/>
      </w:rPr>
    </w:lvl>
    <w:lvl w:ilvl="2" w:tplc="8208D082">
      <w:start w:val="1"/>
      <w:numFmt w:val="lowerRoman"/>
      <w:lvlText w:val="%3."/>
      <w:lvlJc w:val="right"/>
      <w:pPr>
        <w:tabs>
          <w:tab w:val="num" w:pos="2160"/>
        </w:tabs>
        <w:ind w:left="2160" w:hanging="180"/>
      </w:pPr>
      <w:rPr>
        <w:rFonts w:cs="Times New Roman"/>
      </w:rPr>
    </w:lvl>
    <w:lvl w:ilvl="3" w:tplc="BFD87004">
      <w:start w:val="1"/>
      <w:numFmt w:val="decimal"/>
      <w:lvlText w:val="%4."/>
      <w:lvlJc w:val="left"/>
      <w:pPr>
        <w:tabs>
          <w:tab w:val="num" w:pos="2880"/>
        </w:tabs>
        <w:ind w:left="2880" w:hanging="360"/>
      </w:pPr>
      <w:rPr>
        <w:rFonts w:cs="Times New Roman"/>
      </w:rPr>
    </w:lvl>
    <w:lvl w:ilvl="4" w:tplc="B9DE19B6">
      <w:start w:val="1"/>
      <w:numFmt w:val="lowerLetter"/>
      <w:lvlText w:val="%5."/>
      <w:lvlJc w:val="left"/>
      <w:pPr>
        <w:tabs>
          <w:tab w:val="num" w:pos="3600"/>
        </w:tabs>
        <w:ind w:left="3600" w:hanging="360"/>
      </w:pPr>
      <w:rPr>
        <w:rFonts w:cs="Times New Roman"/>
      </w:rPr>
    </w:lvl>
    <w:lvl w:ilvl="5" w:tplc="CCAEB9C0">
      <w:start w:val="1"/>
      <w:numFmt w:val="lowerRoman"/>
      <w:lvlText w:val="%6."/>
      <w:lvlJc w:val="right"/>
      <w:pPr>
        <w:tabs>
          <w:tab w:val="num" w:pos="4320"/>
        </w:tabs>
        <w:ind w:left="4320" w:hanging="180"/>
      </w:pPr>
      <w:rPr>
        <w:rFonts w:cs="Times New Roman"/>
      </w:rPr>
    </w:lvl>
    <w:lvl w:ilvl="6" w:tplc="93A81D32">
      <w:start w:val="1"/>
      <w:numFmt w:val="decimal"/>
      <w:lvlText w:val="%7."/>
      <w:lvlJc w:val="left"/>
      <w:pPr>
        <w:tabs>
          <w:tab w:val="num" w:pos="5040"/>
        </w:tabs>
        <w:ind w:left="5040" w:hanging="360"/>
      </w:pPr>
      <w:rPr>
        <w:rFonts w:cs="Times New Roman"/>
      </w:rPr>
    </w:lvl>
    <w:lvl w:ilvl="7" w:tplc="86A4D232">
      <w:start w:val="1"/>
      <w:numFmt w:val="lowerLetter"/>
      <w:lvlText w:val="%8."/>
      <w:lvlJc w:val="left"/>
      <w:pPr>
        <w:tabs>
          <w:tab w:val="num" w:pos="5760"/>
        </w:tabs>
        <w:ind w:left="5760" w:hanging="360"/>
      </w:pPr>
      <w:rPr>
        <w:rFonts w:cs="Times New Roman"/>
      </w:rPr>
    </w:lvl>
    <w:lvl w:ilvl="8" w:tplc="7D1E747E">
      <w:start w:val="1"/>
      <w:numFmt w:val="lowerRoman"/>
      <w:lvlText w:val="%9."/>
      <w:lvlJc w:val="right"/>
      <w:pPr>
        <w:tabs>
          <w:tab w:val="num" w:pos="6480"/>
        </w:tabs>
        <w:ind w:left="6480" w:hanging="180"/>
      </w:pPr>
      <w:rPr>
        <w:rFonts w:cs="Times New Roman"/>
      </w:rPr>
    </w:lvl>
  </w:abstractNum>
  <w:abstractNum w:abstractNumId="12" w15:restartNumberingAfterBreak="0">
    <w:nsid w:val="3E311555"/>
    <w:multiLevelType w:val="hybridMultilevel"/>
    <w:tmpl w:val="2CC6F57A"/>
    <w:lvl w:ilvl="0" w:tplc="DDC0CD50">
      <w:start w:val="1"/>
      <w:numFmt w:val="bullet"/>
      <w:lvlText w:val=""/>
      <w:lvlJc w:val="left"/>
      <w:pPr>
        <w:ind w:left="720" w:hanging="360"/>
      </w:pPr>
      <w:rPr>
        <w:rFonts w:ascii="Symbol" w:hAnsi="Symbol" w:hint="default"/>
      </w:rPr>
    </w:lvl>
    <w:lvl w:ilvl="1" w:tplc="1F543AC0">
      <w:start w:val="1"/>
      <w:numFmt w:val="bullet"/>
      <w:lvlText w:val="o"/>
      <w:lvlJc w:val="left"/>
      <w:pPr>
        <w:ind w:left="1440" w:hanging="360"/>
      </w:pPr>
      <w:rPr>
        <w:rFonts w:ascii="Courier New" w:hAnsi="Courier New" w:cs="Courier New" w:hint="default"/>
      </w:rPr>
    </w:lvl>
    <w:lvl w:ilvl="2" w:tplc="470C058C">
      <w:start w:val="1"/>
      <w:numFmt w:val="bullet"/>
      <w:lvlText w:val=""/>
      <w:lvlJc w:val="left"/>
      <w:pPr>
        <w:ind w:left="2160" w:hanging="360"/>
      </w:pPr>
      <w:rPr>
        <w:rFonts w:ascii="Wingdings" w:hAnsi="Wingdings" w:hint="default"/>
      </w:rPr>
    </w:lvl>
    <w:lvl w:ilvl="3" w:tplc="08D2DC70">
      <w:start w:val="1"/>
      <w:numFmt w:val="bullet"/>
      <w:lvlText w:val=""/>
      <w:lvlJc w:val="left"/>
      <w:pPr>
        <w:ind w:left="2880" w:hanging="360"/>
      </w:pPr>
      <w:rPr>
        <w:rFonts w:ascii="Symbol" w:hAnsi="Symbol" w:hint="default"/>
      </w:rPr>
    </w:lvl>
    <w:lvl w:ilvl="4" w:tplc="4030D810">
      <w:start w:val="1"/>
      <w:numFmt w:val="bullet"/>
      <w:lvlText w:val="o"/>
      <w:lvlJc w:val="left"/>
      <w:pPr>
        <w:ind w:left="3600" w:hanging="360"/>
      </w:pPr>
      <w:rPr>
        <w:rFonts w:ascii="Courier New" w:hAnsi="Courier New" w:cs="Courier New" w:hint="default"/>
      </w:rPr>
    </w:lvl>
    <w:lvl w:ilvl="5" w:tplc="6EA2A5FA">
      <w:start w:val="1"/>
      <w:numFmt w:val="bullet"/>
      <w:lvlText w:val=""/>
      <w:lvlJc w:val="left"/>
      <w:pPr>
        <w:ind w:left="4320" w:hanging="360"/>
      </w:pPr>
      <w:rPr>
        <w:rFonts w:ascii="Wingdings" w:hAnsi="Wingdings" w:hint="default"/>
      </w:rPr>
    </w:lvl>
    <w:lvl w:ilvl="6" w:tplc="F0F45822">
      <w:start w:val="1"/>
      <w:numFmt w:val="bullet"/>
      <w:lvlText w:val=""/>
      <w:lvlJc w:val="left"/>
      <w:pPr>
        <w:ind w:left="5040" w:hanging="360"/>
      </w:pPr>
      <w:rPr>
        <w:rFonts w:ascii="Symbol" w:hAnsi="Symbol" w:hint="default"/>
      </w:rPr>
    </w:lvl>
    <w:lvl w:ilvl="7" w:tplc="A01CDBC8">
      <w:start w:val="1"/>
      <w:numFmt w:val="bullet"/>
      <w:lvlText w:val="o"/>
      <w:lvlJc w:val="left"/>
      <w:pPr>
        <w:ind w:left="5760" w:hanging="360"/>
      </w:pPr>
      <w:rPr>
        <w:rFonts w:ascii="Courier New" w:hAnsi="Courier New" w:cs="Courier New" w:hint="default"/>
      </w:rPr>
    </w:lvl>
    <w:lvl w:ilvl="8" w:tplc="2DEADD8A">
      <w:start w:val="1"/>
      <w:numFmt w:val="bullet"/>
      <w:lvlText w:val=""/>
      <w:lvlJc w:val="left"/>
      <w:pPr>
        <w:ind w:left="6480" w:hanging="360"/>
      </w:pPr>
      <w:rPr>
        <w:rFonts w:ascii="Wingdings" w:hAnsi="Wingdings" w:hint="default"/>
      </w:rPr>
    </w:lvl>
  </w:abstractNum>
  <w:abstractNum w:abstractNumId="13" w15:restartNumberingAfterBreak="0">
    <w:nsid w:val="443157EB"/>
    <w:multiLevelType w:val="hybridMultilevel"/>
    <w:tmpl w:val="43C08E5C"/>
    <w:lvl w:ilvl="0" w:tplc="E102B38A">
      <w:start w:val="1"/>
      <w:numFmt w:val="bullet"/>
      <w:pStyle w:val="Liste1"/>
      <w:lvlText w:val=""/>
      <w:lvlJc w:val="left"/>
      <w:pPr>
        <w:tabs>
          <w:tab w:val="num" w:pos="360"/>
        </w:tabs>
        <w:ind w:left="360" w:hanging="360"/>
      </w:pPr>
      <w:rPr>
        <w:rFonts w:ascii="Symbol" w:hAnsi="Symbol" w:hint="default"/>
      </w:rPr>
    </w:lvl>
    <w:lvl w:ilvl="1" w:tplc="6388B04A">
      <w:start w:val="1"/>
      <w:numFmt w:val="bullet"/>
      <w:lvlText w:val="o"/>
      <w:lvlJc w:val="left"/>
      <w:pPr>
        <w:tabs>
          <w:tab w:val="num" w:pos="1080"/>
        </w:tabs>
        <w:ind w:left="1080" w:hanging="360"/>
      </w:pPr>
      <w:rPr>
        <w:rFonts w:ascii="Courier New" w:hAnsi="Courier New" w:cs="Courier New" w:hint="default"/>
      </w:rPr>
    </w:lvl>
    <w:lvl w:ilvl="2" w:tplc="74C29530">
      <w:start w:val="1"/>
      <w:numFmt w:val="bullet"/>
      <w:lvlText w:val=""/>
      <w:lvlJc w:val="left"/>
      <w:pPr>
        <w:tabs>
          <w:tab w:val="num" w:pos="1800"/>
        </w:tabs>
        <w:ind w:left="1800" w:hanging="360"/>
      </w:pPr>
      <w:rPr>
        <w:rFonts w:ascii="Wingdings" w:hAnsi="Wingdings" w:hint="default"/>
      </w:rPr>
    </w:lvl>
    <w:lvl w:ilvl="3" w:tplc="EDB28124">
      <w:start w:val="1"/>
      <w:numFmt w:val="bullet"/>
      <w:lvlText w:val=""/>
      <w:lvlJc w:val="left"/>
      <w:pPr>
        <w:tabs>
          <w:tab w:val="num" w:pos="2520"/>
        </w:tabs>
        <w:ind w:left="2520" w:hanging="360"/>
      </w:pPr>
      <w:rPr>
        <w:rFonts w:ascii="Symbol" w:hAnsi="Symbol" w:hint="default"/>
      </w:rPr>
    </w:lvl>
    <w:lvl w:ilvl="4" w:tplc="ABF8D5F0">
      <w:start w:val="1"/>
      <w:numFmt w:val="bullet"/>
      <w:lvlText w:val="o"/>
      <w:lvlJc w:val="left"/>
      <w:pPr>
        <w:tabs>
          <w:tab w:val="num" w:pos="3240"/>
        </w:tabs>
        <w:ind w:left="3240" w:hanging="360"/>
      </w:pPr>
      <w:rPr>
        <w:rFonts w:ascii="Courier New" w:hAnsi="Courier New" w:cs="Courier New" w:hint="default"/>
      </w:rPr>
    </w:lvl>
    <w:lvl w:ilvl="5" w:tplc="DDF493AA">
      <w:start w:val="1"/>
      <w:numFmt w:val="bullet"/>
      <w:lvlText w:val=""/>
      <w:lvlJc w:val="left"/>
      <w:pPr>
        <w:tabs>
          <w:tab w:val="num" w:pos="3960"/>
        </w:tabs>
        <w:ind w:left="3960" w:hanging="360"/>
      </w:pPr>
      <w:rPr>
        <w:rFonts w:ascii="Wingdings" w:hAnsi="Wingdings" w:hint="default"/>
      </w:rPr>
    </w:lvl>
    <w:lvl w:ilvl="6" w:tplc="83E20B60">
      <w:start w:val="1"/>
      <w:numFmt w:val="bullet"/>
      <w:lvlText w:val=""/>
      <w:lvlJc w:val="left"/>
      <w:pPr>
        <w:tabs>
          <w:tab w:val="num" w:pos="4680"/>
        </w:tabs>
        <w:ind w:left="4680" w:hanging="360"/>
      </w:pPr>
      <w:rPr>
        <w:rFonts w:ascii="Symbol" w:hAnsi="Symbol" w:hint="default"/>
      </w:rPr>
    </w:lvl>
    <w:lvl w:ilvl="7" w:tplc="DFAEB598">
      <w:start w:val="1"/>
      <w:numFmt w:val="bullet"/>
      <w:lvlText w:val="o"/>
      <w:lvlJc w:val="left"/>
      <w:pPr>
        <w:tabs>
          <w:tab w:val="num" w:pos="5400"/>
        </w:tabs>
        <w:ind w:left="5400" w:hanging="360"/>
      </w:pPr>
      <w:rPr>
        <w:rFonts w:ascii="Courier New" w:hAnsi="Courier New" w:cs="Courier New" w:hint="default"/>
      </w:rPr>
    </w:lvl>
    <w:lvl w:ilvl="8" w:tplc="35F430BC">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5EC41F9"/>
    <w:multiLevelType w:val="hybridMultilevel"/>
    <w:tmpl w:val="7424FBE2"/>
    <w:lvl w:ilvl="0" w:tplc="9530BB2A">
      <w:start w:val="1"/>
      <w:numFmt w:val="bullet"/>
      <w:lvlText w:val=""/>
      <w:lvlJc w:val="left"/>
      <w:pPr>
        <w:ind w:left="720" w:hanging="360"/>
      </w:pPr>
      <w:rPr>
        <w:rFonts w:ascii="Symbol" w:hAnsi="Symbol" w:hint="default"/>
      </w:rPr>
    </w:lvl>
    <w:lvl w:ilvl="1" w:tplc="B3D20D46">
      <w:start w:val="1"/>
      <w:numFmt w:val="bullet"/>
      <w:lvlText w:val="o"/>
      <w:lvlJc w:val="left"/>
      <w:pPr>
        <w:ind w:left="1440" w:hanging="360"/>
      </w:pPr>
      <w:rPr>
        <w:rFonts w:ascii="Courier New" w:hAnsi="Courier New" w:cs="Courier New" w:hint="default"/>
      </w:rPr>
    </w:lvl>
    <w:lvl w:ilvl="2" w:tplc="A93CD46C">
      <w:start w:val="1"/>
      <w:numFmt w:val="bullet"/>
      <w:lvlText w:val=""/>
      <w:lvlJc w:val="left"/>
      <w:pPr>
        <w:ind w:left="2160" w:hanging="360"/>
      </w:pPr>
      <w:rPr>
        <w:rFonts w:ascii="Wingdings" w:hAnsi="Wingdings" w:hint="default"/>
      </w:rPr>
    </w:lvl>
    <w:lvl w:ilvl="3" w:tplc="C2B8A25C">
      <w:start w:val="1"/>
      <w:numFmt w:val="bullet"/>
      <w:lvlText w:val=""/>
      <w:lvlJc w:val="left"/>
      <w:pPr>
        <w:ind w:left="2880" w:hanging="360"/>
      </w:pPr>
      <w:rPr>
        <w:rFonts w:ascii="Symbol" w:hAnsi="Symbol" w:hint="default"/>
      </w:rPr>
    </w:lvl>
    <w:lvl w:ilvl="4" w:tplc="24A0980A">
      <w:start w:val="1"/>
      <w:numFmt w:val="bullet"/>
      <w:lvlText w:val="o"/>
      <w:lvlJc w:val="left"/>
      <w:pPr>
        <w:ind w:left="3600" w:hanging="360"/>
      </w:pPr>
      <w:rPr>
        <w:rFonts w:ascii="Courier New" w:hAnsi="Courier New" w:cs="Courier New" w:hint="default"/>
      </w:rPr>
    </w:lvl>
    <w:lvl w:ilvl="5" w:tplc="42D8C5D6">
      <w:start w:val="1"/>
      <w:numFmt w:val="bullet"/>
      <w:lvlText w:val=""/>
      <w:lvlJc w:val="left"/>
      <w:pPr>
        <w:ind w:left="4320" w:hanging="360"/>
      </w:pPr>
      <w:rPr>
        <w:rFonts w:ascii="Wingdings" w:hAnsi="Wingdings" w:hint="default"/>
      </w:rPr>
    </w:lvl>
    <w:lvl w:ilvl="6" w:tplc="4C0A7E46">
      <w:start w:val="1"/>
      <w:numFmt w:val="bullet"/>
      <w:lvlText w:val=""/>
      <w:lvlJc w:val="left"/>
      <w:pPr>
        <w:ind w:left="5040" w:hanging="360"/>
      </w:pPr>
      <w:rPr>
        <w:rFonts w:ascii="Symbol" w:hAnsi="Symbol" w:hint="default"/>
      </w:rPr>
    </w:lvl>
    <w:lvl w:ilvl="7" w:tplc="AE129422">
      <w:start w:val="1"/>
      <w:numFmt w:val="bullet"/>
      <w:lvlText w:val="o"/>
      <w:lvlJc w:val="left"/>
      <w:pPr>
        <w:ind w:left="5760" w:hanging="360"/>
      </w:pPr>
      <w:rPr>
        <w:rFonts w:ascii="Courier New" w:hAnsi="Courier New" w:cs="Courier New" w:hint="default"/>
      </w:rPr>
    </w:lvl>
    <w:lvl w:ilvl="8" w:tplc="745C69DA">
      <w:start w:val="1"/>
      <w:numFmt w:val="bullet"/>
      <w:lvlText w:val=""/>
      <w:lvlJc w:val="left"/>
      <w:pPr>
        <w:ind w:left="6480" w:hanging="360"/>
      </w:pPr>
      <w:rPr>
        <w:rFonts w:ascii="Wingdings" w:hAnsi="Wingdings" w:hint="default"/>
      </w:rPr>
    </w:lvl>
  </w:abstractNum>
  <w:abstractNum w:abstractNumId="15" w15:restartNumberingAfterBreak="0">
    <w:nsid w:val="4673635C"/>
    <w:multiLevelType w:val="hybridMultilevel"/>
    <w:tmpl w:val="08C8480C"/>
    <w:lvl w:ilvl="0" w:tplc="56CEB77E">
      <w:start w:val="1"/>
      <w:numFmt w:val="decimal"/>
      <w:pStyle w:val="Lgende"/>
      <w:lvlText w:val="*"/>
      <w:lvlJc w:val="left"/>
      <w:rPr>
        <w:rFonts w:cs="Times New Roman"/>
      </w:rPr>
    </w:lvl>
    <w:lvl w:ilvl="1" w:tplc="F0F44072">
      <w:start w:val="1"/>
      <w:numFmt w:val="bullet"/>
      <w:lvlText w:val="o"/>
      <w:lvlJc w:val="left"/>
      <w:pPr>
        <w:ind w:left="1440" w:hanging="360"/>
      </w:pPr>
      <w:rPr>
        <w:rFonts w:ascii="Courier New" w:eastAsia="Courier New" w:hAnsi="Courier New" w:cs="Courier New" w:hint="default"/>
      </w:rPr>
    </w:lvl>
    <w:lvl w:ilvl="2" w:tplc="D01C6DAA">
      <w:start w:val="1"/>
      <w:numFmt w:val="bullet"/>
      <w:lvlText w:val="§"/>
      <w:lvlJc w:val="left"/>
      <w:pPr>
        <w:ind w:left="2160" w:hanging="360"/>
      </w:pPr>
      <w:rPr>
        <w:rFonts w:ascii="Wingdings" w:eastAsia="Wingdings" w:hAnsi="Wingdings" w:cs="Wingdings" w:hint="default"/>
      </w:rPr>
    </w:lvl>
    <w:lvl w:ilvl="3" w:tplc="811A5212">
      <w:start w:val="1"/>
      <w:numFmt w:val="bullet"/>
      <w:lvlText w:val="·"/>
      <w:lvlJc w:val="left"/>
      <w:pPr>
        <w:ind w:left="2880" w:hanging="360"/>
      </w:pPr>
      <w:rPr>
        <w:rFonts w:ascii="Symbol" w:eastAsia="Symbol" w:hAnsi="Symbol" w:cs="Symbol" w:hint="default"/>
      </w:rPr>
    </w:lvl>
    <w:lvl w:ilvl="4" w:tplc="F858DD26">
      <w:start w:val="1"/>
      <w:numFmt w:val="bullet"/>
      <w:lvlText w:val="o"/>
      <w:lvlJc w:val="left"/>
      <w:pPr>
        <w:ind w:left="3600" w:hanging="360"/>
      </w:pPr>
      <w:rPr>
        <w:rFonts w:ascii="Courier New" w:eastAsia="Courier New" w:hAnsi="Courier New" w:cs="Courier New" w:hint="default"/>
      </w:rPr>
    </w:lvl>
    <w:lvl w:ilvl="5" w:tplc="AF003F28">
      <w:start w:val="1"/>
      <w:numFmt w:val="bullet"/>
      <w:lvlText w:val="§"/>
      <w:lvlJc w:val="left"/>
      <w:pPr>
        <w:ind w:left="4320" w:hanging="360"/>
      </w:pPr>
      <w:rPr>
        <w:rFonts w:ascii="Wingdings" w:eastAsia="Wingdings" w:hAnsi="Wingdings" w:cs="Wingdings" w:hint="default"/>
      </w:rPr>
    </w:lvl>
    <w:lvl w:ilvl="6" w:tplc="35C8B648">
      <w:start w:val="1"/>
      <w:numFmt w:val="bullet"/>
      <w:lvlText w:val="·"/>
      <w:lvlJc w:val="left"/>
      <w:pPr>
        <w:ind w:left="5040" w:hanging="360"/>
      </w:pPr>
      <w:rPr>
        <w:rFonts w:ascii="Symbol" w:eastAsia="Symbol" w:hAnsi="Symbol" w:cs="Symbol" w:hint="default"/>
      </w:rPr>
    </w:lvl>
    <w:lvl w:ilvl="7" w:tplc="940CF894">
      <w:start w:val="1"/>
      <w:numFmt w:val="bullet"/>
      <w:lvlText w:val="o"/>
      <w:lvlJc w:val="left"/>
      <w:pPr>
        <w:ind w:left="5760" w:hanging="360"/>
      </w:pPr>
      <w:rPr>
        <w:rFonts w:ascii="Courier New" w:eastAsia="Courier New" w:hAnsi="Courier New" w:cs="Courier New" w:hint="default"/>
      </w:rPr>
    </w:lvl>
    <w:lvl w:ilvl="8" w:tplc="F1284526">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C8C4CD3"/>
    <w:multiLevelType w:val="hybridMultilevel"/>
    <w:tmpl w:val="EE362D60"/>
    <w:lvl w:ilvl="0" w:tplc="2B84F028">
      <w:start w:val="1"/>
      <w:numFmt w:val="bullet"/>
      <w:lvlText w:val=""/>
      <w:lvlJc w:val="left"/>
      <w:pPr>
        <w:ind w:left="720" w:hanging="360"/>
      </w:pPr>
      <w:rPr>
        <w:rFonts w:ascii="Symbol" w:hAnsi="Symbol" w:hint="default"/>
      </w:rPr>
    </w:lvl>
    <w:lvl w:ilvl="1" w:tplc="EDC8CD44">
      <w:start w:val="1"/>
      <w:numFmt w:val="bullet"/>
      <w:lvlText w:val="o"/>
      <w:lvlJc w:val="left"/>
      <w:pPr>
        <w:ind w:left="1440" w:hanging="360"/>
      </w:pPr>
      <w:rPr>
        <w:rFonts w:ascii="Courier New" w:hAnsi="Courier New" w:cs="Courier New" w:hint="default"/>
      </w:rPr>
    </w:lvl>
    <w:lvl w:ilvl="2" w:tplc="53CC2670">
      <w:start w:val="1"/>
      <w:numFmt w:val="bullet"/>
      <w:lvlText w:val=""/>
      <w:lvlJc w:val="left"/>
      <w:pPr>
        <w:ind w:left="2160" w:hanging="360"/>
      </w:pPr>
      <w:rPr>
        <w:rFonts w:ascii="Wingdings" w:hAnsi="Wingdings" w:hint="default"/>
      </w:rPr>
    </w:lvl>
    <w:lvl w:ilvl="3" w:tplc="E158936A">
      <w:start w:val="1"/>
      <w:numFmt w:val="bullet"/>
      <w:lvlText w:val=""/>
      <w:lvlJc w:val="left"/>
      <w:pPr>
        <w:ind w:left="2880" w:hanging="360"/>
      </w:pPr>
      <w:rPr>
        <w:rFonts w:ascii="Symbol" w:hAnsi="Symbol" w:hint="default"/>
      </w:rPr>
    </w:lvl>
    <w:lvl w:ilvl="4" w:tplc="F20EA0D8">
      <w:start w:val="1"/>
      <w:numFmt w:val="bullet"/>
      <w:lvlText w:val="o"/>
      <w:lvlJc w:val="left"/>
      <w:pPr>
        <w:ind w:left="3600" w:hanging="360"/>
      </w:pPr>
      <w:rPr>
        <w:rFonts w:ascii="Courier New" w:hAnsi="Courier New" w:cs="Courier New" w:hint="default"/>
      </w:rPr>
    </w:lvl>
    <w:lvl w:ilvl="5" w:tplc="0EC29490">
      <w:start w:val="1"/>
      <w:numFmt w:val="bullet"/>
      <w:lvlText w:val=""/>
      <w:lvlJc w:val="left"/>
      <w:pPr>
        <w:ind w:left="4320" w:hanging="360"/>
      </w:pPr>
      <w:rPr>
        <w:rFonts w:ascii="Wingdings" w:hAnsi="Wingdings" w:hint="default"/>
      </w:rPr>
    </w:lvl>
    <w:lvl w:ilvl="6" w:tplc="DBC6DA1E">
      <w:start w:val="1"/>
      <w:numFmt w:val="bullet"/>
      <w:lvlText w:val=""/>
      <w:lvlJc w:val="left"/>
      <w:pPr>
        <w:ind w:left="5040" w:hanging="360"/>
      </w:pPr>
      <w:rPr>
        <w:rFonts w:ascii="Symbol" w:hAnsi="Symbol" w:hint="default"/>
      </w:rPr>
    </w:lvl>
    <w:lvl w:ilvl="7" w:tplc="68E48534">
      <w:start w:val="1"/>
      <w:numFmt w:val="bullet"/>
      <w:lvlText w:val="o"/>
      <w:lvlJc w:val="left"/>
      <w:pPr>
        <w:ind w:left="5760" w:hanging="360"/>
      </w:pPr>
      <w:rPr>
        <w:rFonts w:ascii="Courier New" w:hAnsi="Courier New" w:cs="Courier New" w:hint="default"/>
      </w:rPr>
    </w:lvl>
    <w:lvl w:ilvl="8" w:tplc="A962B758">
      <w:start w:val="1"/>
      <w:numFmt w:val="bullet"/>
      <w:lvlText w:val=""/>
      <w:lvlJc w:val="left"/>
      <w:pPr>
        <w:ind w:left="6480" w:hanging="360"/>
      </w:pPr>
      <w:rPr>
        <w:rFonts w:ascii="Wingdings" w:hAnsi="Wingdings" w:hint="default"/>
      </w:rPr>
    </w:lvl>
  </w:abstractNum>
  <w:abstractNum w:abstractNumId="17" w15:restartNumberingAfterBreak="0">
    <w:nsid w:val="5015073B"/>
    <w:multiLevelType w:val="hybridMultilevel"/>
    <w:tmpl w:val="0568A4D0"/>
    <w:lvl w:ilvl="0" w:tplc="5F804EEA">
      <w:start w:val="1"/>
      <w:numFmt w:val="bullet"/>
      <w:lvlText w:val=""/>
      <w:lvlJc w:val="left"/>
      <w:pPr>
        <w:ind w:left="720" w:hanging="360"/>
      </w:pPr>
      <w:rPr>
        <w:rFonts w:ascii="Symbol" w:hAnsi="Symbol" w:hint="default"/>
        <w:sz w:val="16"/>
        <w:szCs w:val="16"/>
      </w:rPr>
    </w:lvl>
    <w:lvl w:ilvl="1" w:tplc="E59A04C0">
      <w:start w:val="1"/>
      <w:numFmt w:val="bullet"/>
      <w:lvlText w:val="o"/>
      <w:lvlJc w:val="left"/>
      <w:pPr>
        <w:ind w:left="1440" w:hanging="360"/>
      </w:pPr>
      <w:rPr>
        <w:rFonts w:ascii="Courier New" w:hAnsi="Courier New" w:cs="Courier New" w:hint="default"/>
      </w:rPr>
    </w:lvl>
    <w:lvl w:ilvl="2" w:tplc="968E6CCA">
      <w:start w:val="1"/>
      <w:numFmt w:val="bullet"/>
      <w:lvlText w:val=""/>
      <w:lvlJc w:val="left"/>
      <w:pPr>
        <w:ind w:left="2160" w:hanging="360"/>
      </w:pPr>
      <w:rPr>
        <w:rFonts w:ascii="Wingdings" w:hAnsi="Wingdings" w:hint="default"/>
      </w:rPr>
    </w:lvl>
    <w:lvl w:ilvl="3" w:tplc="DCE6F9B0">
      <w:start w:val="1"/>
      <w:numFmt w:val="bullet"/>
      <w:lvlText w:val=""/>
      <w:lvlJc w:val="left"/>
      <w:pPr>
        <w:ind w:left="2880" w:hanging="360"/>
      </w:pPr>
      <w:rPr>
        <w:rFonts w:ascii="Symbol" w:hAnsi="Symbol" w:hint="default"/>
      </w:rPr>
    </w:lvl>
    <w:lvl w:ilvl="4" w:tplc="5A84CE08">
      <w:start w:val="1"/>
      <w:numFmt w:val="bullet"/>
      <w:lvlText w:val="o"/>
      <w:lvlJc w:val="left"/>
      <w:pPr>
        <w:ind w:left="3600" w:hanging="360"/>
      </w:pPr>
      <w:rPr>
        <w:rFonts w:ascii="Courier New" w:hAnsi="Courier New" w:cs="Courier New" w:hint="default"/>
      </w:rPr>
    </w:lvl>
    <w:lvl w:ilvl="5" w:tplc="A984B55A">
      <w:start w:val="1"/>
      <w:numFmt w:val="bullet"/>
      <w:lvlText w:val=""/>
      <w:lvlJc w:val="left"/>
      <w:pPr>
        <w:ind w:left="4320" w:hanging="360"/>
      </w:pPr>
      <w:rPr>
        <w:rFonts w:ascii="Wingdings" w:hAnsi="Wingdings" w:hint="default"/>
      </w:rPr>
    </w:lvl>
    <w:lvl w:ilvl="6" w:tplc="DE9A7C16">
      <w:start w:val="1"/>
      <w:numFmt w:val="bullet"/>
      <w:lvlText w:val=""/>
      <w:lvlJc w:val="left"/>
      <w:pPr>
        <w:ind w:left="5040" w:hanging="360"/>
      </w:pPr>
      <w:rPr>
        <w:rFonts w:ascii="Symbol" w:hAnsi="Symbol" w:hint="default"/>
      </w:rPr>
    </w:lvl>
    <w:lvl w:ilvl="7" w:tplc="EE6AD9CE">
      <w:start w:val="1"/>
      <w:numFmt w:val="bullet"/>
      <w:lvlText w:val="o"/>
      <w:lvlJc w:val="left"/>
      <w:pPr>
        <w:ind w:left="5760" w:hanging="360"/>
      </w:pPr>
      <w:rPr>
        <w:rFonts w:ascii="Courier New" w:hAnsi="Courier New" w:cs="Courier New" w:hint="default"/>
      </w:rPr>
    </w:lvl>
    <w:lvl w:ilvl="8" w:tplc="669869A0">
      <w:start w:val="1"/>
      <w:numFmt w:val="bullet"/>
      <w:lvlText w:val=""/>
      <w:lvlJc w:val="left"/>
      <w:pPr>
        <w:ind w:left="6480" w:hanging="360"/>
      </w:pPr>
      <w:rPr>
        <w:rFonts w:ascii="Wingdings" w:hAnsi="Wingdings" w:hint="default"/>
      </w:rPr>
    </w:lvl>
  </w:abstractNum>
  <w:abstractNum w:abstractNumId="18" w15:restartNumberingAfterBreak="0">
    <w:nsid w:val="5D490B82"/>
    <w:multiLevelType w:val="hybridMultilevel"/>
    <w:tmpl w:val="40740FA2"/>
    <w:lvl w:ilvl="0" w:tplc="3EBCFE2A">
      <w:start w:val="1"/>
      <w:numFmt w:val="bullet"/>
      <w:lvlText w:val=""/>
      <w:lvlJc w:val="left"/>
      <w:pPr>
        <w:ind w:left="720" w:hanging="360"/>
      </w:pPr>
      <w:rPr>
        <w:rFonts w:ascii="Symbol" w:hAnsi="Symbol" w:hint="default"/>
      </w:rPr>
    </w:lvl>
    <w:lvl w:ilvl="1" w:tplc="3F24BB30">
      <w:start w:val="1"/>
      <w:numFmt w:val="bullet"/>
      <w:lvlText w:val="o"/>
      <w:lvlJc w:val="left"/>
      <w:pPr>
        <w:ind w:left="1440" w:hanging="360"/>
      </w:pPr>
      <w:rPr>
        <w:rFonts w:ascii="Courier New" w:hAnsi="Courier New" w:cs="Courier New" w:hint="default"/>
      </w:rPr>
    </w:lvl>
    <w:lvl w:ilvl="2" w:tplc="C262A3EE">
      <w:start w:val="1"/>
      <w:numFmt w:val="bullet"/>
      <w:lvlText w:val=""/>
      <w:lvlJc w:val="left"/>
      <w:pPr>
        <w:ind w:left="2160" w:hanging="360"/>
      </w:pPr>
      <w:rPr>
        <w:rFonts w:ascii="Wingdings" w:hAnsi="Wingdings" w:hint="default"/>
      </w:rPr>
    </w:lvl>
    <w:lvl w:ilvl="3" w:tplc="6928C5D0">
      <w:start w:val="1"/>
      <w:numFmt w:val="bullet"/>
      <w:lvlText w:val=""/>
      <w:lvlJc w:val="left"/>
      <w:pPr>
        <w:ind w:left="2880" w:hanging="360"/>
      </w:pPr>
      <w:rPr>
        <w:rFonts w:ascii="Symbol" w:hAnsi="Symbol" w:hint="default"/>
      </w:rPr>
    </w:lvl>
    <w:lvl w:ilvl="4" w:tplc="53429424">
      <w:start w:val="1"/>
      <w:numFmt w:val="bullet"/>
      <w:lvlText w:val="o"/>
      <w:lvlJc w:val="left"/>
      <w:pPr>
        <w:ind w:left="3600" w:hanging="360"/>
      </w:pPr>
      <w:rPr>
        <w:rFonts w:ascii="Courier New" w:hAnsi="Courier New" w:cs="Courier New" w:hint="default"/>
      </w:rPr>
    </w:lvl>
    <w:lvl w:ilvl="5" w:tplc="920EA100">
      <w:start w:val="1"/>
      <w:numFmt w:val="bullet"/>
      <w:lvlText w:val=""/>
      <w:lvlJc w:val="left"/>
      <w:pPr>
        <w:ind w:left="4320" w:hanging="360"/>
      </w:pPr>
      <w:rPr>
        <w:rFonts w:ascii="Wingdings" w:hAnsi="Wingdings" w:hint="default"/>
      </w:rPr>
    </w:lvl>
    <w:lvl w:ilvl="6" w:tplc="0E760AFC">
      <w:start w:val="1"/>
      <w:numFmt w:val="bullet"/>
      <w:lvlText w:val=""/>
      <w:lvlJc w:val="left"/>
      <w:pPr>
        <w:ind w:left="5040" w:hanging="360"/>
      </w:pPr>
      <w:rPr>
        <w:rFonts w:ascii="Symbol" w:hAnsi="Symbol" w:hint="default"/>
      </w:rPr>
    </w:lvl>
    <w:lvl w:ilvl="7" w:tplc="A26C85EA">
      <w:start w:val="1"/>
      <w:numFmt w:val="bullet"/>
      <w:lvlText w:val="o"/>
      <w:lvlJc w:val="left"/>
      <w:pPr>
        <w:ind w:left="5760" w:hanging="360"/>
      </w:pPr>
      <w:rPr>
        <w:rFonts w:ascii="Courier New" w:hAnsi="Courier New" w:cs="Courier New" w:hint="default"/>
      </w:rPr>
    </w:lvl>
    <w:lvl w:ilvl="8" w:tplc="E1EA8F06">
      <w:start w:val="1"/>
      <w:numFmt w:val="bullet"/>
      <w:lvlText w:val=""/>
      <w:lvlJc w:val="left"/>
      <w:pPr>
        <w:ind w:left="6480" w:hanging="360"/>
      </w:pPr>
      <w:rPr>
        <w:rFonts w:ascii="Wingdings" w:hAnsi="Wingdings" w:hint="default"/>
      </w:rPr>
    </w:lvl>
  </w:abstractNum>
  <w:abstractNum w:abstractNumId="19" w15:restartNumberingAfterBreak="0">
    <w:nsid w:val="64044C9C"/>
    <w:multiLevelType w:val="hybridMultilevel"/>
    <w:tmpl w:val="769E10C8"/>
    <w:lvl w:ilvl="0" w:tplc="1C72C7A4">
      <w:start w:val="1"/>
      <w:numFmt w:val="bullet"/>
      <w:lvlText w:val=""/>
      <w:lvlJc w:val="left"/>
      <w:pPr>
        <w:ind w:left="720" w:hanging="360"/>
      </w:pPr>
      <w:rPr>
        <w:rFonts w:ascii="Symbol" w:hAnsi="Symbol" w:hint="default"/>
      </w:rPr>
    </w:lvl>
    <w:lvl w:ilvl="1" w:tplc="6D2485DE">
      <w:start w:val="1"/>
      <w:numFmt w:val="bullet"/>
      <w:lvlText w:val="o"/>
      <w:lvlJc w:val="left"/>
      <w:pPr>
        <w:ind w:left="1440" w:hanging="360"/>
      </w:pPr>
      <w:rPr>
        <w:rFonts w:ascii="Courier New" w:hAnsi="Courier New" w:cs="Courier New" w:hint="default"/>
      </w:rPr>
    </w:lvl>
    <w:lvl w:ilvl="2" w:tplc="2836FE0E">
      <w:start w:val="1"/>
      <w:numFmt w:val="bullet"/>
      <w:lvlText w:val=""/>
      <w:lvlJc w:val="left"/>
      <w:pPr>
        <w:ind w:left="2160" w:hanging="360"/>
      </w:pPr>
      <w:rPr>
        <w:rFonts w:ascii="Wingdings" w:hAnsi="Wingdings" w:hint="default"/>
      </w:rPr>
    </w:lvl>
    <w:lvl w:ilvl="3" w:tplc="EF6453AA">
      <w:start w:val="1"/>
      <w:numFmt w:val="bullet"/>
      <w:lvlText w:val=""/>
      <w:lvlJc w:val="left"/>
      <w:pPr>
        <w:ind w:left="2880" w:hanging="360"/>
      </w:pPr>
      <w:rPr>
        <w:rFonts w:ascii="Symbol" w:hAnsi="Symbol" w:hint="default"/>
      </w:rPr>
    </w:lvl>
    <w:lvl w:ilvl="4" w:tplc="1AD490F2">
      <w:start w:val="1"/>
      <w:numFmt w:val="bullet"/>
      <w:lvlText w:val="o"/>
      <w:lvlJc w:val="left"/>
      <w:pPr>
        <w:ind w:left="3600" w:hanging="360"/>
      </w:pPr>
      <w:rPr>
        <w:rFonts w:ascii="Courier New" w:hAnsi="Courier New" w:cs="Courier New" w:hint="default"/>
      </w:rPr>
    </w:lvl>
    <w:lvl w:ilvl="5" w:tplc="FBB047E8">
      <w:start w:val="1"/>
      <w:numFmt w:val="bullet"/>
      <w:lvlText w:val=""/>
      <w:lvlJc w:val="left"/>
      <w:pPr>
        <w:ind w:left="4320" w:hanging="360"/>
      </w:pPr>
      <w:rPr>
        <w:rFonts w:ascii="Wingdings" w:hAnsi="Wingdings" w:hint="default"/>
      </w:rPr>
    </w:lvl>
    <w:lvl w:ilvl="6" w:tplc="EEDAE99E">
      <w:start w:val="1"/>
      <w:numFmt w:val="bullet"/>
      <w:lvlText w:val=""/>
      <w:lvlJc w:val="left"/>
      <w:pPr>
        <w:ind w:left="5040" w:hanging="360"/>
      </w:pPr>
      <w:rPr>
        <w:rFonts w:ascii="Symbol" w:hAnsi="Symbol" w:hint="default"/>
      </w:rPr>
    </w:lvl>
    <w:lvl w:ilvl="7" w:tplc="E77AD78C">
      <w:start w:val="1"/>
      <w:numFmt w:val="bullet"/>
      <w:lvlText w:val="o"/>
      <w:lvlJc w:val="left"/>
      <w:pPr>
        <w:ind w:left="5760" w:hanging="360"/>
      </w:pPr>
      <w:rPr>
        <w:rFonts w:ascii="Courier New" w:hAnsi="Courier New" w:cs="Courier New" w:hint="default"/>
      </w:rPr>
    </w:lvl>
    <w:lvl w:ilvl="8" w:tplc="A8D6BAC4">
      <w:start w:val="1"/>
      <w:numFmt w:val="bullet"/>
      <w:lvlText w:val=""/>
      <w:lvlJc w:val="left"/>
      <w:pPr>
        <w:ind w:left="6480" w:hanging="360"/>
      </w:pPr>
      <w:rPr>
        <w:rFonts w:ascii="Wingdings" w:hAnsi="Wingdings" w:hint="default"/>
      </w:rPr>
    </w:lvl>
  </w:abstractNum>
  <w:abstractNum w:abstractNumId="20" w15:restartNumberingAfterBreak="0">
    <w:nsid w:val="66DF427F"/>
    <w:multiLevelType w:val="hybridMultilevel"/>
    <w:tmpl w:val="72F22212"/>
    <w:lvl w:ilvl="0" w:tplc="7ED89826">
      <w:start w:val="1"/>
      <w:numFmt w:val="bullet"/>
      <w:lvlText w:val=""/>
      <w:lvlJc w:val="left"/>
      <w:pPr>
        <w:ind w:left="720" w:hanging="360"/>
      </w:pPr>
      <w:rPr>
        <w:rFonts w:ascii="Symbol" w:hAnsi="Symbol" w:hint="default"/>
      </w:rPr>
    </w:lvl>
    <w:lvl w:ilvl="1" w:tplc="6960E766">
      <w:start w:val="1"/>
      <w:numFmt w:val="bullet"/>
      <w:lvlText w:val="o"/>
      <w:lvlJc w:val="left"/>
      <w:pPr>
        <w:ind w:left="1440" w:hanging="360"/>
      </w:pPr>
      <w:rPr>
        <w:rFonts w:ascii="Courier New" w:hAnsi="Courier New" w:cs="Courier New" w:hint="default"/>
      </w:rPr>
    </w:lvl>
    <w:lvl w:ilvl="2" w:tplc="D72A13EA">
      <w:start w:val="1"/>
      <w:numFmt w:val="bullet"/>
      <w:lvlText w:val=""/>
      <w:lvlJc w:val="left"/>
      <w:pPr>
        <w:ind w:left="2160" w:hanging="360"/>
      </w:pPr>
      <w:rPr>
        <w:rFonts w:ascii="Wingdings" w:hAnsi="Wingdings" w:hint="default"/>
      </w:rPr>
    </w:lvl>
    <w:lvl w:ilvl="3" w:tplc="702A557A">
      <w:start w:val="1"/>
      <w:numFmt w:val="bullet"/>
      <w:lvlText w:val=""/>
      <w:lvlJc w:val="left"/>
      <w:pPr>
        <w:ind w:left="2880" w:hanging="360"/>
      </w:pPr>
      <w:rPr>
        <w:rFonts w:ascii="Symbol" w:hAnsi="Symbol" w:hint="default"/>
      </w:rPr>
    </w:lvl>
    <w:lvl w:ilvl="4" w:tplc="C0121E94">
      <w:start w:val="1"/>
      <w:numFmt w:val="bullet"/>
      <w:lvlText w:val="o"/>
      <w:lvlJc w:val="left"/>
      <w:pPr>
        <w:ind w:left="3600" w:hanging="360"/>
      </w:pPr>
      <w:rPr>
        <w:rFonts w:ascii="Courier New" w:hAnsi="Courier New" w:cs="Courier New" w:hint="default"/>
      </w:rPr>
    </w:lvl>
    <w:lvl w:ilvl="5" w:tplc="570A8F58">
      <w:start w:val="1"/>
      <w:numFmt w:val="bullet"/>
      <w:lvlText w:val=""/>
      <w:lvlJc w:val="left"/>
      <w:pPr>
        <w:ind w:left="4320" w:hanging="360"/>
      </w:pPr>
      <w:rPr>
        <w:rFonts w:ascii="Wingdings" w:hAnsi="Wingdings" w:hint="default"/>
      </w:rPr>
    </w:lvl>
    <w:lvl w:ilvl="6" w:tplc="C67CFE30">
      <w:start w:val="1"/>
      <w:numFmt w:val="bullet"/>
      <w:lvlText w:val=""/>
      <w:lvlJc w:val="left"/>
      <w:pPr>
        <w:ind w:left="5040" w:hanging="360"/>
      </w:pPr>
      <w:rPr>
        <w:rFonts w:ascii="Symbol" w:hAnsi="Symbol" w:hint="default"/>
      </w:rPr>
    </w:lvl>
    <w:lvl w:ilvl="7" w:tplc="2040BCE2">
      <w:start w:val="1"/>
      <w:numFmt w:val="bullet"/>
      <w:lvlText w:val="o"/>
      <w:lvlJc w:val="left"/>
      <w:pPr>
        <w:ind w:left="5760" w:hanging="360"/>
      </w:pPr>
      <w:rPr>
        <w:rFonts w:ascii="Courier New" w:hAnsi="Courier New" w:cs="Courier New" w:hint="default"/>
      </w:rPr>
    </w:lvl>
    <w:lvl w:ilvl="8" w:tplc="9C68BB18">
      <w:start w:val="1"/>
      <w:numFmt w:val="bullet"/>
      <w:lvlText w:val=""/>
      <w:lvlJc w:val="left"/>
      <w:pPr>
        <w:ind w:left="6480" w:hanging="360"/>
      </w:pPr>
      <w:rPr>
        <w:rFonts w:ascii="Wingdings" w:hAnsi="Wingdings" w:hint="default"/>
      </w:rPr>
    </w:lvl>
  </w:abstractNum>
  <w:abstractNum w:abstractNumId="21" w15:restartNumberingAfterBreak="0">
    <w:nsid w:val="67945438"/>
    <w:multiLevelType w:val="hybridMultilevel"/>
    <w:tmpl w:val="47E8E370"/>
    <w:lvl w:ilvl="0" w:tplc="D6E250C2">
      <w:start w:val="1"/>
      <w:numFmt w:val="bullet"/>
      <w:lvlText w:val=""/>
      <w:lvlJc w:val="left"/>
      <w:pPr>
        <w:ind w:left="720" w:hanging="360"/>
      </w:pPr>
      <w:rPr>
        <w:rFonts w:ascii="Symbol" w:hAnsi="Symbol" w:hint="default"/>
      </w:rPr>
    </w:lvl>
    <w:lvl w:ilvl="1" w:tplc="732617CC">
      <w:start w:val="1"/>
      <w:numFmt w:val="bullet"/>
      <w:lvlText w:val="o"/>
      <w:lvlJc w:val="left"/>
      <w:pPr>
        <w:ind w:left="1440" w:hanging="360"/>
      </w:pPr>
      <w:rPr>
        <w:rFonts w:ascii="Courier New" w:hAnsi="Courier New" w:cs="Courier New" w:hint="default"/>
      </w:rPr>
    </w:lvl>
    <w:lvl w:ilvl="2" w:tplc="416063B6">
      <w:start w:val="1"/>
      <w:numFmt w:val="bullet"/>
      <w:lvlText w:val=""/>
      <w:lvlJc w:val="left"/>
      <w:pPr>
        <w:ind w:left="2160" w:hanging="360"/>
      </w:pPr>
      <w:rPr>
        <w:rFonts w:ascii="Wingdings" w:hAnsi="Wingdings" w:hint="default"/>
      </w:rPr>
    </w:lvl>
    <w:lvl w:ilvl="3" w:tplc="9ACE7016">
      <w:start w:val="1"/>
      <w:numFmt w:val="bullet"/>
      <w:lvlText w:val=""/>
      <w:lvlJc w:val="left"/>
      <w:pPr>
        <w:ind w:left="2880" w:hanging="360"/>
      </w:pPr>
      <w:rPr>
        <w:rFonts w:ascii="Symbol" w:hAnsi="Symbol" w:hint="default"/>
      </w:rPr>
    </w:lvl>
    <w:lvl w:ilvl="4" w:tplc="9BE41E2A">
      <w:start w:val="1"/>
      <w:numFmt w:val="bullet"/>
      <w:lvlText w:val="o"/>
      <w:lvlJc w:val="left"/>
      <w:pPr>
        <w:ind w:left="3600" w:hanging="360"/>
      </w:pPr>
      <w:rPr>
        <w:rFonts w:ascii="Courier New" w:hAnsi="Courier New" w:cs="Courier New" w:hint="default"/>
      </w:rPr>
    </w:lvl>
    <w:lvl w:ilvl="5" w:tplc="770C6ACC">
      <w:start w:val="1"/>
      <w:numFmt w:val="bullet"/>
      <w:lvlText w:val=""/>
      <w:lvlJc w:val="left"/>
      <w:pPr>
        <w:ind w:left="4320" w:hanging="360"/>
      </w:pPr>
      <w:rPr>
        <w:rFonts w:ascii="Wingdings" w:hAnsi="Wingdings" w:hint="default"/>
      </w:rPr>
    </w:lvl>
    <w:lvl w:ilvl="6" w:tplc="9A54F6FA">
      <w:start w:val="1"/>
      <w:numFmt w:val="bullet"/>
      <w:lvlText w:val=""/>
      <w:lvlJc w:val="left"/>
      <w:pPr>
        <w:ind w:left="5040" w:hanging="360"/>
      </w:pPr>
      <w:rPr>
        <w:rFonts w:ascii="Symbol" w:hAnsi="Symbol" w:hint="default"/>
      </w:rPr>
    </w:lvl>
    <w:lvl w:ilvl="7" w:tplc="6BD07882">
      <w:start w:val="1"/>
      <w:numFmt w:val="bullet"/>
      <w:lvlText w:val="o"/>
      <w:lvlJc w:val="left"/>
      <w:pPr>
        <w:ind w:left="5760" w:hanging="360"/>
      </w:pPr>
      <w:rPr>
        <w:rFonts w:ascii="Courier New" w:hAnsi="Courier New" w:cs="Courier New" w:hint="default"/>
      </w:rPr>
    </w:lvl>
    <w:lvl w:ilvl="8" w:tplc="AE0C932E">
      <w:start w:val="1"/>
      <w:numFmt w:val="bullet"/>
      <w:lvlText w:val=""/>
      <w:lvlJc w:val="left"/>
      <w:pPr>
        <w:ind w:left="6480" w:hanging="360"/>
      </w:pPr>
      <w:rPr>
        <w:rFonts w:ascii="Wingdings" w:hAnsi="Wingdings" w:hint="default"/>
      </w:rPr>
    </w:lvl>
  </w:abstractNum>
  <w:abstractNum w:abstractNumId="22" w15:restartNumberingAfterBreak="0">
    <w:nsid w:val="6BB9556A"/>
    <w:multiLevelType w:val="multilevel"/>
    <w:tmpl w:val="F3A832E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7CDE1217"/>
    <w:multiLevelType w:val="hybridMultilevel"/>
    <w:tmpl w:val="4A54D7D8"/>
    <w:lvl w:ilvl="0" w:tplc="0DEC761C">
      <w:start w:val="1"/>
      <w:numFmt w:val="bullet"/>
      <w:lvlText w:val="-"/>
      <w:lvlJc w:val="left"/>
      <w:pPr>
        <w:ind w:left="720" w:hanging="360"/>
      </w:pPr>
      <w:rPr>
        <w:rFonts w:ascii="Verdana" w:eastAsia="Times New Roman" w:hAnsi="Verdana" w:cs="Times New Roman" w:hint="default"/>
      </w:rPr>
    </w:lvl>
    <w:lvl w:ilvl="1" w:tplc="99D4E0A8">
      <w:start w:val="1"/>
      <w:numFmt w:val="bullet"/>
      <w:lvlText w:val="o"/>
      <w:lvlJc w:val="left"/>
      <w:pPr>
        <w:ind w:left="1440" w:hanging="360"/>
      </w:pPr>
      <w:rPr>
        <w:rFonts w:ascii="Courier New" w:hAnsi="Courier New" w:cs="Courier New" w:hint="default"/>
      </w:rPr>
    </w:lvl>
    <w:lvl w:ilvl="2" w:tplc="422E5F28">
      <w:start w:val="1"/>
      <w:numFmt w:val="bullet"/>
      <w:lvlText w:val=""/>
      <w:lvlJc w:val="left"/>
      <w:pPr>
        <w:ind w:left="2160" w:hanging="360"/>
      </w:pPr>
      <w:rPr>
        <w:rFonts w:ascii="Wingdings" w:hAnsi="Wingdings" w:hint="default"/>
      </w:rPr>
    </w:lvl>
    <w:lvl w:ilvl="3" w:tplc="FEFCADD4">
      <w:start w:val="1"/>
      <w:numFmt w:val="bullet"/>
      <w:lvlText w:val=""/>
      <w:lvlJc w:val="left"/>
      <w:pPr>
        <w:ind w:left="2880" w:hanging="360"/>
      </w:pPr>
      <w:rPr>
        <w:rFonts w:ascii="Symbol" w:hAnsi="Symbol" w:hint="default"/>
      </w:rPr>
    </w:lvl>
    <w:lvl w:ilvl="4" w:tplc="338E2B60">
      <w:start w:val="1"/>
      <w:numFmt w:val="bullet"/>
      <w:lvlText w:val="o"/>
      <w:lvlJc w:val="left"/>
      <w:pPr>
        <w:ind w:left="3600" w:hanging="360"/>
      </w:pPr>
      <w:rPr>
        <w:rFonts w:ascii="Courier New" w:hAnsi="Courier New" w:cs="Courier New" w:hint="default"/>
      </w:rPr>
    </w:lvl>
    <w:lvl w:ilvl="5" w:tplc="49E8C8B2">
      <w:start w:val="1"/>
      <w:numFmt w:val="bullet"/>
      <w:lvlText w:val=""/>
      <w:lvlJc w:val="left"/>
      <w:pPr>
        <w:ind w:left="4320" w:hanging="360"/>
      </w:pPr>
      <w:rPr>
        <w:rFonts w:ascii="Wingdings" w:hAnsi="Wingdings" w:hint="default"/>
      </w:rPr>
    </w:lvl>
    <w:lvl w:ilvl="6" w:tplc="C8782ED4">
      <w:start w:val="1"/>
      <w:numFmt w:val="bullet"/>
      <w:lvlText w:val=""/>
      <w:lvlJc w:val="left"/>
      <w:pPr>
        <w:ind w:left="5040" w:hanging="360"/>
      </w:pPr>
      <w:rPr>
        <w:rFonts w:ascii="Symbol" w:hAnsi="Symbol" w:hint="default"/>
      </w:rPr>
    </w:lvl>
    <w:lvl w:ilvl="7" w:tplc="DA4AC34E">
      <w:start w:val="1"/>
      <w:numFmt w:val="bullet"/>
      <w:lvlText w:val="o"/>
      <w:lvlJc w:val="left"/>
      <w:pPr>
        <w:ind w:left="5760" w:hanging="360"/>
      </w:pPr>
      <w:rPr>
        <w:rFonts w:ascii="Courier New" w:hAnsi="Courier New" w:cs="Courier New" w:hint="default"/>
      </w:rPr>
    </w:lvl>
    <w:lvl w:ilvl="8" w:tplc="36B08EB2">
      <w:start w:val="1"/>
      <w:numFmt w:val="bullet"/>
      <w:lvlText w:val=""/>
      <w:lvlJc w:val="left"/>
      <w:pPr>
        <w:ind w:left="6480" w:hanging="360"/>
      </w:pPr>
      <w:rPr>
        <w:rFonts w:ascii="Wingdings" w:hAnsi="Wingdings" w:hint="default"/>
      </w:rPr>
    </w:lvl>
  </w:abstractNum>
  <w:abstractNum w:abstractNumId="24" w15:restartNumberingAfterBreak="0">
    <w:nsid w:val="7D5028D5"/>
    <w:multiLevelType w:val="multilevel"/>
    <w:tmpl w:val="3D8A26BA"/>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num w:numId="1">
    <w:abstractNumId w:val="15"/>
    <w:lvlOverride w:ilvl="0">
      <w:lvl w:ilvl="0" w:tplc="56CEB77E">
        <w:start w:val="1"/>
        <w:numFmt w:val="bullet"/>
        <w:pStyle w:val="Lgende"/>
        <w:lvlText w:val=""/>
        <w:legacy w:legacy="1" w:legacySpace="0" w:legacyIndent="120"/>
        <w:lvlJc w:val="left"/>
        <w:pPr>
          <w:ind w:left="1920" w:hanging="120"/>
        </w:pPr>
        <w:rPr>
          <w:rFonts w:ascii="Symbol" w:hAnsi="Symbol" w:hint="default"/>
          <w:sz w:val="18"/>
        </w:rPr>
      </w:lvl>
    </w:lvlOverride>
  </w:num>
  <w:num w:numId="2">
    <w:abstractNumId w:val="9"/>
  </w:num>
  <w:num w:numId="3">
    <w:abstractNumId w:val="11"/>
  </w:num>
  <w:num w:numId="4">
    <w:abstractNumId w:val="24"/>
  </w:num>
  <w:num w:numId="5">
    <w:abstractNumId w:val="5"/>
  </w:num>
  <w:num w:numId="6">
    <w:abstractNumId w:val="19"/>
  </w:num>
  <w:num w:numId="7">
    <w:abstractNumId w:val="0"/>
  </w:num>
  <w:num w:numId="8">
    <w:abstractNumId w:val="14"/>
  </w:num>
  <w:num w:numId="9">
    <w:abstractNumId w:val="16"/>
  </w:num>
  <w:num w:numId="10">
    <w:abstractNumId w:val="18"/>
  </w:num>
  <w:num w:numId="11">
    <w:abstractNumId w:val="7"/>
  </w:num>
  <w:num w:numId="12">
    <w:abstractNumId w:val="13"/>
  </w:num>
  <w:num w:numId="13">
    <w:abstractNumId w:val="20"/>
  </w:num>
  <w:num w:numId="14">
    <w:abstractNumId w:val="12"/>
  </w:num>
  <w:num w:numId="15">
    <w:abstractNumId w:val="8"/>
  </w:num>
  <w:num w:numId="16">
    <w:abstractNumId w:val="23"/>
  </w:num>
  <w:num w:numId="17">
    <w:abstractNumId w:val="21"/>
  </w:num>
  <w:num w:numId="18">
    <w:abstractNumId w:val="17"/>
  </w:num>
  <w:num w:numId="19">
    <w:abstractNumId w:val="3"/>
  </w:num>
  <w:num w:numId="20">
    <w:abstractNumId w:val="1"/>
  </w:num>
  <w:num w:numId="21">
    <w:abstractNumId w:val="6"/>
  </w:num>
  <w:num w:numId="22">
    <w:abstractNumId w:val="2"/>
  </w:num>
  <w:num w:numId="23">
    <w:abstractNumId w:val="22"/>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C026C-5955-4B82-A65B-9DD71B13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pPr>
    <w:rPr>
      <w:rFonts w:ascii="Marianne" w:hAnsi="Marianne"/>
      <w:lang w:eastAsia="en-US"/>
    </w:rPr>
  </w:style>
  <w:style w:type="paragraph" w:styleId="Titre1">
    <w:name w:val="heading 1"/>
    <w:basedOn w:val="Normal"/>
    <w:next w:val="Normal"/>
    <w:link w:val="Titre1Car"/>
    <w:uiPriority w:val="9"/>
    <w:qFormat/>
    <w:pPr>
      <w:keepNext/>
      <w:pageBreakBefore/>
      <w:numPr>
        <w:numId w:val="4"/>
      </w:numPr>
      <w:spacing w:before="240" w:after="40" w:line="240" w:lineRule="auto"/>
      <w:ind w:left="431" w:hanging="431"/>
      <w:outlineLvl w:val="0"/>
    </w:pPr>
    <w:rPr>
      <w:b/>
      <w:caps/>
      <w:sz w:val="28"/>
      <w:szCs w:val="24"/>
    </w:rPr>
  </w:style>
  <w:style w:type="paragraph" w:styleId="Titre2">
    <w:name w:val="heading 2"/>
    <w:basedOn w:val="Normal"/>
    <w:next w:val="Normal"/>
    <w:link w:val="Titre2Car"/>
    <w:uiPriority w:val="9"/>
    <w:qFormat/>
    <w:pPr>
      <w:keepNext/>
      <w:numPr>
        <w:ilvl w:val="1"/>
        <w:numId w:val="4"/>
      </w:numPr>
      <w:spacing w:before="240" w:after="40" w:line="240" w:lineRule="auto"/>
      <w:ind w:left="578" w:hanging="578"/>
      <w:outlineLvl w:val="1"/>
    </w:pPr>
    <w:rPr>
      <w:b/>
      <w:sz w:val="28"/>
    </w:rPr>
  </w:style>
  <w:style w:type="paragraph" w:styleId="Titre3">
    <w:name w:val="heading 3"/>
    <w:basedOn w:val="Titre2"/>
    <w:next w:val="Normal"/>
    <w:link w:val="Titre3Car"/>
    <w:uiPriority w:val="99"/>
    <w:qFormat/>
    <w:pPr>
      <w:numPr>
        <w:ilvl w:val="2"/>
      </w:numPr>
      <w:outlineLvl w:val="2"/>
    </w:pPr>
    <w:rPr>
      <w:sz w:val="24"/>
    </w:rPr>
  </w:style>
  <w:style w:type="paragraph" w:styleId="Titre4">
    <w:name w:val="heading 4"/>
    <w:basedOn w:val="Titre3"/>
    <w:next w:val="Normal"/>
    <w:link w:val="Titre4Car"/>
    <w:uiPriority w:val="99"/>
    <w:qFormat/>
    <w:pPr>
      <w:keepLines/>
      <w:numPr>
        <w:ilvl w:val="3"/>
      </w:numPr>
      <w:ind w:left="862" w:hanging="862"/>
      <w:outlineLvl w:val="3"/>
    </w:pPr>
    <w:rPr>
      <w:spacing w:val="-4"/>
      <w:sz w:val="22"/>
    </w:rPr>
  </w:style>
  <w:style w:type="paragraph" w:styleId="Titre5">
    <w:name w:val="heading 5"/>
    <w:basedOn w:val="Titre4"/>
    <w:next w:val="Normal"/>
    <w:link w:val="Titre5Car"/>
    <w:uiPriority w:val="99"/>
    <w:qFormat/>
    <w:pPr>
      <w:numPr>
        <w:ilvl w:val="4"/>
      </w:numPr>
      <w:ind w:left="1009" w:hanging="1009"/>
      <w:outlineLvl w:val="4"/>
    </w:pPr>
    <w:rPr>
      <w:sz w:val="20"/>
    </w:rPr>
  </w:style>
  <w:style w:type="paragraph" w:styleId="Titre6">
    <w:name w:val="heading 6"/>
    <w:basedOn w:val="Titre5"/>
    <w:next w:val="Normal"/>
    <w:link w:val="Titre6Car"/>
    <w:uiPriority w:val="99"/>
    <w:qFormat/>
    <w:pPr>
      <w:numPr>
        <w:ilvl w:val="5"/>
      </w:numPr>
      <w:spacing w:line="220" w:lineRule="atLeast"/>
      <w:ind w:left="1151" w:hanging="1151"/>
      <w:outlineLvl w:val="5"/>
    </w:pPr>
    <w:rPr>
      <w:i/>
    </w:rPr>
  </w:style>
  <w:style w:type="paragraph" w:styleId="Titre7">
    <w:name w:val="heading 7"/>
    <w:basedOn w:val="Titre6"/>
    <w:next w:val="Normal"/>
    <w:link w:val="Titre7Car"/>
    <w:uiPriority w:val="99"/>
    <w:qFormat/>
    <w:pPr>
      <w:numPr>
        <w:ilvl w:val="6"/>
      </w:numPr>
      <w:ind w:left="1298" w:hanging="1298"/>
      <w:outlineLvl w:val="6"/>
    </w:pPr>
  </w:style>
  <w:style w:type="paragraph" w:styleId="Titre8">
    <w:name w:val="heading 8"/>
    <w:basedOn w:val="Titre7"/>
    <w:next w:val="Normal"/>
    <w:link w:val="Titre8Car"/>
    <w:uiPriority w:val="99"/>
    <w:qFormat/>
    <w:pPr>
      <w:numPr>
        <w:ilvl w:val="7"/>
      </w:numPr>
      <w:outlineLvl w:val="7"/>
    </w:pPr>
  </w:style>
  <w:style w:type="paragraph" w:styleId="Titre9">
    <w:name w:val="heading 9"/>
    <w:basedOn w:val="Titre8"/>
    <w:next w:val="Normal"/>
    <w:link w:val="Titre9Car"/>
    <w:uiPriority w:val="99"/>
    <w:qFormat/>
    <w:pPr>
      <w:numPr>
        <w:ilvl w:val="8"/>
      </w:numPr>
      <w:ind w:left="1582" w:hanging="1582"/>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QuoteChar">
    <w:name w:val="Quote Char"/>
    <w:uiPriority w:val="29"/>
    <w:rPr>
      <w:i/>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Titre1Car">
    <w:name w:val="Titre 1 Car"/>
    <w:link w:val="Titre1"/>
    <w:uiPriority w:val="9"/>
    <w:rPr>
      <w:rFonts w:ascii="Marianne" w:hAnsi="Marianne"/>
      <w:b/>
      <w:caps/>
      <w:sz w:val="28"/>
      <w:szCs w:val="24"/>
      <w:lang w:eastAsia="en-US"/>
    </w:rPr>
  </w:style>
  <w:style w:type="character" w:customStyle="1" w:styleId="Titre2Car">
    <w:name w:val="Titre 2 Car"/>
    <w:link w:val="Titre2"/>
    <w:uiPriority w:val="9"/>
    <w:rPr>
      <w:rFonts w:ascii="Marianne" w:hAnsi="Marianne"/>
      <w:b/>
      <w:sz w:val="28"/>
      <w:lang w:eastAsia="en-US"/>
    </w:rPr>
  </w:style>
  <w:style w:type="character" w:customStyle="1" w:styleId="Titre3Car">
    <w:name w:val="Titre 3 Car"/>
    <w:link w:val="Titre3"/>
    <w:uiPriority w:val="9"/>
    <w:rPr>
      <w:rFonts w:ascii="Marianne" w:hAnsi="Marianne"/>
      <w:b/>
      <w:sz w:val="24"/>
      <w:lang w:eastAsia="en-US"/>
    </w:rPr>
  </w:style>
  <w:style w:type="character" w:customStyle="1" w:styleId="Titre4Car">
    <w:name w:val="Titre 4 Car"/>
    <w:link w:val="Titre4"/>
    <w:uiPriority w:val="9"/>
    <w:rPr>
      <w:rFonts w:ascii="Marianne" w:hAnsi="Marianne"/>
      <w:b/>
      <w:spacing w:val="-4"/>
      <w:sz w:val="22"/>
      <w:lang w:eastAsia="en-US"/>
    </w:rPr>
  </w:style>
  <w:style w:type="character" w:customStyle="1" w:styleId="Titre5Car">
    <w:name w:val="Titre 5 Car"/>
    <w:link w:val="Titre5"/>
    <w:uiPriority w:val="9"/>
    <w:rPr>
      <w:rFonts w:ascii="Marianne" w:hAnsi="Marianne"/>
      <w:b/>
      <w:spacing w:val="-4"/>
      <w:lang w:eastAsia="en-US"/>
    </w:rPr>
  </w:style>
  <w:style w:type="character" w:customStyle="1" w:styleId="Titre6Car">
    <w:name w:val="Titre 6 Car"/>
    <w:link w:val="Titre6"/>
    <w:uiPriority w:val="9"/>
    <w:rPr>
      <w:rFonts w:ascii="Marianne" w:hAnsi="Marianne"/>
      <w:b/>
      <w:i/>
      <w:spacing w:val="-4"/>
      <w:lang w:eastAsia="en-US"/>
    </w:rPr>
  </w:style>
  <w:style w:type="character" w:customStyle="1" w:styleId="Titre7Car">
    <w:name w:val="Titre 7 Car"/>
    <w:link w:val="Titre7"/>
    <w:uiPriority w:val="9"/>
    <w:rPr>
      <w:rFonts w:ascii="Verdana" w:hAnsi="Verdana"/>
      <w:i/>
      <w:spacing w:val="-4"/>
      <w:sz w:val="17"/>
      <w:lang w:eastAsia="en-US"/>
    </w:rPr>
  </w:style>
  <w:style w:type="character" w:customStyle="1" w:styleId="Titre8Car">
    <w:name w:val="Titre 8 Car"/>
    <w:link w:val="Titre8"/>
    <w:uiPriority w:val="9"/>
    <w:rPr>
      <w:rFonts w:ascii="Verdana" w:hAnsi="Verdana"/>
      <w:i/>
      <w:spacing w:val="-4"/>
      <w:sz w:val="17"/>
      <w:lang w:eastAsia="en-US"/>
    </w:rPr>
  </w:style>
  <w:style w:type="character" w:customStyle="1" w:styleId="Titre9Car">
    <w:name w:val="Titre 9 Car"/>
    <w:link w:val="Titre9"/>
    <w:uiPriority w:val="9"/>
    <w:rPr>
      <w:rFonts w:ascii="Verdana" w:hAnsi="Verdana"/>
      <w:i/>
      <w:spacing w:val="-4"/>
      <w:sz w:val="17"/>
      <w:lang w:eastAsia="en-US"/>
    </w:rPr>
  </w:style>
  <w:style w:type="paragraph" w:customStyle="1" w:styleId="CompanyInformation">
    <w:name w:val="Company Information"/>
    <w:basedOn w:val="Normal"/>
    <w:link w:val="CompanyInformationChar"/>
    <w:pPr>
      <w:spacing w:line="240" w:lineRule="auto"/>
    </w:pPr>
    <w:rPr>
      <w:color w:val="808080"/>
      <w:sz w:val="15"/>
      <w:lang w:val="en-US"/>
    </w:rPr>
  </w:style>
  <w:style w:type="character" w:customStyle="1" w:styleId="CompanyInformationChar">
    <w:name w:val="Company Information Char"/>
    <w:link w:val="CompanyInformation"/>
    <w:rPr>
      <w:rFonts w:ascii="Verdana" w:hAnsi="Verdana"/>
      <w:color w:val="808080"/>
      <w:sz w:val="15"/>
      <w:lang w:val="en-US" w:eastAsia="en-US"/>
    </w:rPr>
  </w:style>
  <w:style w:type="paragraph" w:customStyle="1" w:styleId="InsideTitle">
    <w:name w:val="Inside Title"/>
    <w:basedOn w:val="Normal"/>
    <w:pPr>
      <w:keepNext/>
      <w:spacing w:before="2400" w:line="240" w:lineRule="auto"/>
    </w:pPr>
    <w:rPr>
      <w:b/>
      <w:sz w:val="32"/>
    </w:rPr>
  </w:style>
  <w:style w:type="paragraph" w:styleId="Lgende">
    <w:name w:val="caption"/>
    <w:basedOn w:val="Normal"/>
    <w:next w:val="Normal"/>
    <w:uiPriority w:val="35"/>
    <w:qFormat/>
    <w:pPr>
      <w:keepNext/>
      <w:numPr>
        <w:numId w:val="1"/>
      </w:numPr>
      <w:spacing w:before="60" w:after="240" w:line="220" w:lineRule="atLeast"/>
    </w:pPr>
    <w:rPr>
      <w:rFonts w:ascii="Arial Narrow" w:hAnsi="Arial Narrow"/>
      <w:sz w:val="18"/>
    </w:rPr>
  </w:style>
  <w:style w:type="paragraph" w:customStyle="1" w:styleId="InsideSubtitle">
    <w:name w:val="Inside Subtitle"/>
    <w:basedOn w:val="Normal"/>
    <w:pPr>
      <w:spacing w:after="200" w:line="240" w:lineRule="auto"/>
    </w:pPr>
    <w:rPr>
      <w:i/>
      <w:sz w:val="24"/>
    </w:rPr>
  </w:style>
  <w:style w:type="paragraph" w:customStyle="1" w:styleId="BulletedList">
    <w:name w:val="Bulleted List"/>
    <w:basedOn w:val="Normal"/>
    <w:link w:val="BulletedListChar"/>
    <w:pPr>
      <w:numPr>
        <w:numId w:val="2"/>
      </w:numPr>
      <w:spacing w:after="80"/>
      <w:contextualSpacing/>
    </w:pPr>
    <w:rPr>
      <w:lang w:val="en-US"/>
    </w:rPr>
  </w:style>
  <w:style w:type="character" w:customStyle="1" w:styleId="BulletedListChar">
    <w:name w:val="Bulleted List Char"/>
    <w:link w:val="BulletedList"/>
    <w:rPr>
      <w:rFonts w:ascii="Verdana" w:hAnsi="Verdana"/>
      <w:sz w:val="17"/>
      <w:lang w:val="en-US" w:eastAsia="en-US"/>
    </w:rPr>
  </w:style>
  <w:style w:type="character" w:styleId="Marquedecommentaire">
    <w:name w:val="annotation reference"/>
    <w:uiPriority w:val="99"/>
    <w:semiHidden/>
    <w:rPr>
      <w:rFonts w:ascii="Arial" w:hAnsi="Arial"/>
      <w:sz w:val="16"/>
    </w:r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rPr>
      <w:rFonts w:ascii="Verdana" w:hAnsi="Verdana"/>
      <w:lang w:eastAsia="en-US"/>
    </w:rPr>
  </w:style>
  <w:style w:type="paragraph" w:customStyle="1" w:styleId="NumberedList">
    <w:name w:val="Numbered List"/>
    <w:basedOn w:val="Normal"/>
    <w:link w:val="NumberedListChar"/>
    <w:pPr>
      <w:numPr>
        <w:numId w:val="3"/>
      </w:numPr>
      <w:spacing w:after="80"/>
      <w:contextualSpacing/>
    </w:pPr>
    <w:rPr>
      <w:lang w:val="en-US"/>
    </w:rPr>
  </w:style>
  <w:style w:type="character" w:customStyle="1" w:styleId="NumberedListChar">
    <w:name w:val="Numbered List Char"/>
    <w:link w:val="NumberedList"/>
    <w:rPr>
      <w:rFonts w:ascii="Verdana" w:hAnsi="Verdana"/>
      <w:sz w:val="17"/>
      <w:lang w:val="en-US" w:eastAsia="en-US"/>
    </w:rPr>
  </w:style>
  <w:style w:type="character" w:customStyle="1" w:styleId="CorpsdetexteCar">
    <w:name w:val="Corps de texte Car"/>
    <w:link w:val="Corpsdetexte"/>
    <w:rPr>
      <w:rFonts w:ascii="Verdana" w:hAnsi="Verdana"/>
      <w:spacing w:val="10"/>
      <w:sz w:val="17"/>
      <w:lang w:val="fr-FR" w:eastAsia="en-US"/>
    </w:rPr>
  </w:style>
  <w:style w:type="paragraph" w:styleId="Corpsdetexte">
    <w:name w:val="Body Text"/>
    <w:basedOn w:val="Normal"/>
    <w:link w:val="CorpsdetexteCar"/>
    <w:pPr>
      <w:spacing w:after="200" w:line="240" w:lineRule="exact"/>
    </w:pPr>
    <w:rPr>
      <w:spacing w:val="10"/>
    </w:rPr>
  </w:style>
  <w:style w:type="character" w:customStyle="1" w:styleId="BodyTextChar1">
    <w:name w:val="Body Text Char1"/>
    <w:uiPriority w:val="99"/>
    <w:semiHidden/>
    <w:rPr>
      <w:rFonts w:ascii="Verdana" w:hAnsi="Verdana"/>
      <w:sz w:val="17"/>
      <w:lang w:eastAsia="en-US"/>
    </w:rPr>
  </w:style>
  <w:style w:type="character" w:styleId="Appeldenotedefin">
    <w:name w:val="endnote reference"/>
    <w:uiPriority w:val="99"/>
    <w:semiHidden/>
    <w:rPr>
      <w:vertAlign w:val="superscript"/>
    </w:rPr>
  </w:style>
  <w:style w:type="paragraph" w:styleId="Notedefin">
    <w:name w:val="endnote text"/>
    <w:basedOn w:val="Normal"/>
    <w:link w:val="NotedefinCar"/>
    <w:uiPriority w:val="99"/>
    <w:semiHidden/>
  </w:style>
  <w:style w:type="character" w:customStyle="1" w:styleId="NotedefinCar">
    <w:name w:val="Note de fin Car"/>
    <w:link w:val="Notedefin"/>
    <w:uiPriority w:val="99"/>
    <w:semiHidden/>
    <w:rPr>
      <w:rFonts w:ascii="Verdana" w:hAnsi="Verdana"/>
      <w:lang w:eastAsia="en-US"/>
    </w:rPr>
  </w:style>
  <w:style w:type="paragraph" w:customStyle="1" w:styleId="BlockQuotation">
    <w:name w:val="Block Quotation"/>
    <w:basedOn w:val="Normal"/>
    <w:link w:val="BlockQuotationChar"/>
    <w:pPr>
      <w:spacing w:before="80" w:after="80"/>
      <w:ind w:left="720"/>
    </w:pPr>
    <w:rPr>
      <w:spacing w:val="-10"/>
      <w:lang w:val="en-US"/>
    </w:rPr>
  </w:style>
  <w:style w:type="character" w:customStyle="1" w:styleId="BlockQuotationChar">
    <w:name w:val="Block Quotation Char"/>
    <w:link w:val="BlockQuotation"/>
    <w:rPr>
      <w:rFonts w:ascii="Verdana" w:hAnsi="Verdana"/>
      <w:spacing w:val="-10"/>
      <w:sz w:val="17"/>
      <w:lang w:val="en-US" w:eastAsia="en-US"/>
    </w:rPr>
  </w:style>
  <w:style w:type="character" w:styleId="Appelnotedebasdep">
    <w:name w:val="footnote reference"/>
    <w:uiPriority w:val="99"/>
    <w:rPr>
      <w:vertAlign w:val="superscript"/>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rPr>
      <w:rFonts w:ascii="Verdana" w:hAnsi="Verdana"/>
      <w:lang w:eastAsia="en-US"/>
    </w:rPr>
  </w:style>
  <w:style w:type="paragraph" w:styleId="En-tte">
    <w:name w:val="header"/>
    <w:basedOn w:val="Normal"/>
    <w:link w:val="En-tteCar"/>
    <w:pPr>
      <w:tabs>
        <w:tab w:val="center" w:pos="4320"/>
        <w:tab w:val="right" w:pos="8640"/>
      </w:tabs>
    </w:pPr>
  </w:style>
  <w:style w:type="character" w:customStyle="1" w:styleId="En-tteCar">
    <w:name w:val="En-tête Car"/>
    <w:link w:val="En-tte"/>
    <w:semiHidden/>
    <w:rPr>
      <w:rFonts w:ascii="Verdana" w:hAnsi="Verdana"/>
      <w:sz w:val="17"/>
      <w:lang w:eastAsia="en-US"/>
    </w:rPr>
  </w:style>
  <w:style w:type="paragraph" w:styleId="Index1">
    <w:name w:val="index 1"/>
    <w:basedOn w:val="Normal"/>
    <w:uiPriority w:val="99"/>
    <w:semiHidden/>
  </w:style>
  <w:style w:type="paragraph" w:styleId="Index2">
    <w:name w:val="index 2"/>
    <w:basedOn w:val="Normal"/>
    <w:uiPriority w:val="99"/>
    <w:semiHidden/>
    <w:pPr>
      <w:ind w:left="720"/>
    </w:pPr>
  </w:style>
  <w:style w:type="paragraph" w:styleId="Index3">
    <w:name w:val="index 3"/>
    <w:basedOn w:val="Normal"/>
    <w:uiPriority w:val="99"/>
    <w:semiHidden/>
  </w:style>
  <w:style w:type="paragraph" w:styleId="Index4">
    <w:name w:val="index 4"/>
    <w:basedOn w:val="Normal"/>
    <w:uiPriority w:val="99"/>
    <w:semiHidden/>
    <w:pPr>
      <w:ind w:left="1440"/>
    </w:pPr>
  </w:style>
  <w:style w:type="paragraph" w:styleId="Index5">
    <w:name w:val="index 5"/>
    <w:basedOn w:val="Normal"/>
    <w:uiPriority w:val="99"/>
    <w:semiHidden/>
    <w:pPr>
      <w:ind w:left="1800"/>
    </w:pPr>
  </w:style>
  <w:style w:type="paragraph" w:styleId="Titreindex">
    <w:name w:val="index heading"/>
    <w:basedOn w:val="Normal"/>
    <w:next w:val="Index1"/>
    <w:uiPriority w:val="99"/>
    <w:semiHidden/>
    <w:pPr>
      <w:spacing w:line="480" w:lineRule="atLeast"/>
    </w:pPr>
    <w:rPr>
      <w:rFonts w:ascii="Arial Black" w:hAnsi="Arial Black"/>
      <w:sz w:val="24"/>
    </w:rPr>
  </w:style>
  <w:style w:type="paragraph" w:customStyle="1" w:styleId="TableCaption">
    <w:name w:val="Table Caption"/>
    <w:basedOn w:val="Normal"/>
    <w:pPr>
      <w:spacing w:before="80" w:after="120"/>
      <w:ind w:left="360"/>
    </w:pPr>
    <w:rPr>
      <w:i/>
      <w:sz w:val="15"/>
    </w:rPr>
  </w:style>
  <w:style w:type="paragraph" w:customStyle="1" w:styleId="TableText">
    <w:name w:val="Table Text"/>
    <w:basedOn w:val="Normal"/>
    <w:rPr>
      <w:sz w:val="15"/>
    </w:rPr>
  </w:style>
  <w:style w:type="paragraph" w:customStyle="1" w:styleId="TableTextBold">
    <w:name w:val="Table Text Bold"/>
    <w:basedOn w:val="TableText"/>
    <w:rPr>
      <w:b/>
    </w:rPr>
  </w:style>
  <w:style w:type="paragraph" w:customStyle="1" w:styleId="IndentedBodyText">
    <w:name w:val="Indented Body Text"/>
    <w:basedOn w:val="Normal"/>
    <w:link w:val="IndentedBodyTextChar"/>
    <w:pPr>
      <w:spacing w:after="80"/>
      <w:ind w:left="360"/>
    </w:pPr>
    <w:rPr>
      <w:lang w:val="en-US"/>
    </w:rPr>
  </w:style>
  <w:style w:type="character" w:customStyle="1" w:styleId="IndentedBodyTextChar">
    <w:name w:val="Indented Body Text Char"/>
    <w:link w:val="IndentedBodyText"/>
    <w:rPr>
      <w:rFonts w:ascii="Verdana" w:hAnsi="Verdana"/>
      <w:sz w:val="17"/>
      <w:lang w:val="en-US" w:eastAsia="en-US"/>
    </w:rPr>
  </w:style>
  <w:style w:type="paragraph" w:customStyle="1" w:styleId="LineSpace">
    <w:name w:val="Line Space"/>
    <w:basedOn w:val="Normal"/>
    <w:pPr>
      <w:spacing w:line="240" w:lineRule="auto"/>
    </w:pPr>
    <w:rPr>
      <w:sz w:val="12"/>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link w:val="Textedebulles"/>
    <w:uiPriority w:val="99"/>
    <w:semiHidden/>
    <w:rPr>
      <w:sz w:val="0"/>
      <w:szCs w:val="0"/>
      <w:lang w:eastAsia="en-US"/>
    </w:rPr>
  </w:style>
  <w:style w:type="paragraph" w:customStyle="1" w:styleId="CompanyInformationBold">
    <w:name w:val="Company Information Bold"/>
    <w:basedOn w:val="CompanyInformation"/>
    <w:rPr>
      <w:b/>
    </w:rPr>
  </w:style>
  <w:style w:type="paragraph" w:styleId="Tabledesrfrencesjuridiques">
    <w:name w:val="table of authorities"/>
    <w:basedOn w:val="Normal"/>
    <w:uiPriority w:val="99"/>
    <w:semiHidden/>
    <w:pPr>
      <w:tabs>
        <w:tab w:val="right" w:leader="dot" w:pos="7560"/>
      </w:tabs>
      <w:ind w:left="1440" w:hanging="360"/>
    </w:pPr>
  </w:style>
  <w:style w:type="paragraph" w:styleId="Tabledesillustrations">
    <w:name w:val="table of figures"/>
    <w:basedOn w:val="Normal"/>
    <w:uiPriority w:val="99"/>
    <w:semiHidden/>
    <w:pPr>
      <w:ind w:left="1440" w:hanging="360"/>
    </w:pPr>
  </w:style>
  <w:style w:type="paragraph" w:styleId="TitreTR">
    <w:name w:val="toa heading"/>
    <w:basedOn w:val="Normal"/>
    <w:next w:val="Tabledesrfrencesjuridiques"/>
    <w:uiPriority w:val="99"/>
    <w:semiHidden/>
    <w:pPr>
      <w:keepNext/>
      <w:spacing w:line="480" w:lineRule="atLeast"/>
    </w:pPr>
    <w:rPr>
      <w:rFonts w:ascii="Arial Black" w:hAnsi="Arial Black"/>
      <w:b/>
      <w:spacing w:val="-10"/>
    </w:rPr>
  </w:style>
  <w:style w:type="paragraph" w:styleId="TM1">
    <w:name w:val="toc 1"/>
    <w:basedOn w:val="Normal"/>
    <w:uiPriority w:val="39"/>
    <w:pPr>
      <w:tabs>
        <w:tab w:val="left" w:pos="284"/>
        <w:tab w:val="right" w:leader="dot" w:pos="9072"/>
      </w:tabs>
    </w:pPr>
    <w:rPr>
      <w:spacing w:val="-4"/>
    </w:rPr>
  </w:style>
  <w:style w:type="paragraph" w:customStyle="1" w:styleId="AdresseAIFE">
    <w:name w:val="Adresse AIFE"/>
    <w:basedOn w:val="CompanyInformation"/>
    <w:rPr>
      <w:color w:val="333333"/>
      <w:sz w:val="14"/>
    </w:rPr>
  </w:style>
  <w:style w:type="paragraph" w:styleId="TM3">
    <w:name w:val="toc 3"/>
    <w:basedOn w:val="Normal"/>
    <w:uiPriority w:val="39"/>
    <w:pPr>
      <w:tabs>
        <w:tab w:val="left" w:pos="1134"/>
        <w:tab w:val="right" w:leader="dot" w:pos="9072"/>
      </w:tabs>
      <w:ind w:left="567"/>
    </w:pPr>
  </w:style>
  <w:style w:type="paragraph" w:styleId="TM4">
    <w:name w:val="toc 4"/>
    <w:basedOn w:val="Normal"/>
    <w:uiPriority w:val="39"/>
    <w:semiHidden/>
    <w:pPr>
      <w:ind w:left="360"/>
    </w:pPr>
  </w:style>
  <w:style w:type="paragraph" w:styleId="TM5">
    <w:name w:val="toc 5"/>
    <w:basedOn w:val="Normal"/>
    <w:uiPriority w:val="39"/>
    <w:semiHidden/>
    <w:pPr>
      <w:ind w:left="360"/>
    </w:pPr>
  </w:style>
  <w:style w:type="paragraph" w:customStyle="1" w:styleId="Chapter">
    <w:name w:val="Chapter"/>
    <w:basedOn w:val="Normal"/>
    <w:pPr>
      <w:spacing w:before="20"/>
    </w:pPr>
    <w:rPr>
      <w:caps/>
      <w:color w:val="808080"/>
      <w:sz w:val="15"/>
      <w:szCs w:val="17"/>
    </w:rPr>
  </w:style>
  <w:style w:type="paragraph" w:customStyle="1" w:styleId="ChapterBold">
    <w:name w:val="Chapter Bold"/>
    <w:basedOn w:val="Chapter"/>
    <w:rPr>
      <w:b/>
    </w:rPr>
  </w:style>
  <w:style w:type="paragraph" w:customStyle="1" w:styleId="CompanyInformationItalic">
    <w:name w:val="Company Information Italic"/>
    <w:basedOn w:val="CompanyInformation"/>
    <w:link w:val="CompanyInformationItalicChar"/>
    <w:rPr>
      <w:i/>
    </w:rPr>
  </w:style>
  <w:style w:type="character" w:customStyle="1" w:styleId="CompanyInformationItalicChar">
    <w:name w:val="Company Information Italic Char"/>
    <w:link w:val="CompanyInformationItalic"/>
    <w:rPr>
      <w:rFonts w:ascii="Verdana" w:hAnsi="Verdana"/>
      <w:i/>
      <w:color w:val="808080"/>
      <w:sz w:val="15"/>
      <w:lang w:val="en-US" w:eastAsia="en-US"/>
    </w:rPr>
  </w:style>
  <w:style w:type="paragraph" w:styleId="Pieddepage">
    <w:name w:val="footer"/>
    <w:basedOn w:val="Normal"/>
    <w:link w:val="PieddepageCar"/>
    <w:uiPriority w:val="99"/>
    <w:pPr>
      <w:tabs>
        <w:tab w:val="center" w:pos="4320"/>
        <w:tab w:val="right" w:pos="8640"/>
      </w:tabs>
    </w:pPr>
  </w:style>
  <w:style w:type="character" w:customStyle="1" w:styleId="PieddepageCar">
    <w:name w:val="Pied de page Car"/>
    <w:link w:val="Pieddepage"/>
    <w:uiPriority w:val="99"/>
    <w:semiHidden/>
    <w:rPr>
      <w:rFonts w:ascii="Verdana" w:hAnsi="Verdana"/>
      <w:sz w:val="17"/>
      <w:lang w:eastAsia="en-US"/>
    </w:rPr>
  </w:style>
  <w:style w:type="paragraph" w:styleId="Titre">
    <w:name w:val="Title"/>
    <w:basedOn w:val="Normal"/>
    <w:link w:val="TitreCar"/>
    <w:uiPriority w:val="10"/>
    <w:qFormat/>
    <w:rPr>
      <w:b/>
      <w:caps/>
      <w:sz w:val="40"/>
      <w:szCs w:val="40"/>
    </w:rPr>
  </w:style>
  <w:style w:type="character" w:customStyle="1" w:styleId="TitreCar">
    <w:name w:val="Titre Car"/>
    <w:link w:val="Titre"/>
    <w:uiPriority w:val="10"/>
    <w:rPr>
      <w:rFonts w:ascii="Cambria" w:eastAsia="Times New Roman" w:hAnsi="Cambria" w:cs="Times New Roman"/>
      <w:b/>
      <w:bCs/>
      <w:sz w:val="32"/>
      <w:szCs w:val="32"/>
      <w:lang w:eastAsia="en-US"/>
    </w:rPr>
  </w:style>
  <w:style w:type="paragraph" w:styleId="Sous-titre">
    <w:name w:val="Subtitle"/>
    <w:basedOn w:val="Normal"/>
    <w:link w:val="Sous-titreCar"/>
    <w:uiPriority w:val="11"/>
    <w:qFormat/>
    <w:rPr>
      <w:i/>
      <w:sz w:val="24"/>
    </w:rPr>
  </w:style>
  <w:style w:type="character" w:customStyle="1" w:styleId="Sous-titreCar">
    <w:name w:val="Sous-titre Car"/>
    <w:link w:val="Sous-titre"/>
    <w:uiPriority w:val="11"/>
    <w:rPr>
      <w:rFonts w:ascii="Cambria" w:eastAsia="Times New Roman" w:hAnsi="Cambria" w:cs="Times New Roman"/>
      <w:sz w:val="24"/>
      <w:szCs w:val="24"/>
      <w:lang w:eastAsia="en-US"/>
    </w:rPr>
  </w:style>
  <w:style w:type="paragraph" w:customStyle="1" w:styleId="BulletedListBold">
    <w:name w:val="Bulleted List Bold"/>
    <w:basedOn w:val="BulletedList"/>
    <w:link w:val="BulletedListBoldChar"/>
    <w:rPr>
      <w:b/>
    </w:rPr>
  </w:style>
  <w:style w:type="character" w:customStyle="1" w:styleId="BulletedListBoldChar">
    <w:name w:val="Bulleted List Bold Char"/>
    <w:link w:val="BulletedListBold"/>
    <w:rPr>
      <w:rFonts w:ascii="Verdana" w:hAnsi="Verdana"/>
      <w:b/>
      <w:sz w:val="17"/>
      <w:lang w:val="en-US" w:eastAsia="en-US"/>
    </w:rPr>
  </w:style>
  <w:style w:type="paragraph" w:customStyle="1" w:styleId="NumberedListBold">
    <w:name w:val="Numbered List Bold"/>
    <w:basedOn w:val="NumberedList"/>
    <w:link w:val="NumberedListBoldChar"/>
    <w:rPr>
      <w:b/>
    </w:rPr>
  </w:style>
  <w:style w:type="character" w:customStyle="1" w:styleId="NumberedListBoldChar">
    <w:name w:val="Numbered List Bold Char"/>
    <w:link w:val="NumberedListBold"/>
    <w:rPr>
      <w:rFonts w:ascii="Verdana" w:hAnsi="Verdana"/>
      <w:b/>
      <w:sz w:val="17"/>
      <w:lang w:val="en-US" w:eastAsia="en-US"/>
    </w:rPr>
  </w:style>
  <w:style w:type="character" w:customStyle="1" w:styleId="Lead-inEmphasis">
    <w:name w:val="Lead-in Emphasis"/>
    <w:rPr>
      <w:rFonts w:ascii="Tahoma" w:hAnsi="Tahoma"/>
      <w:b/>
      <w:spacing w:val="4"/>
    </w:rPr>
  </w:style>
  <w:style w:type="character" w:styleId="Lienhypertexte">
    <w:name w:val="Hyperlink"/>
    <w:uiPriority w:val="99"/>
    <w:rPr>
      <w:color w:val="0000FF"/>
      <w:u w:val="single"/>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lassique1">
    <w:name w:val="Classique 1"/>
    <w:basedOn w:val="TableauNormal"/>
    <w:uiPriority w:val="99"/>
    <w:pPr>
      <w:spacing w:line="312" w:lineRule="auto"/>
    </w:pPr>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character" w:styleId="Numrodepage">
    <w:name w:val="page number"/>
    <w:uiPriority w:val="99"/>
    <w:rPr>
      <w:rFonts w:cs="Times New Roman"/>
    </w:rPr>
  </w:style>
  <w:style w:type="paragraph" w:styleId="En-ttedetabledesmatires">
    <w:name w:val="TOC Heading"/>
    <w:basedOn w:val="Titre1"/>
    <w:next w:val="Normal"/>
    <w:uiPriority w:val="39"/>
    <w:qFormat/>
    <w:pPr>
      <w:keepLines/>
      <w:numPr>
        <w:numId w:val="0"/>
      </w:numPr>
      <w:spacing w:before="480" w:after="0" w:line="276" w:lineRule="auto"/>
      <w:outlineLvl w:val="9"/>
    </w:pPr>
    <w:rPr>
      <w:rFonts w:ascii="Cambria" w:hAnsi="Cambria"/>
      <w:bCs/>
      <w:caps w:val="0"/>
      <w:color w:val="365F91"/>
      <w:szCs w:val="28"/>
    </w:rPr>
  </w:style>
  <w:style w:type="paragraph" w:styleId="Citationintense">
    <w:name w:val="Intense Quote"/>
    <w:basedOn w:val="Normal"/>
    <w:next w:val="Normal"/>
    <w:link w:val="CitationintenseCar"/>
    <w:uiPriority w:val="30"/>
    <w:qFormat/>
    <w:pPr>
      <w:pBdr>
        <w:bottom w:val="single" w:sz="4" w:space="4" w:color="8EB0AB"/>
      </w:pBdr>
      <w:spacing w:before="200" w:after="280"/>
      <w:ind w:left="936" w:right="936"/>
    </w:pPr>
    <w:rPr>
      <w:b/>
      <w:bCs/>
      <w:i/>
      <w:iCs/>
      <w:color w:val="8EB0AB"/>
      <w:lang w:val="en-US"/>
    </w:rPr>
  </w:style>
  <w:style w:type="character" w:customStyle="1" w:styleId="CitationintenseCar">
    <w:name w:val="Citation intense Car"/>
    <w:link w:val="Citationintense"/>
    <w:uiPriority w:val="30"/>
    <w:rPr>
      <w:rFonts w:ascii="Verdana" w:hAnsi="Verdana"/>
      <w:b/>
      <w:i/>
      <w:color w:val="8EB0AB"/>
      <w:sz w:val="17"/>
      <w:lang w:val="en-US" w:eastAsia="en-US"/>
    </w:rPr>
  </w:style>
  <w:style w:type="paragraph" w:customStyle="1" w:styleId="lmentsPointsdaction">
    <w:name w:val="Éléments Points d'action"/>
    <w:basedOn w:val="Normal"/>
    <w:pPr>
      <w:numPr>
        <w:numId w:val="5"/>
      </w:numPr>
      <w:tabs>
        <w:tab w:val="left" w:pos="5040"/>
      </w:tabs>
      <w:spacing w:before="60" w:after="60" w:line="240" w:lineRule="auto"/>
    </w:pPr>
    <w:rPr>
      <w:rFonts w:ascii="Arial" w:hAnsi="Arial" w:cs="Arial"/>
      <w:sz w:val="19"/>
      <w:szCs w:val="19"/>
    </w:rPr>
  </w:style>
  <w:style w:type="paragraph" w:customStyle="1" w:styleId="AllCapsHeading">
    <w:name w:val="All Caps Heading"/>
    <w:basedOn w:val="Normal"/>
    <w:pPr>
      <w:spacing w:line="240" w:lineRule="auto"/>
    </w:pPr>
    <w:rPr>
      <w:rFonts w:ascii="Tahoma" w:hAnsi="Tahoma" w:cs="Tahoma"/>
      <w:b/>
      <w:caps/>
      <w:color w:val="808080"/>
      <w:spacing w:val="4"/>
      <w:sz w:val="14"/>
      <w:szCs w:val="14"/>
    </w:rPr>
  </w:style>
  <w:style w:type="paragraph" w:customStyle="1" w:styleId="Adresseexpediteur">
    <w:name w:val="Adresse expediteur"/>
    <w:basedOn w:val="Normal"/>
    <w:pPr>
      <w:spacing w:line="240" w:lineRule="auto"/>
      <w:ind w:left="142"/>
    </w:pPr>
    <w:rPr>
      <w:sz w:val="16"/>
      <w:lang w:eastAsia="fr-FR"/>
    </w:rPr>
  </w:style>
  <w:style w:type="paragraph" w:styleId="TM2">
    <w:name w:val="toc 2"/>
    <w:basedOn w:val="Normal"/>
    <w:uiPriority w:val="39"/>
    <w:pPr>
      <w:tabs>
        <w:tab w:val="left" w:pos="851"/>
        <w:tab w:val="right" w:leader="dot" w:pos="9072"/>
      </w:tabs>
      <w:ind w:left="360"/>
    </w:pPr>
  </w:style>
  <w:style w:type="character" w:customStyle="1" w:styleId="Objetducourrier">
    <w:name w:val="Objet du courrier"/>
    <w:rPr>
      <w:rFonts w:ascii="Verdana" w:hAnsi="Verdana"/>
      <w:sz w:val="18"/>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eastAsia="fr-FR"/>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rFonts w:ascii="Verdana" w:hAnsi="Verdana"/>
      <w:b/>
      <w:bCs/>
      <w:lang w:eastAsia="en-US"/>
    </w:rPr>
  </w:style>
  <w:style w:type="paragraph" w:styleId="Sansinterligne">
    <w:name w:val="No Spacing"/>
    <w:uiPriority w:val="1"/>
    <w:rPr>
      <w:rFonts w:ascii="Verdana" w:hAnsi="Verdana"/>
      <w:sz w:val="17"/>
      <w:lang w:eastAsia="en-US"/>
    </w:rPr>
  </w:style>
  <w:style w:type="paragraph" w:customStyle="1" w:styleId="Liste1">
    <w:name w:val="Liste 1"/>
    <w:basedOn w:val="Normal"/>
    <w:link w:val="Liste1Car"/>
    <w:uiPriority w:val="99"/>
    <w:qFormat/>
    <w:pPr>
      <w:numPr>
        <w:numId w:val="12"/>
      </w:numPr>
      <w:spacing w:after="120" w:line="240" w:lineRule="auto"/>
      <w:ind w:left="357" w:hanging="357"/>
      <w:jc w:val="both"/>
    </w:pPr>
    <w:rPr>
      <w:sz w:val="18"/>
      <w:szCs w:val="24"/>
    </w:rPr>
  </w:style>
  <w:style w:type="character" w:customStyle="1" w:styleId="Liste1Car">
    <w:name w:val="Liste 1 Car"/>
    <w:link w:val="Liste1"/>
    <w:uiPriority w:val="99"/>
    <w:rPr>
      <w:rFonts w:ascii="Marianne" w:hAnsi="Marianne"/>
      <w:sz w:val="18"/>
      <w:szCs w:val="24"/>
      <w:lang w:eastAsia="en-US"/>
    </w:rPr>
  </w:style>
  <w:style w:type="paragraph" w:styleId="Paragraphedeliste">
    <w:name w:val="List Paragraph"/>
    <w:basedOn w:val="Normal"/>
    <w:uiPriority w:val="34"/>
    <w:qFormat/>
    <w:pPr>
      <w:ind w:left="720"/>
      <w:contextualSpacing/>
    </w:pPr>
  </w:style>
  <w:style w:type="paragraph" w:customStyle="1" w:styleId="Texte-Adresseligne1">
    <w:name w:val="Texte - Adresse ligne 1"/>
    <w:basedOn w:val="Normal"/>
    <w:pPr>
      <w:framePr w:w="9979" w:h="964" w:wrap="notBeside" w:vAnchor="page" w:hAnchor="page" w:xAlign="center" w:yAlign="bottom"/>
      <w:spacing w:line="192" w:lineRule="atLeast"/>
    </w:pPr>
    <w:rPr>
      <w:rFonts w:ascii="Calibri" w:eastAsia="Calibri" w:hAnsi="Calibri" w:cs="Calibri"/>
      <w:sz w:val="16"/>
    </w:rPr>
  </w:style>
  <w:style w:type="paragraph" w:customStyle="1" w:styleId="Texte-Adresseligne2">
    <w:name w:val="Texte - Adresse ligne 2"/>
    <w:basedOn w:val="Texte-Adresseligne1"/>
    <w:pPr>
      <w:framePr w:wrap="notBeside"/>
    </w:pPr>
  </w:style>
  <w:style w:type="paragraph" w:customStyle="1" w:styleId="Texte-Tl">
    <w:name w:val="Texte - Tél."/>
    <w:basedOn w:val="Texte-Adresseligne1"/>
    <w:pPr>
      <w:framePr w:wrap="notBeside"/>
    </w:pPr>
  </w:style>
  <w:style w:type="paragraph" w:customStyle="1" w:styleId="Texte-Pieddepage">
    <w:name w:val="Texte - Pied de page"/>
    <w:basedOn w:val="Texte-Adresseligne1"/>
    <w:pPr>
      <w:framePr w:wrap="notBeside"/>
    </w:pPr>
    <w:rPr>
      <w:lang w:val="en-US"/>
    </w:rPr>
  </w:style>
  <w:style w:type="paragraph" w:customStyle="1" w:styleId="Pagination">
    <w:name w:val="Pagination"/>
    <w:basedOn w:val="Normal"/>
    <w:pPr>
      <w:framePr w:w="9979" w:h="964" w:wrap="notBeside" w:vAnchor="page" w:hAnchor="page" w:xAlign="center" w:yAlign="bottom"/>
      <w:spacing w:line="192" w:lineRule="atLeast"/>
      <w:jc w:val="center"/>
    </w:pPr>
    <w:rPr>
      <w:rFonts w:ascii="Calibri" w:eastAsia="Calibri" w:hAnsi="Calibri" w:cs="Calibri"/>
      <w:sz w:val="16"/>
      <w:lang w:val="en-US"/>
    </w:rPr>
  </w:style>
  <w:style w:type="paragraph" w:styleId="Date">
    <w:name w:val="Date"/>
    <w:basedOn w:val="Normal"/>
    <w:next w:val="Normal"/>
    <w:link w:val="DateCar"/>
    <w:uiPriority w:val="99"/>
    <w:pPr>
      <w:spacing w:line="192" w:lineRule="atLeast"/>
      <w:jc w:val="right"/>
    </w:pPr>
    <w:rPr>
      <w:rFonts w:ascii="Calibri" w:eastAsia="Calibri" w:hAnsi="Calibri" w:cs="Calibri"/>
      <w:sz w:val="16"/>
    </w:rPr>
  </w:style>
  <w:style w:type="character" w:customStyle="1" w:styleId="DateCar">
    <w:name w:val="Date Car"/>
    <w:basedOn w:val="Policepardfaut"/>
    <w:link w:val="Date"/>
    <w:uiPriority w:val="99"/>
    <w:rPr>
      <w:rFonts w:ascii="Calibri" w:eastAsia="Calibri" w:hAnsi="Calibri" w:cs="Calibri"/>
      <w:sz w:val="16"/>
      <w:lang w:eastAsia="en-US"/>
    </w:rPr>
  </w:style>
  <w:style w:type="paragraph" w:customStyle="1" w:styleId="TITRE0">
    <w:name w:val="TITRE 0"/>
    <w:basedOn w:val="Titre1"/>
    <w:pPr>
      <w:numPr>
        <w:numId w:val="0"/>
      </w:numPr>
      <w:shd w:val="clear" w:color="auto" w:fill="FFFFFF"/>
      <w:spacing w:before="360" w:after="600"/>
      <w:jc w:val="center"/>
    </w:pPr>
    <w:rPr>
      <w:rFonts w:ascii="Arial" w:hAnsi="Arial" w:cs="Arial"/>
      <w:bCs/>
      <w:caps w:val="0"/>
      <w:sz w:val="36"/>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aife.economie.gouv.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2366</Words>
  <Characters>13013</Characters>
  <Application>Microsoft Office Word</Application>
  <DocSecurity>0</DocSecurity>
  <Lines>108</Lines>
  <Paragraphs>30</Paragraphs>
  <ScaleCrop>false</ScaleCrop>
  <Company>AIFE</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fcopit</dc:creator>
  <cp:keywords>AIFE</cp:keywords>
  <cp:lastModifiedBy>Catherine REBOISSON</cp:lastModifiedBy>
  <cp:revision>7</cp:revision>
  <dcterms:created xsi:type="dcterms:W3CDTF">2024-12-04T16:11:00Z</dcterms:created>
  <dcterms:modified xsi:type="dcterms:W3CDTF">2024-12-13T15:09:00Z</dcterms:modified>
</cp:coreProperties>
</file>