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0D28D4D4" w14:textId="77777777" w:rsidR="0074745D" w:rsidRPr="0074745D" w:rsidRDefault="0074745D" w:rsidP="0074745D">
      <w:pPr>
        <w:jc w:val="center"/>
        <w:rPr>
          <w:rFonts w:ascii="Georgia" w:hAnsi="Georgia" w:cs="Arial"/>
          <w:sz w:val="26"/>
          <w:szCs w:val="26"/>
        </w:rPr>
      </w:pPr>
      <w:r w:rsidRPr="0074745D">
        <w:rPr>
          <w:rFonts w:ascii="Georgia" w:hAnsi="Georgia" w:cs="Arial"/>
          <w:sz w:val="26"/>
          <w:szCs w:val="26"/>
        </w:rPr>
        <w:t>Lot 5 : Desserts surgelés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3BED3424" w14:textId="77777777" w:rsidR="0074745D" w:rsidRPr="0074745D" w:rsidRDefault="0047746E" w:rsidP="0074745D">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74745D" w:rsidRPr="0074745D">
        <w:rPr>
          <w:rFonts w:ascii="Arial" w:hAnsi="Arial" w:cs="Arial"/>
        </w:rPr>
        <w:t>Lot 5 : Desserts surgelés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74745D">
        <w:rPr>
          <w:rFonts w:ascii="Arial" w:hAnsi="Arial" w:cs="Arial"/>
          <w:sz w:val="20"/>
          <w:szCs w:val="20"/>
        </w:rPr>
      </w:r>
      <w:r w:rsidR="0074745D">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74745D">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74745D">
        <w:rPr>
          <w:rFonts w:ascii="Arial" w:hAnsi="Arial" w:cs="Arial"/>
          <w:sz w:val="20"/>
          <w:szCs w:val="20"/>
        </w:rPr>
      </w:r>
      <w:r w:rsidR="0074745D">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74745D">
        <w:rPr>
          <w:rFonts w:ascii="Arial" w:hAnsi="Arial" w:cs="Arial"/>
          <w:sz w:val="20"/>
          <w:szCs w:val="20"/>
        </w:rPr>
      </w:r>
      <w:r w:rsidR="0074745D">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74745D">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74745D">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74745D">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4745D">
        <w:rPr>
          <w:sz w:val="20"/>
          <w:szCs w:val="20"/>
        </w:rPr>
      </w:r>
      <w:r w:rsidR="0074745D">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4745D"/>
    <w:rsid w:val="00767514"/>
    <w:rsid w:val="007970F3"/>
    <w:rsid w:val="007A69F8"/>
    <w:rsid w:val="00864ABA"/>
    <w:rsid w:val="008D58BB"/>
    <w:rsid w:val="008E0D56"/>
    <w:rsid w:val="00924F38"/>
    <w:rsid w:val="009C67C4"/>
    <w:rsid w:val="009C71DE"/>
    <w:rsid w:val="009D5F9F"/>
    <w:rsid w:val="00A1110D"/>
    <w:rsid w:val="00A2688E"/>
    <w:rsid w:val="00A26A08"/>
    <w:rsid w:val="00A652D1"/>
    <w:rsid w:val="00AB60A2"/>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571703">
      <w:bodyDiv w:val="1"/>
      <w:marLeft w:val="0"/>
      <w:marRight w:val="0"/>
      <w:marTop w:val="0"/>
      <w:marBottom w:val="0"/>
      <w:divBdr>
        <w:top w:val="none" w:sz="0" w:space="0" w:color="auto"/>
        <w:left w:val="none" w:sz="0" w:space="0" w:color="auto"/>
        <w:bottom w:val="none" w:sz="0" w:space="0" w:color="auto"/>
        <w:right w:val="none" w:sz="0" w:space="0" w:color="auto"/>
      </w:divBdr>
    </w:div>
    <w:div w:id="501630168">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363440405">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20758582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1326</Words>
  <Characters>7294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