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109" w:rsidRDefault="00A82109">
      <w:pPr>
        <w:spacing w:after="40" w:line="240" w:lineRule="exact"/>
      </w:pPr>
    </w:p>
    <w:p w:rsidR="00A82109" w:rsidRDefault="00421422">
      <w:pPr>
        <w:ind w:left="2660" w:right="26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109" w:rsidRDefault="00A8210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82109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A82109" w:rsidRDefault="00421422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A82109" w:rsidRDefault="00421422">
      <w:pPr>
        <w:spacing w:line="240" w:lineRule="exact"/>
      </w:pPr>
      <w:r>
        <w:t xml:space="preserve"> </w:t>
      </w:r>
    </w:p>
    <w:p w:rsidR="00A82109" w:rsidRDefault="00A82109">
      <w:pPr>
        <w:spacing w:after="120" w:line="240" w:lineRule="exact"/>
      </w:pPr>
    </w:p>
    <w:p w:rsidR="00A82109" w:rsidRDefault="00421422">
      <w:pPr>
        <w:spacing w:before="20"/>
        <w:ind w:left="20" w:right="20"/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FOURNITURES COURANTES ET DE SERVICES</w:t>
      </w:r>
    </w:p>
    <w:p w:rsidR="00A82109" w:rsidRPr="00FE2B58" w:rsidRDefault="00A82109">
      <w:pPr>
        <w:spacing w:line="240" w:lineRule="exact"/>
        <w:rPr>
          <w:lang w:val="fr-FR"/>
        </w:rPr>
      </w:pPr>
    </w:p>
    <w:p w:rsidR="00A82109" w:rsidRPr="00FE2B58" w:rsidRDefault="00A82109">
      <w:pPr>
        <w:spacing w:line="240" w:lineRule="exact"/>
        <w:rPr>
          <w:lang w:val="fr-FR"/>
        </w:rPr>
      </w:pPr>
    </w:p>
    <w:p w:rsidR="00A82109" w:rsidRPr="00FE2B58" w:rsidRDefault="00A82109">
      <w:pPr>
        <w:spacing w:line="240" w:lineRule="exact"/>
        <w:rPr>
          <w:lang w:val="fr-FR"/>
        </w:rPr>
      </w:pPr>
    </w:p>
    <w:p w:rsidR="00A82109" w:rsidRPr="00FE2B58" w:rsidRDefault="00A82109">
      <w:pPr>
        <w:spacing w:line="240" w:lineRule="exact"/>
        <w:rPr>
          <w:lang w:val="fr-FR"/>
        </w:rPr>
      </w:pPr>
    </w:p>
    <w:p w:rsidR="00A82109" w:rsidRPr="00FE2B58" w:rsidRDefault="00A82109">
      <w:pPr>
        <w:spacing w:line="240" w:lineRule="exact"/>
        <w:rPr>
          <w:lang w:val="fr-FR"/>
        </w:rPr>
      </w:pPr>
    </w:p>
    <w:p w:rsidR="00A82109" w:rsidRPr="00FE2B58" w:rsidRDefault="00A82109">
      <w:pPr>
        <w:spacing w:line="240" w:lineRule="exact"/>
        <w:rPr>
          <w:lang w:val="fr-FR"/>
        </w:rPr>
      </w:pPr>
    </w:p>
    <w:p w:rsidR="00A82109" w:rsidRPr="00FE2B58" w:rsidRDefault="00A82109">
      <w:pPr>
        <w:spacing w:line="240" w:lineRule="exact"/>
        <w:rPr>
          <w:lang w:val="fr-FR"/>
        </w:rPr>
      </w:pPr>
    </w:p>
    <w:p w:rsidR="00A82109" w:rsidRPr="00FE2B58" w:rsidRDefault="00A82109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8210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A82109" w:rsidRDefault="006D7391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Collecte,</w:t>
            </w:r>
            <w:r w:rsidR="00421422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traitement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et valorisation</w:t>
            </w:r>
            <w:r w:rsidR="00421422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des </w:t>
            </w:r>
            <w:r w:rsidR="003C6953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DASRI</w:t>
            </w:r>
            <w:r w:rsidR="00421422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du GHT de l'UHC</w:t>
            </w:r>
          </w:p>
          <w:p w:rsidR="00A82109" w:rsidRDefault="00A82109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</w:tc>
      </w:tr>
    </w:tbl>
    <w:p w:rsidR="00A82109" w:rsidRDefault="00421422">
      <w:pPr>
        <w:spacing w:line="240" w:lineRule="exact"/>
      </w:pPr>
      <w:r>
        <w:t xml:space="preserve"> </w:t>
      </w:r>
    </w:p>
    <w:p w:rsidR="00A82109" w:rsidRDefault="00A82109">
      <w:pPr>
        <w:spacing w:line="240" w:lineRule="exact"/>
      </w:pPr>
    </w:p>
    <w:p w:rsidR="00A82109" w:rsidRDefault="00A82109">
      <w:pPr>
        <w:spacing w:line="240" w:lineRule="exact"/>
      </w:pPr>
    </w:p>
    <w:p w:rsidR="00A82109" w:rsidRDefault="00A82109">
      <w:pPr>
        <w:spacing w:line="240" w:lineRule="exact"/>
      </w:pPr>
    </w:p>
    <w:p w:rsidR="006D7391" w:rsidRDefault="006D7391">
      <w:pPr>
        <w:spacing w:line="240" w:lineRule="exact"/>
      </w:pPr>
    </w:p>
    <w:p w:rsidR="00A82109" w:rsidRDefault="00A82109">
      <w:pPr>
        <w:spacing w:line="240" w:lineRule="exact"/>
      </w:pPr>
    </w:p>
    <w:p w:rsidR="00A82109" w:rsidRDefault="00A82109">
      <w:pPr>
        <w:spacing w:line="240" w:lineRule="exact"/>
      </w:pPr>
    </w:p>
    <w:p w:rsidR="006D7391" w:rsidRDefault="006D7391">
      <w:pPr>
        <w:spacing w:line="240" w:lineRule="exact"/>
      </w:pPr>
    </w:p>
    <w:p w:rsidR="006D7391" w:rsidRDefault="006D7391">
      <w:pPr>
        <w:spacing w:line="240" w:lineRule="exact"/>
      </w:pPr>
    </w:p>
    <w:p w:rsidR="006D7391" w:rsidRDefault="006D7391">
      <w:pPr>
        <w:spacing w:line="240" w:lineRule="exact"/>
      </w:pPr>
    </w:p>
    <w:p w:rsidR="00A82109" w:rsidRDefault="00A82109">
      <w:pPr>
        <w:spacing w:after="100" w:line="240" w:lineRule="exact"/>
      </w:pPr>
    </w:p>
    <w:p w:rsidR="00A82109" w:rsidRDefault="00421422">
      <w:pPr>
        <w:spacing w:line="294" w:lineRule="exact"/>
        <w:ind w:left="20" w:right="2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A82109" w:rsidRDefault="00421422">
      <w:pPr>
        <w:spacing w:line="294" w:lineRule="exact"/>
        <w:ind w:left="20" w:right="20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A82109" w:rsidRDefault="00421422">
      <w:pPr>
        <w:spacing w:line="294" w:lineRule="exact"/>
        <w:ind w:left="20" w:right="20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14 Avenue Yves Thépot</w:t>
      </w:r>
    </w:p>
    <w:p w:rsidR="00A82109" w:rsidRDefault="00421422">
      <w:pPr>
        <w:spacing w:line="294" w:lineRule="exact"/>
        <w:ind w:left="20" w:right="20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A82109" w:rsidRDefault="00421422">
      <w:pPr>
        <w:spacing w:line="294" w:lineRule="exact"/>
        <w:ind w:left="20" w:right="20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A82109" w:rsidRDefault="00A82109">
      <w:pPr>
        <w:spacing w:line="294" w:lineRule="exact"/>
        <w:ind w:left="20" w:right="20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A82109">
          <w:pgSz w:w="11900" w:h="16840"/>
          <w:pgMar w:top="1134" w:right="1134" w:bottom="1134" w:left="1134" w:header="1134" w:footer="1134" w:gutter="0"/>
          <w:cols w:space="708"/>
        </w:sectPr>
      </w:pPr>
    </w:p>
    <w:p w:rsidR="00A82109" w:rsidRDefault="00A82109">
      <w:pPr>
        <w:spacing w:line="20" w:lineRule="exact"/>
        <w:rPr>
          <w:sz w:val="2"/>
        </w:rPr>
      </w:pPr>
    </w:p>
    <w:p w:rsidR="00A82109" w:rsidRDefault="00421422">
      <w:pPr>
        <w:spacing w:after="100"/>
        <w:ind w:left="20" w:right="2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SOMMAIRE</w:t>
      </w:r>
    </w:p>
    <w:p w:rsidR="00A82109" w:rsidRDefault="00A82109">
      <w:pPr>
        <w:spacing w:after="80" w:line="240" w:lineRule="exact"/>
      </w:pPr>
    </w:p>
    <w:p w:rsidR="008A41B5" w:rsidRDefault="0042142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r w:rsidR="008A41B5"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1 - Préambule : Objet du marché</w:t>
      </w:r>
      <w:r w:rsidR="008A41B5">
        <w:rPr>
          <w:noProof/>
        </w:rPr>
        <w:tab/>
      </w:r>
      <w:r w:rsidR="008A41B5">
        <w:rPr>
          <w:noProof/>
        </w:rPr>
        <w:fldChar w:fldCharType="begin"/>
      </w:r>
      <w:r w:rsidR="008A41B5">
        <w:rPr>
          <w:noProof/>
        </w:rPr>
        <w:instrText xml:space="preserve"> PAGEREF _Toc184039830 \h </w:instrText>
      </w:r>
      <w:r w:rsidR="008A41B5">
        <w:rPr>
          <w:noProof/>
        </w:rPr>
      </w:r>
      <w:r w:rsidR="008A41B5">
        <w:rPr>
          <w:noProof/>
        </w:rPr>
        <w:fldChar w:fldCharType="separate"/>
      </w:r>
      <w:r w:rsidR="008A41B5">
        <w:rPr>
          <w:noProof/>
        </w:rPr>
        <w:t>3</w:t>
      </w:r>
      <w:r w:rsidR="008A41B5"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2 - Identification de l'acheteur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3 -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A41B5" w:rsidRDefault="008A41B5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A41B5" w:rsidRDefault="008A41B5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A41B5" w:rsidRDefault="008A41B5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6 -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A41B5" w:rsidRDefault="008A41B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06A62">
        <w:rPr>
          <w:rFonts w:ascii="Century Gothic" w:eastAsia="Century Gothic" w:hAnsi="Century Gothic" w:cs="Century Gothic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_Toc184039842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2109" w:rsidRDefault="00421422">
      <w:pPr>
        <w:spacing w:after="120"/>
        <w:ind w:left="20" w:right="2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A8210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A82109" w:rsidRPr="00FE2B58" w:rsidRDefault="00A82109">
      <w:pPr>
        <w:spacing w:line="20" w:lineRule="exact"/>
        <w:rPr>
          <w:sz w:val="2"/>
          <w:lang w:val="fr-FR"/>
        </w:rPr>
      </w:pP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0" w:name="_Toc184039830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 xml:space="preserve">1 - Préambule : </w:t>
      </w:r>
      <w:r w:rsidR="00231A8E">
        <w:rPr>
          <w:rFonts w:ascii="Century Gothic" w:eastAsia="Century Gothic" w:hAnsi="Century Gothic" w:cs="Century Gothic"/>
          <w:color w:val="000000"/>
          <w:sz w:val="28"/>
          <w:lang w:val="fr-FR"/>
        </w:rPr>
        <w:t>Objet du marché</w:t>
      </w:r>
      <w:bookmarkEnd w:id="0"/>
    </w:p>
    <w:p w:rsidR="00A82109" w:rsidRDefault="00A82109">
      <w:pPr>
        <w:rPr>
          <w:lang w:val="fr-FR"/>
        </w:rPr>
      </w:pPr>
    </w:p>
    <w:p w:rsidR="00231A8E" w:rsidRDefault="00231A8E">
      <w:pPr>
        <w:rPr>
          <w:rFonts w:ascii="Century Gothic" w:hAnsi="Century Gothic"/>
          <w:color w:val="000000" w:themeColor="text1"/>
          <w:sz w:val="20"/>
          <w:szCs w:val="20"/>
          <w:lang w:val="fr-FR"/>
        </w:rPr>
      </w:pPr>
      <w:r>
        <w:rPr>
          <w:rFonts w:ascii="Century Gothic" w:hAnsi="Century Gothic"/>
          <w:color w:val="000000" w:themeColor="text1"/>
          <w:sz w:val="20"/>
          <w:szCs w:val="20"/>
          <w:lang w:val="fr-FR"/>
        </w:rPr>
        <w:t xml:space="preserve">Collecte, traitement et </w:t>
      </w:r>
      <w:r w:rsidRPr="00EA6895">
        <w:rPr>
          <w:rFonts w:ascii="Century Gothic" w:hAnsi="Century Gothic"/>
          <w:color w:val="000000" w:themeColor="text1"/>
          <w:sz w:val="20"/>
          <w:szCs w:val="20"/>
          <w:lang w:val="fr-FR"/>
        </w:rPr>
        <w:t xml:space="preserve">valorisation des </w:t>
      </w:r>
      <w:r>
        <w:rPr>
          <w:rFonts w:ascii="Century Gothic" w:hAnsi="Century Gothic"/>
          <w:color w:val="000000" w:themeColor="text1"/>
          <w:sz w:val="20"/>
          <w:szCs w:val="20"/>
          <w:lang w:val="fr-FR"/>
        </w:rPr>
        <w:t>déchets d’activités de soins à risques infectieux et assimilés (hors pièces anatomiques identifiables) (DASRI)</w:t>
      </w:r>
      <w:r w:rsidRPr="00EA6895">
        <w:rPr>
          <w:rFonts w:ascii="Century Gothic" w:hAnsi="Century Gothic"/>
          <w:color w:val="000000" w:themeColor="text1"/>
          <w:sz w:val="20"/>
          <w:szCs w:val="20"/>
          <w:lang w:val="fr-FR"/>
        </w:rPr>
        <w:t xml:space="preserve"> pour les besoins du Groupement Hospitalier de Territoire de l'Union Hospitalière de Cornouaille (GHT – UHC)</w:t>
      </w:r>
    </w:p>
    <w:p w:rsidR="00A82109" w:rsidRPr="00FE2B58" w:rsidRDefault="00A82109">
      <w:pPr>
        <w:spacing w:after="20" w:line="240" w:lineRule="exact"/>
        <w:rPr>
          <w:lang w:val="fr-FR"/>
        </w:rPr>
      </w:pP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1" w:name="_Toc184039831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2 - Identification de l'acheteur</w:t>
      </w:r>
      <w:bookmarkEnd w:id="1"/>
    </w:p>
    <w:p w:rsidR="00A82109" w:rsidRDefault="0042142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A82109" w:rsidRDefault="0042142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 Allée du Dr Pilven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A82109" w:rsidRDefault="00A82109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2" w:name="_Toc184039832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3 - Identification du co-contractant</w:t>
      </w:r>
      <w:bookmarkEnd w:id="2"/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 w:rsidRPr="00FE2B5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 w:rsidRPr="00FE2B5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Code APE 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  <w:r>
        <w:rPr>
          <w:color w:val="000000"/>
          <w:lang w:val="fr-FR"/>
        </w:rPr>
        <w:cr/>
      </w:r>
    </w:p>
    <w:p w:rsidR="00676038" w:rsidRDefault="00676038" w:rsidP="00676038">
      <w:pPr>
        <w:rPr>
          <w:lang w:val="fr-FR"/>
        </w:rPr>
      </w:pPr>
    </w:p>
    <w:p w:rsidR="00A82109" w:rsidRDefault="00A82109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A82109" w:rsidRDefault="0042142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A82109" w:rsidRDefault="0042142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 w:rsidRPr="00FE2B5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A82109" w:rsidRPr="00FE2B58" w:rsidRDefault="00421422">
      <w:pPr>
        <w:spacing w:line="240" w:lineRule="exact"/>
        <w:rPr>
          <w:lang w:val="fr-FR"/>
        </w:rPr>
      </w:pPr>
      <w:r w:rsidRPr="00FE2B58">
        <w:rPr>
          <w:lang w:val="fr-FR"/>
        </w:rPr>
        <w:t xml:space="preserve"> 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3" w:name="_Toc184039833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4 - Dispositions générales</w:t>
      </w:r>
      <w:bookmarkEnd w:id="3"/>
    </w:p>
    <w:p w:rsidR="00A82109" w:rsidRDefault="00421422">
      <w:pPr>
        <w:pStyle w:val="Titre2"/>
        <w:spacing w:before="20" w:after="120"/>
        <w:ind w:left="300" w:right="2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4" w:name="_Toc184039834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4"/>
    </w:p>
    <w:p w:rsidR="00A82109" w:rsidRDefault="00421422">
      <w:pPr>
        <w:pStyle w:val="ParagrapheIndent2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A82109" w:rsidRDefault="00421422">
      <w:pPr>
        <w:pStyle w:val="ParagrapheIndent2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Collecte et traitement des déchets pour les besoins du GHT de l'UHC</w:t>
      </w:r>
    </w:p>
    <w:p w:rsidR="00A82109" w:rsidRDefault="00421422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</w:t>
      </w:r>
      <w:r w:rsidR="00FE2B58">
        <w:rPr>
          <w:color w:val="000000"/>
          <w:lang w:val="fr-FR"/>
        </w:rPr>
        <w:t xml:space="preserve">n </w:t>
      </w:r>
      <w:r w:rsidR="007B7796">
        <w:rPr>
          <w:color w:val="000000"/>
          <w:lang w:val="fr-FR"/>
        </w:rPr>
        <w:t>1 lot unique</w:t>
      </w:r>
      <w:r>
        <w:rPr>
          <w:color w:val="000000"/>
          <w:lang w:val="fr-FR"/>
        </w:rPr>
        <w:t>.</w:t>
      </w:r>
    </w:p>
    <w:p w:rsidR="00A82109" w:rsidRDefault="00421422">
      <w:pPr>
        <w:pStyle w:val="Titre2"/>
        <w:spacing w:before="20" w:after="120"/>
        <w:ind w:left="300" w:right="2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5" w:name="_Toc184039835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5"/>
    </w:p>
    <w:p w:rsidR="00A82109" w:rsidRDefault="00421422">
      <w:pPr>
        <w:pStyle w:val="ParagrapheIndent2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A82109" w:rsidRDefault="00421422">
      <w:pPr>
        <w:pStyle w:val="Titre2"/>
        <w:spacing w:before="20" w:after="120"/>
        <w:ind w:left="300" w:right="2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6" w:name="_Toc184039836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6"/>
    </w:p>
    <w:p w:rsidR="001E4890" w:rsidRDefault="001E4890">
      <w:pPr>
        <w:pStyle w:val="ParagrapheIndent2"/>
        <w:spacing w:line="245" w:lineRule="exact"/>
        <w:ind w:left="20" w:right="20"/>
        <w:jc w:val="both"/>
        <w:rPr>
          <w:color w:val="000000"/>
          <w:lang w:val="fr-FR"/>
        </w:rPr>
      </w:pPr>
      <w:r w:rsidRPr="004643E3">
        <w:rPr>
          <w:color w:val="000000"/>
          <w:lang w:val="fr-FR"/>
        </w:rPr>
        <w:t xml:space="preserve">L'accord-cadre sans minimum et avec un </w:t>
      </w:r>
      <w:r w:rsidRPr="00231A8E">
        <w:rPr>
          <w:color w:val="000000"/>
          <w:lang w:val="fr-FR"/>
        </w:rPr>
        <w:t xml:space="preserve">maximum fixé à </w:t>
      </w:r>
      <w:r w:rsidR="00231A8E" w:rsidRPr="00231A8E">
        <w:rPr>
          <w:color w:val="000000"/>
          <w:lang w:val="fr-FR"/>
        </w:rPr>
        <w:t>4 5</w:t>
      </w:r>
      <w:r w:rsidR="009D3636" w:rsidRPr="00231A8E">
        <w:rPr>
          <w:color w:val="000000"/>
          <w:lang w:val="fr-FR"/>
        </w:rPr>
        <w:t>00 000</w:t>
      </w:r>
      <w:r w:rsidRPr="00231A8E">
        <w:rPr>
          <w:color w:val="000000"/>
          <w:lang w:val="fr-FR"/>
        </w:rPr>
        <w:t>€ HT</w:t>
      </w:r>
      <w:r w:rsidR="009D3636" w:rsidRPr="00231A8E">
        <w:rPr>
          <w:color w:val="000000"/>
          <w:lang w:val="fr-FR"/>
        </w:rPr>
        <w:t xml:space="preserve"> </w:t>
      </w:r>
      <w:r w:rsidR="00231A8E">
        <w:rPr>
          <w:color w:val="000000"/>
          <w:lang w:val="fr-FR"/>
        </w:rPr>
        <w:t xml:space="preserve">pour </w:t>
      </w:r>
      <w:r w:rsidRPr="004643E3">
        <w:rPr>
          <w:color w:val="000000"/>
          <w:lang w:val="fr-FR"/>
        </w:rPr>
        <w:t>la durée maximale du marché est passé en application des articles L2125-1 1°, R. 2162-1 à R. 2162-6, R. 2162-13 et R. 2162-14 du Code de la commande publique. Il donnera lieu à l'émission de bons de commande</w:t>
      </w:r>
      <w:r>
        <w:rPr>
          <w:color w:val="000000"/>
          <w:lang w:val="fr-FR"/>
        </w:rPr>
        <w:t>.</w:t>
      </w:r>
      <w:r w:rsidR="00421422">
        <w:rPr>
          <w:color w:val="000000"/>
          <w:lang w:val="fr-FR"/>
        </w:rPr>
        <w:cr/>
      </w:r>
    </w:p>
    <w:p w:rsidR="001E4890" w:rsidRDefault="001E4890" w:rsidP="001E4890">
      <w:pPr>
        <w:rPr>
          <w:lang w:val="fr-FR"/>
        </w:rPr>
      </w:pP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7" w:name="_Toc184039837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lastRenderedPageBreak/>
        <w:t>5 - Prix</w:t>
      </w:r>
      <w:bookmarkEnd w:id="7"/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estimations des quantités totales des prestations pour la durée de l'accord-cadre sont indiquées</w:t>
      </w:r>
      <w:r w:rsidR="00FE2B58">
        <w:rPr>
          <w:color w:val="000000"/>
          <w:lang w:val="fr-FR"/>
        </w:rPr>
        <w:t xml:space="preserve"> dans l’annexe « descriptif des besoins ».</w:t>
      </w: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8" w:name="_Toc184039838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6 - Durée de l'accord-cadre</w:t>
      </w:r>
      <w:bookmarkEnd w:id="8"/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9" w:name="_Toc184039839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7 - Paiement</w:t>
      </w:r>
      <w:bookmarkEnd w:id="9"/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bookmarkStart w:id="10" w:name="_GoBack"/>
      <w:bookmarkEnd w:id="10"/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 w:rsidRPr="00FE2B5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A82109" w:rsidRPr="00FE2B58" w:rsidRDefault="00421422">
      <w:pPr>
        <w:spacing w:line="240" w:lineRule="exact"/>
        <w:rPr>
          <w:lang w:val="fr-FR"/>
        </w:rPr>
      </w:pPr>
      <w:r w:rsidRPr="00FE2B58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 w:rsidRPr="00FE2B5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82109" w:rsidRPr="00FE2B5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Pr="00FE2B58" w:rsidRDefault="00A8210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Pr="00FE2B58" w:rsidRDefault="00A8210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Pr="00FE2B58" w:rsidRDefault="00A82109">
            <w:pPr>
              <w:rPr>
                <w:lang w:val="fr-FR"/>
              </w:rPr>
            </w:pPr>
          </w:p>
        </w:tc>
      </w:tr>
    </w:tbl>
    <w:p w:rsidR="00A82109" w:rsidRPr="00FE2B58" w:rsidRDefault="00A82109">
      <w:pPr>
        <w:rPr>
          <w:lang w:val="fr-FR"/>
        </w:rPr>
        <w:sectPr w:rsidR="00A82109" w:rsidRPr="00FE2B58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:rsidR="00A82109" w:rsidRPr="00FE2B58" w:rsidRDefault="00A82109">
      <w:pPr>
        <w:spacing w:line="20" w:lineRule="exact"/>
        <w:rPr>
          <w:sz w:val="2"/>
          <w:lang w:val="fr-FR"/>
        </w:rPr>
      </w:pPr>
    </w:p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7B7796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A82109" w:rsidRDefault="00421422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11" w:name="_Toc184039840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8 - Avance</w:t>
      </w:r>
      <w:bookmarkEnd w:id="11"/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A82109" w:rsidRDefault="0042142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A82109" w:rsidRDefault="00421422">
      <w:pPr>
        <w:pStyle w:val="ParagrapheIndent1"/>
        <w:spacing w:after="240" w:line="245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A82109" w:rsidRPr="00FE2B58" w:rsidRDefault="00A82109">
      <w:pPr>
        <w:spacing w:after="80" w:line="240" w:lineRule="exact"/>
        <w:rPr>
          <w:lang w:val="fr-FR"/>
        </w:rPr>
      </w:pPr>
    </w:p>
    <w:p w:rsidR="00A82109" w:rsidRDefault="00FE2B58">
      <w:pPr>
        <w:pStyle w:val="Titre1"/>
        <w:spacing w:before="20" w:after="180"/>
        <w:ind w:left="20" w:right="20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12" w:name="_Toc184039841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9</w:t>
      </w:r>
      <w:r w:rsidR="00421422">
        <w:rPr>
          <w:rFonts w:ascii="Century Gothic" w:eastAsia="Century Gothic" w:hAnsi="Century Gothic" w:cs="Century Gothic"/>
          <w:color w:val="000000"/>
          <w:sz w:val="28"/>
          <w:lang w:val="fr-FR"/>
        </w:rPr>
        <w:t xml:space="preserve"> - Signature</w:t>
      </w:r>
      <w:bookmarkEnd w:id="12"/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 w:rsidP="00FE2B58">
      <w:pPr>
        <w:pStyle w:val="ParagrapheIndent1"/>
        <w:spacing w:after="140"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FE2B58" w:rsidRDefault="00FE2B58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421422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000"/>
        <w:gridCol w:w="7600"/>
      </w:tblGrid>
      <w:tr w:rsidR="00231A8E">
        <w:trPr>
          <w:trHeight w:val="50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A8E" w:rsidRDefault="00231A8E">
            <w:pPr>
              <w:spacing w:before="2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Offre</w:t>
            </w:r>
          </w:p>
          <w:p w:rsidR="00231A8E" w:rsidRDefault="00231A8E">
            <w:pPr>
              <w:spacing w:before="2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A8E" w:rsidRDefault="00231A8E">
            <w:pPr>
              <w:spacing w:before="20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231A8E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1A8E" w:rsidRDefault="00231A8E" w:rsidP="001E4890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2B57C4" wp14:editId="7AD2E6C5">
                  <wp:extent cx="257175" cy="257175"/>
                  <wp:effectExtent l="0" t="0" r="9525" b="952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1A8E" w:rsidRPr="00EA6895" w:rsidRDefault="00231A8E" w:rsidP="001E489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EA6895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Déchets d’activités de soins à risques infectieux et assimilés (DASRI) hors pièces anatomiques identifiables</w:t>
            </w:r>
          </w:p>
        </w:tc>
      </w:tr>
    </w:tbl>
    <w:p w:rsidR="00A82109" w:rsidRDefault="00421422">
      <w:pPr>
        <w:spacing w:line="240" w:lineRule="exact"/>
      </w:pPr>
      <w:r>
        <w:t xml:space="preserve"> </w:t>
      </w:r>
    </w:p>
    <w:p w:rsidR="00A82109" w:rsidRDefault="00A82109">
      <w:pPr>
        <w:spacing w:after="80" w:line="240" w:lineRule="exact"/>
      </w:pPr>
    </w:p>
    <w:p w:rsidR="00FE2B58" w:rsidRDefault="00FE2B58">
      <w:pPr>
        <w:spacing w:after="80" w:line="240" w:lineRule="exact"/>
      </w:pPr>
    </w:p>
    <w:p w:rsidR="00A82109" w:rsidRDefault="00A82109">
      <w:pPr>
        <w:spacing w:line="20" w:lineRule="exact"/>
        <w:rPr>
          <w:sz w:val="2"/>
        </w:rPr>
      </w:pPr>
    </w:p>
    <w:p w:rsidR="00C66AC2" w:rsidRDefault="00C66AC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C66AC2" w:rsidRDefault="00C66AC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A82109" w:rsidRDefault="00421422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A82109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1E4890" w:rsidRDefault="001E4890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1E4890" w:rsidRDefault="001E4890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1E4890" w:rsidRDefault="001E4890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755585" w:rsidRDefault="0075558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755585" w:rsidRDefault="0075558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755585" w:rsidRDefault="0075558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8A41B5" w:rsidRDefault="008A41B5">
      <w:pPr>
        <w:pStyle w:val="style1010"/>
        <w:spacing w:after="240"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A82109" w:rsidRDefault="00A82109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</w:p>
    <w:p w:rsidR="00A82109" w:rsidRDefault="00421422">
      <w:pPr>
        <w:pStyle w:val="ParagrapheIndent1"/>
        <w:spacing w:line="245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2109">
        <w:trPr>
          <w:trHeight w:val="4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</w:tbl>
    <w:p w:rsidR="00A82109" w:rsidRDefault="0042142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2109">
        <w:trPr>
          <w:trHeight w:val="7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</w:tbl>
    <w:p w:rsidR="00A82109" w:rsidRDefault="0042142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2109">
        <w:trPr>
          <w:trHeight w:val="7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</w:tbl>
    <w:p w:rsidR="00A82109" w:rsidRDefault="0042142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A82109" w:rsidRDefault="00421422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2109">
        <w:trPr>
          <w:trHeight w:val="4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</w:tbl>
    <w:p w:rsidR="00A82109" w:rsidRDefault="00421422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8210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A82109" w:rsidRDefault="00421422">
      <w:pPr>
        <w:spacing w:line="240" w:lineRule="exact"/>
      </w:pPr>
      <w:r>
        <w:t xml:space="preserve"> </w:t>
      </w: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A82109" w:rsidRDefault="00A82109">
      <w:pPr>
        <w:pStyle w:val="style1010"/>
        <w:spacing w:line="245" w:lineRule="exact"/>
        <w:ind w:left="20" w:right="40"/>
        <w:jc w:val="center"/>
        <w:rPr>
          <w:color w:val="000000"/>
          <w:lang w:val="fr-FR"/>
        </w:rPr>
      </w:pPr>
    </w:p>
    <w:p w:rsidR="00A82109" w:rsidRDefault="00421422">
      <w:pPr>
        <w:pStyle w:val="style1010"/>
        <w:spacing w:line="245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A82109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A82109" w:rsidRDefault="00A82109">
      <w:pPr>
        <w:spacing w:line="20" w:lineRule="exact"/>
        <w:rPr>
          <w:sz w:val="2"/>
        </w:rPr>
      </w:pPr>
    </w:p>
    <w:p w:rsidR="00A82109" w:rsidRDefault="00421422">
      <w:pPr>
        <w:pStyle w:val="Titre1"/>
        <w:spacing w:before="20" w:after="400"/>
        <w:ind w:left="20" w:right="20"/>
        <w:jc w:val="center"/>
        <w:rPr>
          <w:rFonts w:ascii="Century Gothic" w:eastAsia="Century Gothic" w:hAnsi="Century Gothic" w:cs="Century Gothic"/>
          <w:color w:val="000000"/>
          <w:sz w:val="28"/>
          <w:lang w:val="fr-FR"/>
        </w:rPr>
      </w:pPr>
      <w:bookmarkStart w:id="13" w:name="_Toc184039842"/>
      <w:r>
        <w:rPr>
          <w:rFonts w:ascii="Century Gothic" w:eastAsia="Century Gothic" w:hAnsi="Century Gothic" w:cs="Century Gothic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82109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before="260" w:after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before="260" w:after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before="260" w:after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before="8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A82109" w:rsidRDefault="00421422">
            <w:pPr>
              <w:spacing w:before="80" w:after="2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before="260" w:after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A8210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A82109" w:rsidRDefault="00A82109">
            <w:pPr>
              <w:spacing w:after="6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  <w:tr w:rsidR="00A8210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A82109" w:rsidRDefault="00A82109">
            <w:pPr>
              <w:spacing w:after="6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  <w:tr w:rsidR="00A8210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A82109" w:rsidRDefault="00A82109">
            <w:pPr>
              <w:spacing w:after="6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  <w:tr w:rsidR="00A8210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A82109" w:rsidRDefault="00A82109">
            <w:pPr>
              <w:spacing w:after="6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  <w:tr w:rsidR="00A8210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A82109" w:rsidRDefault="0042142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A82109" w:rsidRDefault="00A82109">
            <w:pPr>
              <w:spacing w:after="6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  <w:tr w:rsidR="00A82109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421422">
            <w:pPr>
              <w:spacing w:before="260" w:after="8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09" w:rsidRDefault="00A82109"/>
        </w:tc>
      </w:tr>
    </w:tbl>
    <w:p w:rsidR="00A82109" w:rsidRDefault="00A82109"/>
    <w:sectPr w:rsidR="00A821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2EB" w:rsidRDefault="00421422">
      <w:r>
        <w:separator/>
      </w:r>
    </w:p>
  </w:endnote>
  <w:endnote w:type="continuationSeparator" w:id="0">
    <w:p w:rsidR="00BD42EB" w:rsidRDefault="0042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001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09" w:rsidRDefault="00421422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A82109" w:rsidRPr="00FE2B58" w:rsidRDefault="00A82109">
    <w:pPr>
      <w:spacing w:after="260" w:line="240" w:lineRule="exact"/>
      <w:rPr>
        <w:lang w:val="fr-FR"/>
      </w:rPr>
    </w:pPr>
  </w:p>
  <w:p w:rsidR="00A82109" w:rsidRPr="00FE2B58" w:rsidRDefault="00A82109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4400"/>
    </w:tblGrid>
    <w:tr w:rsidR="00740C85">
      <w:trPr>
        <w:trHeight w:val="260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40C85" w:rsidRDefault="00740C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B7796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B779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09" w:rsidRDefault="00421422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A82109" w:rsidRDefault="00A82109">
    <w:pPr>
      <w:spacing w:after="260" w:line="240" w:lineRule="exact"/>
    </w:pPr>
  </w:p>
  <w:p w:rsidR="00A82109" w:rsidRDefault="00A82109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4400"/>
    </w:tblGrid>
    <w:tr w:rsidR="00740C85">
      <w:trPr>
        <w:trHeight w:val="260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40C85" w:rsidRDefault="00740C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B7796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B779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560"/>
    </w:tblGrid>
    <w:tr w:rsidR="00740C85">
      <w:trPr>
        <w:trHeight w:val="400"/>
      </w:trPr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40C85" w:rsidRDefault="00740C85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7B779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9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7B779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9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2EB" w:rsidRDefault="00421422">
      <w:r>
        <w:separator/>
      </w:r>
    </w:p>
  </w:footnote>
  <w:footnote w:type="continuationSeparator" w:id="0">
    <w:p w:rsidR="00BD42EB" w:rsidRDefault="00421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09"/>
    <w:rsid w:val="001E4890"/>
    <w:rsid w:val="00231A8E"/>
    <w:rsid w:val="002643F2"/>
    <w:rsid w:val="00357CB7"/>
    <w:rsid w:val="003C6953"/>
    <w:rsid w:val="00421422"/>
    <w:rsid w:val="00676038"/>
    <w:rsid w:val="006D7391"/>
    <w:rsid w:val="00740C85"/>
    <w:rsid w:val="00755585"/>
    <w:rsid w:val="0079554D"/>
    <w:rsid w:val="007B7796"/>
    <w:rsid w:val="008A41B5"/>
    <w:rsid w:val="009D3636"/>
    <w:rsid w:val="00A82109"/>
    <w:rsid w:val="00BD42EB"/>
    <w:rsid w:val="00C66AC2"/>
    <w:rsid w:val="00EE6F49"/>
    <w:rsid w:val="00FE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E6195"/>
  <w15:docId w15:val="{1509207E-B5CD-4356-8BB6-AE4F1EAF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890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40C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40C8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740C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40C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1803</Words>
  <Characters>9917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CHIC</Company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CORRIGNAN Maina</dc:creator>
  <cp:lastModifiedBy>FAVE Julie</cp:lastModifiedBy>
  <cp:revision>15</cp:revision>
  <dcterms:created xsi:type="dcterms:W3CDTF">2021-09-21T09:42:00Z</dcterms:created>
  <dcterms:modified xsi:type="dcterms:W3CDTF">2024-12-06T08:29:00Z</dcterms:modified>
</cp:coreProperties>
</file>