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7A506C" w:rsidRDefault="00E42FF3" w:rsidP="007A506C">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9BA843B" w14:textId="024B47A5" w:rsidR="00EB3E57" w:rsidRPr="00EB3E57" w:rsidRDefault="00EB3E57" w:rsidP="00EB3E57">
      <w:pPr>
        <w:jc w:val="center"/>
        <w:rPr>
          <w:rFonts w:ascii="Arial Narrow" w:hAnsi="Arial Narrow"/>
          <w:sz w:val="28"/>
          <w:szCs w:val="28"/>
        </w:rPr>
      </w:pPr>
      <w:r w:rsidRPr="00EB3E57">
        <w:rPr>
          <w:rFonts w:ascii="Arial Narrow" w:hAnsi="Arial Narrow"/>
          <w:sz w:val="28"/>
          <w:szCs w:val="28"/>
        </w:rPr>
        <w:t>Assistance à maitrise d’ouvrage pour la passation d’un marché de maintenance et travaux de relatif aux installations de chauffage, ventilation, conditionnement d’air, plomberie-protection incendie, relevage des eaux et désenfumage de l’</w:t>
      </w:r>
      <w:r w:rsidR="00D078C8">
        <w:rPr>
          <w:rFonts w:ascii="Arial Narrow" w:hAnsi="Arial Narrow"/>
          <w:sz w:val="28"/>
          <w:szCs w:val="28"/>
        </w:rPr>
        <w:t>EPMO-VGE</w:t>
      </w:r>
    </w:p>
    <w:p w14:paraId="189210B7" w14:textId="77777777" w:rsidR="00A02B17" w:rsidRPr="00955BCB" w:rsidRDefault="00A02B17" w:rsidP="00955BCB">
      <w:pPr>
        <w:jc w:val="center"/>
        <w:rPr>
          <w:rFonts w:ascii="Arial Narrow" w:hAnsi="Arial Narrow"/>
          <w:sz w:val="28"/>
          <w:szCs w:val="28"/>
        </w:rPr>
      </w:pPr>
    </w:p>
    <w:p w14:paraId="7891D0CD" w14:textId="311918F1" w:rsidR="00965E51" w:rsidRDefault="00965E51" w:rsidP="00E42FF3">
      <w:pPr>
        <w:pStyle w:val="En-tte"/>
        <w:tabs>
          <w:tab w:val="clear" w:pos="4536"/>
          <w:tab w:val="clear" w:pos="9072"/>
        </w:tabs>
        <w:spacing w:after="160" w:line="259" w:lineRule="auto"/>
        <w:rPr>
          <w:rFonts w:ascii="Arial Narrow" w:hAnsi="Arial Narrow"/>
        </w:rPr>
      </w:pPr>
    </w:p>
    <w:p w14:paraId="0532D66C" w14:textId="4594996A" w:rsidR="00965E51" w:rsidRPr="00546FE0" w:rsidRDefault="00965E51" w:rsidP="00E42FF3">
      <w:pPr>
        <w:pStyle w:val="En-tte"/>
        <w:tabs>
          <w:tab w:val="clear" w:pos="4536"/>
          <w:tab w:val="clear" w:pos="9072"/>
        </w:tabs>
        <w:spacing w:after="160" w:line="259" w:lineRule="auto"/>
        <w:rPr>
          <w:rFonts w:ascii="Arial Narrow" w:hAnsi="Arial Narrow"/>
        </w:rPr>
      </w:pPr>
    </w:p>
    <w:p w14:paraId="2A8A4B30" w14:textId="7F25F990"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3041643"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A0888">
                  <w:rPr>
                    <w:rFonts w:ascii="Arial Narrow" w:hAnsi="Arial Narrow"/>
                    <w:sz w:val="22"/>
                    <w:szCs w:val="22"/>
                  </w:rPr>
                  <w:t>Services</w:t>
                </w:r>
              </w:sdtContent>
            </w:sdt>
          </w:p>
          <w:p w14:paraId="4CA1EB62" w14:textId="4206D3D6"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0A0888">
              <w:rPr>
                <w:rFonts w:ascii="Arial Narrow" w:hAnsi="Arial Narrow"/>
              </w:rPr>
              <w:t>-PI</w:t>
            </w:r>
            <w:r w:rsidRPr="00546FE0">
              <w:rPr>
                <w:rFonts w:ascii="Arial Narrow" w:hAnsi="Arial Narrow"/>
              </w:rPr>
              <w:t>)</w:t>
            </w:r>
          </w:p>
          <w:p w14:paraId="7ACFE896" w14:textId="2EBBF6DD" w:rsidR="00E42FF3" w:rsidRPr="00546FE0" w:rsidRDefault="00E42FF3" w:rsidP="00E42FF3">
            <w:pPr>
              <w:tabs>
                <w:tab w:val="left" w:pos="5880"/>
              </w:tabs>
              <w:spacing w:after="120"/>
              <w:rPr>
                <w:rFonts w:ascii="Arial Narrow" w:hAnsi="Arial Narrow"/>
              </w:rPr>
            </w:pPr>
            <w:r w:rsidRPr="00965E51">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C63E5" w:rsidRPr="00091A8D">
                  <w:rPr>
                    <w:rFonts w:ascii="Arial Narrow" w:hAnsi="Arial Narrow"/>
                  </w:rPr>
                  <w:t>- Procédure adaptée ouverte en application des dispositions des articles L. 2123-1 et R. 2123-1 à R. 2123-7 du code de la commande publique</w:t>
                </w:r>
              </w:sdtContent>
            </w:sdt>
          </w:p>
          <w:p w14:paraId="151AC878" w14:textId="44A13A1B" w:rsidR="00E42FF3" w:rsidRPr="00546FE0" w:rsidRDefault="00E42FF3" w:rsidP="00E42FF3">
            <w:pPr>
              <w:spacing w:after="120"/>
              <w:rPr>
                <w:rFonts w:ascii="Arial Narrow" w:hAnsi="Arial Narrow"/>
              </w:rPr>
            </w:pPr>
            <w:r w:rsidRPr="00546FE0">
              <w:rPr>
                <w:rFonts w:ascii="Arial Narrow" w:hAnsi="Arial Narrow"/>
              </w:rPr>
              <w:t>Technique d’achat </w:t>
            </w:r>
            <w:r w:rsidRPr="007F000A">
              <w:rPr>
                <w:rFonts w:ascii="Arial Narrow" w:hAnsi="Arial Narrow"/>
              </w:rPr>
              <w:t xml:space="preserve">: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A3BE7">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1B1D305F"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04071EB8" w14:textId="365D7926" w:rsidR="0045441B" w:rsidRPr="007A506C" w:rsidRDefault="00DA3BE7" w:rsidP="001F5A33">
      <w:pPr>
        <w:spacing w:after="120" w:line="360" w:lineRule="auto"/>
        <w:jc w:val="both"/>
        <w:rPr>
          <w:rFonts w:ascii="Arial Narrow" w:hAnsi="Arial Narrow"/>
        </w:rPr>
      </w:pPr>
      <w:r>
        <w:rPr>
          <w:rFonts w:ascii="Arial Narrow" w:hAnsi="Arial Narrow"/>
        </w:rPr>
        <w:t xml:space="preserve">L’accord-cadre </w:t>
      </w:r>
      <w:r w:rsidR="0006022E" w:rsidRPr="00546FE0">
        <w:rPr>
          <w:rFonts w:ascii="Arial Narrow" w:hAnsi="Arial Narrow"/>
        </w:rPr>
        <w:t xml:space="preserve">a pour objet </w:t>
      </w:r>
      <w:r w:rsidR="000A0888" w:rsidRPr="000A0888">
        <w:rPr>
          <w:rFonts w:ascii="Arial Narrow" w:hAnsi="Arial Narrow"/>
        </w:rPr>
        <w:t>une prestation d’a</w:t>
      </w:r>
      <w:r w:rsidR="0045441B" w:rsidRPr="007A506C">
        <w:rPr>
          <w:rFonts w:ascii="Arial Narrow" w:hAnsi="Arial Narrow"/>
        </w:rPr>
        <w:t>ssistance à maitrise d’ouvrage pour la passation d’un marché de maintenance et travaux de relatif aux installations de chauffage, ventilation, conditionnement d’air, plomberie-protection incendie, relevage des eaux et désenfumage de l’EPMO-VGE</w:t>
      </w:r>
    </w:p>
    <w:p w14:paraId="1B1E3B0F" w14:textId="77777777" w:rsidR="000A0888" w:rsidRPr="000A0888" w:rsidRDefault="000A0888" w:rsidP="000A0888">
      <w:pPr>
        <w:pStyle w:val="En-tte"/>
        <w:spacing w:after="120" w:line="360" w:lineRule="auto"/>
        <w:jc w:val="both"/>
        <w:rPr>
          <w:rFonts w:ascii="Arial Narrow" w:hAnsi="Arial Narrow"/>
        </w:rPr>
      </w:pPr>
      <w:r w:rsidRPr="000A0888">
        <w:rPr>
          <w:rFonts w:ascii="Arial Narrow" w:hAnsi="Arial Narrow"/>
        </w:rPr>
        <w:t xml:space="preserve">Dans ce cadre, les missions confiées à l’assistant au maitre d’ouvrage sont les suivantes : </w:t>
      </w:r>
    </w:p>
    <w:p w14:paraId="73DF332C" w14:textId="0932BD42" w:rsidR="0007612D" w:rsidRPr="0007612D" w:rsidRDefault="000A0888" w:rsidP="0007612D">
      <w:pPr>
        <w:pStyle w:val="En-tte"/>
        <w:spacing w:after="120" w:line="360" w:lineRule="auto"/>
        <w:jc w:val="both"/>
        <w:rPr>
          <w:rFonts w:ascii="Arial Narrow" w:hAnsi="Arial Narrow"/>
        </w:rPr>
      </w:pPr>
      <w:r>
        <w:rPr>
          <w:rFonts w:ascii="Arial Narrow" w:hAnsi="Arial Narrow"/>
        </w:rPr>
        <w:t xml:space="preserve">- </w:t>
      </w:r>
      <w:r w:rsidRPr="000A0888">
        <w:rPr>
          <w:rFonts w:ascii="Arial Narrow" w:hAnsi="Arial Narrow"/>
        </w:rPr>
        <w:t xml:space="preserve">Phase 1 : </w:t>
      </w:r>
      <w:r w:rsidR="00DD68AB">
        <w:rPr>
          <w:rFonts w:ascii="Arial Narrow" w:hAnsi="Arial Narrow"/>
        </w:rPr>
        <w:t xml:space="preserve">Diagnostic et préconisations </w:t>
      </w:r>
    </w:p>
    <w:p w14:paraId="4C65509B" w14:textId="3DCF1F50" w:rsidR="000A0888" w:rsidRPr="0007612D" w:rsidRDefault="000A0888" w:rsidP="0007612D">
      <w:pPr>
        <w:pStyle w:val="En-tte"/>
        <w:spacing w:after="120" w:line="360" w:lineRule="auto"/>
        <w:jc w:val="both"/>
        <w:rPr>
          <w:rFonts w:ascii="Arial Narrow" w:hAnsi="Arial Narrow"/>
        </w:rPr>
      </w:pPr>
      <w:r>
        <w:rPr>
          <w:rFonts w:ascii="Arial Narrow" w:hAnsi="Arial Narrow"/>
        </w:rPr>
        <w:t xml:space="preserve">- </w:t>
      </w:r>
      <w:r w:rsidRPr="000A0888">
        <w:rPr>
          <w:rFonts w:ascii="Arial Narrow" w:hAnsi="Arial Narrow"/>
        </w:rPr>
        <w:t>Phase</w:t>
      </w:r>
      <w:r w:rsidR="004F723E">
        <w:rPr>
          <w:rFonts w:ascii="Arial Narrow" w:hAnsi="Arial Narrow"/>
        </w:rPr>
        <w:t xml:space="preserve"> 2 : </w:t>
      </w:r>
      <w:r w:rsidR="00DD68AB">
        <w:rPr>
          <w:rFonts w:ascii="Arial Narrow" w:hAnsi="Arial Narrow"/>
        </w:rPr>
        <w:t xml:space="preserve">Elaboration du dossier de consultation </w:t>
      </w:r>
      <w:r w:rsidR="00053EFC">
        <w:rPr>
          <w:rFonts w:ascii="Arial Narrow" w:hAnsi="Arial Narrow"/>
        </w:rPr>
        <w:t>des entreprises</w:t>
      </w:r>
    </w:p>
    <w:p w14:paraId="14093867" w14:textId="544A3629" w:rsidR="00247B19" w:rsidRPr="00247B19" w:rsidRDefault="000A0888" w:rsidP="00247B19">
      <w:pPr>
        <w:pStyle w:val="En-tte"/>
        <w:spacing w:after="120" w:line="360" w:lineRule="auto"/>
        <w:jc w:val="both"/>
        <w:rPr>
          <w:rFonts w:ascii="Arial Narrow" w:hAnsi="Arial Narrow"/>
        </w:rPr>
      </w:pPr>
      <w:r>
        <w:rPr>
          <w:rFonts w:ascii="Arial Narrow" w:hAnsi="Arial Narrow"/>
        </w:rPr>
        <w:t xml:space="preserve">- </w:t>
      </w:r>
      <w:r w:rsidRPr="000A0888">
        <w:rPr>
          <w:rFonts w:ascii="Arial Narrow" w:hAnsi="Arial Narrow"/>
        </w:rPr>
        <w:t xml:space="preserve">Phase </w:t>
      </w:r>
      <w:r w:rsidR="004F723E">
        <w:rPr>
          <w:rFonts w:ascii="Arial Narrow" w:hAnsi="Arial Narrow"/>
        </w:rPr>
        <w:t>3</w:t>
      </w:r>
      <w:r w:rsidRPr="000A0888">
        <w:rPr>
          <w:rFonts w:ascii="Arial Narrow" w:hAnsi="Arial Narrow"/>
        </w:rPr>
        <w:t xml:space="preserve"> : </w:t>
      </w:r>
      <w:r w:rsidR="00247B19" w:rsidRPr="00247B19">
        <w:rPr>
          <w:rFonts w:ascii="Arial Narrow" w:hAnsi="Arial Narrow"/>
        </w:rPr>
        <w:t xml:space="preserve">Assistance </w:t>
      </w:r>
      <w:r w:rsidR="00053EFC">
        <w:rPr>
          <w:rFonts w:ascii="Arial Narrow" w:hAnsi="Arial Narrow"/>
        </w:rPr>
        <w:t>à</w:t>
      </w:r>
      <w:r w:rsidR="00247B19" w:rsidRPr="00247B19">
        <w:rPr>
          <w:rFonts w:ascii="Arial Narrow" w:hAnsi="Arial Narrow"/>
        </w:rPr>
        <w:t xml:space="preserve"> la </w:t>
      </w:r>
      <w:r w:rsidR="00DD68AB">
        <w:rPr>
          <w:rFonts w:ascii="Arial Narrow" w:hAnsi="Arial Narrow"/>
        </w:rPr>
        <w:t xml:space="preserve">passation du marché public et </w:t>
      </w:r>
      <w:r w:rsidR="00053EFC">
        <w:rPr>
          <w:rFonts w:ascii="Arial Narrow" w:hAnsi="Arial Narrow"/>
        </w:rPr>
        <w:t xml:space="preserve">à </w:t>
      </w:r>
      <w:r w:rsidR="00DD68AB">
        <w:rPr>
          <w:rFonts w:ascii="Arial Narrow" w:hAnsi="Arial Narrow"/>
        </w:rPr>
        <w:t>analyse des offres</w:t>
      </w:r>
    </w:p>
    <w:p w14:paraId="026F61E9" w14:textId="2650FE80" w:rsidR="00DA3BE7" w:rsidRDefault="00186036" w:rsidP="00247B19">
      <w:pPr>
        <w:pStyle w:val="En-tte"/>
        <w:spacing w:after="120" w:line="360" w:lineRule="auto"/>
        <w:jc w:val="both"/>
        <w:rPr>
          <w:rFonts w:ascii="Arial Narrow" w:hAnsi="Arial Narrow"/>
        </w:rPr>
      </w:pPr>
      <w:r>
        <w:rPr>
          <w:rFonts w:ascii="Arial Narrow" w:hAnsi="Arial Narrow"/>
        </w:rPr>
        <w:t xml:space="preserve">Les phases peuvent être exécutées de manière concomitante. </w:t>
      </w:r>
    </w:p>
    <w:p w14:paraId="428B190E" w14:textId="6C696579" w:rsidR="00EB3E57" w:rsidRPr="00EB3E57" w:rsidRDefault="005E2B01" w:rsidP="00EB3E57">
      <w:pPr>
        <w:spacing w:after="120" w:line="360" w:lineRule="auto"/>
        <w:jc w:val="both"/>
        <w:rPr>
          <w:rFonts w:ascii="Arial Narrow" w:hAnsi="Arial Narrow"/>
        </w:rPr>
      </w:pPr>
      <w:r w:rsidRPr="00091A8D">
        <w:rPr>
          <w:rFonts w:ascii="Arial Narrow" w:hAnsi="Arial Narrow"/>
        </w:rPr>
        <w:t>L</w:t>
      </w:r>
      <w:r w:rsidR="00EF03BE" w:rsidRPr="00091A8D">
        <w:rPr>
          <w:rFonts w:ascii="Arial Narrow" w:hAnsi="Arial Narrow"/>
        </w:rPr>
        <w:t xml:space="preserve">e titulaire du présent marché ne pourra répondre à la procédure de réalisation </w:t>
      </w:r>
      <w:r w:rsidR="0006090C">
        <w:rPr>
          <w:rFonts w:ascii="Arial Narrow" w:hAnsi="Arial Narrow"/>
        </w:rPr>
        <w:t>du</w:t>
      </w:r>
      <w:r w:rsidR="00EB3E57" w:rsidRPr="00091A8D">
        <w:rPr>
          <w:rFonts w:ascii="Arial Narrow" w:hAnsi="Arial Narrow"/>
        </w:rPr>
        <w:t xml:space="preserve"> marché </w:t>
      </w:r>
      <w:r w:rsidR="003A2366" w:rsidRPr="00091A8D">
        <w:rPr>
          <w:rFonts w:ascii="Arial Narrow" w:hAnsi="Arial Narrow"/>
        </w:rPr>
        <w:t>de</w:t>
      </w:r>
      <w:r w:rsidR="00EB3E57" w:rsidRPr="00091A8D">
        <w:rPr>
          <w:rFonts w:ascii="Arial Narrow" w:hAnsi="Arial Narrow"/>
        </w:rPr>
        <w:t xml:space="preserve"> maintenance et </w:t>
      </w:r>
      <w:r w:rsidR="003A2366" w:rsidRPr="00091A8D">
        <w:rPr>
          <w:rFonts w:ascii="Arial Narrow" w:hAnsi="Arial Narrow"/>
        </w:rPr>
        <w:t>de travaux</w:t>
      </w:r>
      <w:r w:rsidR="00EB3E57" w:rsidRPr="00091A8D">
        <w:rPr>
          <w:rFonts w:ascii="Arial Narrow" w:hAnsi="Arial Narrow"/>
        </w:rPr>
        <w:t xml:space="preserve"> relatif aux installations de chauffage, ventilation, conditionnement d’air, plomberie-protection incendie, relevage des eaux et désenfumage de l’</w:t>
      </w:r>
      <w:r w:rsidR="00D078C8" w:rsidRPr="00091A8D">
        <w:rPr>
          <w:rFonts w:ascii="Arial Narrow" w:hAnsi="Arial Narrow"/>
        </w:rPr>
        <w:t>EPMO-VGE</w:t>
      </w:r>
    </w:p>
    <w:p w14:paraId="2D021833" w14:textId="4957EB7D" w:rsidR="00EF03BE" w:rsidRPr="00546FE0" w:rsidRDefault="00EF03BE" w:rsidP="007221BF">
      <w:pPr>
        <w:pStyle w:val="En-tte"/>
        <w:tabs>
          <w:tab w:val="clear" w:pos="4536"/>
          <w:tab w:val="clear" w:pos="9072"/>
        </w:tabs>
        <w:spacing w:after="120" w:line="360" w:lineRule="auto"/>
        <w:jc w:val="both"/>
        <w:rPr>
          <w:rFonts w:ascii="Arial Narrow" w:hAnsi="Arial Narrow"/>
        </w:rPr>
      </w:pPr>
    </w:p>
    <w:p w14:paraId="74CE350A" w14:textId="4B431F1A" w:rsidR="0006022E" w:rsidRPr="004F723E" w:rsidRDefault="0006022E" w:rsidP="004F723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8A54EC0" w14:textId="7FFA197A" w:rsidR="00257918" w:rsidRDefault="004F723E" w:rsidP="004F723E">
      <w:pPr>
        <w:pStyle w:val="En-tte"/>
        <w:tabs>
          <w:tab w:val="clear" w:pos="4536"/>
          <w:tab w:val="clear" w:pos="9072"/>
        </w:tabs>
        <w:spacing w:after="120" w:line="360" w:lineRule="auto"/>
        <w:jc w:val="both"/>
        <w:rPr>
          <w:rFonts w:ascii="Arial Narrow" w:hAnsi="Arial Narrow"/>
        </w:rPr>
      </w:pPr>
      <w:r>
        <w:rPr>
          <w:rFonts w:ascii="Arial Narrow" w:hAnsi="Arial Narrow"/>
        </w:rPr>
        <w:t>Les caractéristiques technique</w:t>
      </w:r>
      <w:r w:rsidR="0006022E" w:rsidRPr="00546FE0">
        <w:rPr>
          <w:rFonts w:ascii="Arial Narrow" w:hAnsi="Arial Narrow"/>
        </w:rPr>
        <w:t>s des prestations sont décrites dans le CCTP.</w:t>
      </w:r>
    </w:p>
    <w:p w14:paraId="782E61E0" w14:textId="77777777" w:rsidR="00DA3BE7" w:rsidRPr="00DA3BE7" w:rsidRDefault="00DA3BE7" w:rsidP="00DA3BE7">
      <w:pPr>
        <w:numPr>
          <w:ilvl w:val="0"/>
          <w:numId w:val="6"/>
        </w:numPr>
        <w:spacing w:after="240" w:line="360" w:lineRule="auto"/>
        <w:ind w:hanging="720"/>
        <w:jc w:val="both"/>
        <w:rPr>
          <w:rFonts w:ascii="Arial Narrow" w:hAnsi="Arial Narrow"/>
          <w:b/>
        </w:rPr>
      </w:pPr>
      <w:r w:rsidRPr="00DA3BE7">
        <w:rPr>
          <w:rFonts w:ascii="Arial Narrow" w:hAnsi="Arial Narrow"/>
          <w:b/>
        </w:rPr>
        <w:t>Prestations relevant de la part forfaitaire</w:t>
      </w:r>
    </w:p>
    <w:p w14:paraId="266DBAA6" w14:textId="3DDB1897" w:rsidR="00DA3BE7" w:rsidRPr="00DA3BE7" w:rsidRDefault="00DA3BE7" w:rsidP="00DA3BE7">
      <w:pPr>
        <w:spacing w:after="120" w:line="360" w:lineRule="auto"/>
        <w:jc w:val="both"/>
        <w:rPr>
          <w:rFonts w:ascii="Arial Narrow" w:hAnsi="Arial Narrow"/>
        </w:rPr>
      </w:pPr>
      <w:r w:rsidRPr="00DA3BE7">
        <w:rPr>
          <w:rFonts w:ascii="Arial Narrow" w:hAnsi="Arial Narrow"/>
        </w:rPr>
        <w:t>La part forfaitaire de l’accord-cadre com</w:t>
      </w:r>
      <w:r>
        <w:rPr>
          <w:rFonts w:ascii="Arial Narrow" w:hAnsi="Arial Narrow"/>
        </w:rPr>
        <w:t>prend les prestations relevant des</w:t>
      </w:r>
      <w:r w:rsidR="00247B19">
        <w:rPr>
          <w:rFonts w:ascii="Arial Narrow" w:hAnsi="Arial Narrow"/>
        </w:rPr>
        <w:t xml:space="preserve"> </w:t>
      </w:r>
      <w:r w:rsidR="00A641A6">
        <w:rPr>
          <w:rFonts w:ascii="Arial Narrow" w:hAnsi="Arial Narrow"/>
        </w:rPr>
        <w:t>trois</w:t>
      </w:r>
      <w:r>
        <w:rPr>
          <w:rFonts w:ascii="Arial Narrow" w:hAnsi="Arial Narrow"/>
        </w:rPr>
        <w:t xml:space="preserve"> phases mentionnées à </w:t>
      </w:r>
      <w:r w:rsidRPr="001065B1">
        <w:rPr>
          <w:rFonts w:ascii="Arial Narrow" w:hAnsi="Arial Narrow"/>
        </w:rPr>
        <w:t>l’article 1</w:t>
      </w:r>
      <w:r>
        <w:rPr>
          <w:rFonts w:ascii="Arial Narrow" w:hAnsi="Arial Narrow"/>
        </w:rPr>
        <w:t xml:space="preserve"> ci-avant</w:t>
      </w:r>
      <w:r w:rsidR="00ED6EDF">
        <w:rPr>
          <w:rFonts w:ascii="Arial Narrow" w:hAnsi="Arial Narrow"/>
        </w:rPr>
        <w:t>, détaillées au CCTP.</w:t>
      </w:r>
    </w:p>
    <w:p w14:paraId="5A9E37E9" w14:textId="77777777" w:rsidR="00DA3BE7" w:rsidRPr="00DA3BE7" w:rsidRDefault="00DA3BE7" w:rsidP="00DA3BE7">
      <w:pPr>
        <w:numPr>
          <w:ilvl w:val="0"/>
          <w:numId w:val="6"/>
        </w:numPr>
        <w:spacing w:after="240" w:line="360" w:lineRule="auto"/>
        <w:ind w:hanging="720"/>
        <w:jc w:val="both"/>
        <w:rPr>
          <w:rFonts w:ascii="Arial Narrow" w:hAnsi="Arial Narrow"/>
          <w:b/>
        </w:rPr>
      </w:pPr>
      <w:r w:rsidRPr="00DA3BE7">
        <w:rPr>
          <w:rFonts w:ascii="Arial Narrow" w:hAnsi="Arial Narrow"/>
          <w:b/>
        </w:rPr>
        <w:t>Prestations relevant de la part à commandes</w:t>
      </w:r>
    </w:p>
    <w:p w14:paraId="686B084C" w14:textId="77777777" w:rsidR="008A4A15" w:rsidRDefault="00DA3BE7" w:rsidP="00DA3BE7">
      <w:pPr>
        <w:spacing w:after="120" w:line="360" w:lineRule="auto"/>
        <w:jc w:val="both"/>
        <w:rPr>
          <w:rFonts w:ascii="Arial Narrow" w:hAnsi="Arial Narrow"/>
        </w:rPr>
      </w:pPr>
      <w:r w:rsidRPr="00DA3BE7">
        <w:rPr>
          <w:rFonts w:ascii="Arial Narrow" w:hAnsi="Arial Narrow"/>
        </w:rPr>
        <w:t xml:space="preserve">Les bons de commande pourront porter sur une </w:t>
      </w:r>
      <w:r w:rsidR="003A2366">
        <w:rPr>
          <w:rFonts w:ascii="Arial Narrow" w:hAnsi="Arial Narrow"/>
        </w:rPr>
        <w:t xml:space="preserve">prestation </w:t>
      </w:r>
      <w:r w:rsidR="003A2366" w:rsidRPr="003A2366">
        <w:rPr>
          <w:rFonts w:ascii="Arial Narrow" w:hAnsi="Arial Narrow"/>
        </w:rPr>
        <w:t>d'assistance au démarrage d'un marché de maintenance</w:t>
      </w:r>
      <w:r w:rsidR="00091A8D">
        <w:rPr>
          <w:rFonts w:ascii="Arial Narrow" w:hAnsi="Arial Narrow"/>
        </w:rPr>
        <w:t xml:space="preserve">. Ces prestations comprennent </w:t>
      </w:r>
    </w:p>
    <w:p w14:paraId="012C83D8" w14:textId="3B7343B8" w:rsidR="00091A8D" w:rsidRDefault="008A4A15" w:rsidP="008A4A15">
      <w:pPr>
        <w:pStyle w:val="Paragraphedeliste"/>
        <w:numPr>
          <w:ilvl w:val="0"/>
          <w:numId w:val="24"/>
        </w:numPr>
        <w:spacing w:after="120" w:line="360" w:lineRule="auto"/>
        <w:jc w:val="both"/>
        <w:rPr>
          <w:rFonts w:ascii="Arial Narrow" w:hAnsi="Arial Narrow"/>
        </w:rPr>
      </w:pPr>
      <w:r>
        <w:rPr>
          <w:rFonts w:ascii="Arial Narrow" w:hAnsi="Arial Narrow"/>
        </w:rPr>
        <w:t>L</w:t>
      </w:r>
      <w:r w:rsidR="00091A8D">
        <w:rPr>
          <w:rFonts w:ascii="Arial Narrow" w:hAnsi="Arial Narrow"/>
        </w:rPr>
        <w:t>’état des lieu</w:t>
      </w:r>
      <w:r w:rsidR="00931EDE">
        <w:rPr>
          <w:rFonts w:ascii="Arial Narrow" w:hAnsi="Arial Narrow"/>
        </w:rPr>
        <w:t>x</w:t>
      </w:r>
      <w:r w:rsidR="00091A8D">
        <w:rPr>
          <w:rFonts w:ascii="Arial Narrow" w:hAnsi="Arial Narrow"/>
        </w:rPr>
        <w:t xml:space="preserve"> des installations</w:t>
      </w:r>
    </w:p>
    <w:p w14:paraId="77FB142C" w14:textId="32DCF2B4" w:rsidR="00091A8D" w:rsidRPr="00091A8D" w:rsidRDefault="00091A8D" w:rsidP="00091A8D">
      <w:pPr>
        <w:pStyle w:val="Paragraphedeliste"/>
        <w:numPr>
          <w:ilvl w:val="0"/>
          <w:numId w:val="24"/>
        </w:numPr>
        <w:spacing w:after="120" w:line="360" w:lineRule="auto"/>
        <w:jc w:val="both"/>
        <w:rPr>
          <w:rFonts w:ascii="Arial Narrow" w:hAnsi="Arial Narrow"/>
        </w:rPr>
      </w:pPr>
      <w:r w:rsidRPr="00091A8D">
        <w:rPr>
          <w:rFonts w:ascii="Arial Narrow" w:hAnsi="Arial Narrow"/>
        </w:rPr>
        <w:t>La visite des installations et vérifications du bon fonctionnement</w:t>
      </w:r>
    </w:p>
    <w:p w14:paraId="16E5AA4A" w14:textId="25B21405" w:rsidR="00091A8D" w:rsidRPr="00091A8D" w:rsidRDefault="00091A8D" w:rsidP="00091A8D">
      <w:pPr>
        <w:pStyle w:val="Paragraphedeliste"/>
        <w:numPr>
          <w:ilvl w:val="0"/>
          <w:numId w:val="24"/>
        </w:numPr>
        <w:spacing w:after="120" w:line="360" w:lineRule="auto"/>
        <w:jc w:val="both"/>
        <w:rPr>
          <w:rFonts w:ascii="Arial Narrow" w:hAnsi="Arial Narrow"/>
        </w:rPr>
      </w:pPr>
      <w:r w:rsidRPr="00091A8D">
        <w:rPr>
          <w:rFonts w:ascii="Arial Narrow" w:hAnsi="Arial Narrow"/>
        </w:rPr>
        <w:t>Le pv de pris</w:t>
      </w:r>
      <w:r w:rsidR="00AD31C9">
        <w:rPr>
          <w:rFonts w:ascii="Arial Narrow" w:hAnsi="Arial Narrow"/>
        </w:rPr>
        <w:t>e</w:t>
      </w:r>
      <w:r w:rsidRPr="00091A8D">
        <w:rPr>
          <w:rFonts w:ascii="Arial Narrow" w:hAnsi="Arial Narrow"/>
        </w:rPr>
        <w:t xml:space="preserve"> en charge des équipements</w:t>
      </w:r>
    </w:p>
    <w:p w14:paraId="38B05CC6" w14:textId="4CDC5F84" w:rsidR="004F723E" w:rsidRDefault="00091A8D" w:rsidP="004F723E">
      <w:pPr>
        <w:pStyle w:val="Paragraphedeliste"/>
        <w:numPr>
          <w:ilvl w:val="0"/>
          <w:numId w:val="24"/>
        </w:numPr>
        <w:spacing w:after="120" w:line="360" w:lineRule="auto"/>
        <w:jc w:val="both"/>
        <w:rPr>
          <w:rFonts w:ascii="Arial Narrow" w:hAnsi="Arial Narrow"/>
        </w:rPr>
      </w:pPr>
      <w:r w:rsidRPr="00091A8D">
        <w:rPr>
          <w:rFonts w:ascii="Arial Narrow" w:hAnsi="Arial Narrow"/>
        </w:rPr>
        <w:t>Toute réunion complémentaire nécessaire pour accompagner l’EPMO</w:t>
      </w:r>
    </w:p>
    <w:p w14:paraId="3D4934AD" w14:textId="77777777" w:rsidR="0006090C" w:rsidRPr="0006090C" w:rsidRDefault="0006090C" w:rsidP="0006090C">
      <w:pPr>
        <w:pStyle w:val="Paragraphedeliste"/>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45A3DBFA" w14:textId="7C2B18BC" w:rsidR="004F723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D078C8">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RESPONSABLES DES PRESTATIONS</w:t>
      </w:r>
    </w:p>
    <w:p w14:paraId="161568DE" w14:textId="4B226025"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D078C8">
        <w:rPr>
          <w:rFonts w:ascii="Arial Narrow" w:hAnsi="Arial Narrow"/>
          <w:b/>
        </w:rPr>
        <w:t>EPMO-VGE</w:t>
      </w:r>
    </w:p>
    <w:p w14:paraId="0D239CC0" w14:textId="55CC47B0" w:rsidR="00F63F02" w:rsidRDefault="00F63F02" w:rsidP="00F63F02">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Pr>
          <w:rFonts w:ascii="Arial Narrow" w:hAnsi="Arial Narrow"/>
        </w:rPr>
        <w:t xml:space="preserve">la Directrice de l’architecture, de la maintenance et de la sécurité des bâtiments, </w:t>
      </w:r>
      <w:r w:rsidRPr="00546FE0">
        <w:rPr>
          <w:rFonts w:ascii="Arial Narrow" w:hAnsi="Arial Narrow"/>
        </w:rPr>
        <w:t xml:space="preserve">Mme </w:t>
      </w:r>
      <w:r>
        <w:rPr>
          <w:rFonts w:ascii="Arial Narrow" w:hAnsi="Arial Narrow"/>
        </w:rPr>
        <w:t>Amélie BODIN,</w:t>
      </w:r>
      <w:r w:rsidRPr="00546FE0">
        <w:rPr>
          <w:rFonts w:ascii="Arial Narrow" w:hAnsi="Arial Narrow"/>
        </w:rPr>
        <w:t xml:space="preserve"> ou son représentant dûment habilité à cet effet en la personne de </w:t>
      </w:r>
      <w:r>
        <w:rPr>
          <w:rFonts w:ascii="Arial Narrow" w:hAnsi="Arial Narrow"/>
        </w:rPr>
        <w:t>Nicolas FICHET.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AEF495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D078C8">
        <w:rPr>
          <w:rFonts w:ascii="Arial Narrow" w:hAnsi="Arial Narrow"/>
        </w:rPr>
        <w:t>EPMO-VGE</w:t>
      </w:r>
      <w:r w:rsidR="00376A8E" w:rsidRPr="00546FE0">
        <w:rPr>
          <w:rFonts w:ascii="Arial Narrow" w:hAnsi="Arial Narrow"/>
        </w:rPr>
        <w:t>.</w:t>
      </w:r>
    </w:p>
    <w:p w14:paraId="778C4399" w14:textId="7512F549"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D078C8">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D078C8">
        <w:rPr>
          <w:rFonts w:ascii="Arial Narrow" w:hAnsi="Arial Narrow"/>
        </w:rPr>
        <w:t>EPMO-VGE</w:t>
      </w:r>
      <w:r w:rsidR="00DC2FA3" w:rsidRPr="00546FE0">
        <w:rPr>
          <w:rFonts w:ascii="Arial Narrow" w:hAnsi="Arial Narrow"/>
        </w:rPr>
        <w:t xml:space="preserve"> dans les plus brefs délais.</w:t>
      </w:r>
    </w:p>
    <w:p w14:paraId="58A36F17" w14:textId="4DBC3510" w:rsidR="00DA3BE7" w:rsidRDefault="00DA3BE7" w:rsidP="00DC2FA3">
      <w:pPr>
        <w:pStyle w:val="En-tte"/>
        <w:spacing w:after="120" w:line="360" w:lineRule="auto"/>
        <w:jc w:val="both"/>
        <w:rPr>
          <w:rFonts w:ascii="Arial Narrow" w:hAnsi="Arial Narrow"/>
        </w:rPr>
      </w:pPr>
    </w:p>
    <w:p w14:paraId="616AB018" w14:textId="77777777" w:rsidR="00DA3BE7" w:rsidRPr="00DA3BE7" w:rsidRDefault="00DA3BE7" w:rsidP="00DA3BE7">
      <w:pPr>
        <w:numPr>
          <w:ilvl w:val="0"/>
          <w:numId w:val="2"/>
        </w:numPr>
        <w:pBdr>
          <w:bottom w:val="single" w:sz="4" w:space="1" w:color="2F5496" w:themeColor="accent5" w:themeShade="BF"/>
        </w:pBdr>
        <w:spacing w:after="360"/>
        <w:ind w:left="283" w:hanging="357"/>
        <w:rPr>
          <w:rFonts w:ascii="Arial Narrow" w:hAnsi="Arial Narrow"/>
          <w:b/>
        </w:rPr>
      </w:pPr>
      <w:r w:rsidRPr="00DA3BE7">
        <w:rPr>
          <w:rFonts w:ascii="Arial Narrow" w:hAnsi="Arial Narrow"/>
          <w:b/>
        </w:rPr>
        <w:t>FONCTIONNEMENT DE L’ACCORD-CADRE</w:t>
      </w:r>
    </w:p>
    <w:p w14:paraId="54F28566" w14:textId="77777777" w:rsidR="00DA3BE7" w:rsidRPr="00DA3BE7" w:rsidRDefault="00DA3BE7" w:rsidP="00DA3BE7">
      <w:pPr>
        <w:numPr>
          <w:ilvl w:val="0"/>
          <w:numId w:val="12"/>
        </w:numPr>
        <w:spacing w:after="240" w:line="360" w:lineRule="auto"/>
        <w:ind w:hanging="720"/>
        <w:jc w:val="both"/>
        <w:rPr>
          <w:rFonts w:ascii="Arial Narrow" w:hAnsi="Arial Narrow"/>
          <w:b/>
        </w:rPr>
      </w:pPr>
      <w:r w:rsidRPr="00DA3BE7">
        <w:rPr>
          <w:rFonts w:ascii="Arial Narrow" w:hAnsi="Arial Narrow"/>
          <w:b/>
        </w:rPr>
        <w:t>Exécution de la part forfaitaire de l’accord-cadre</w:t>
      </w:r>
    </w:p>
    <w:p w14:paraId="76F47D7B" w14:textId="0640B4B9" w:rsidR="00DA3BE7" w:rsidRPr="00DA3BE7" w:rsidRDefault="00DA3BE7" w:rsidP="00DA3BE7">
      <w:pPr>
        <w:tabs>
          <w:tab w:val="center" w:pos="4536"/>
          <w:tab w:val="right" w:pos="9072"/>
        </w:tabs>
        <w:spacing w:after="120" w:line="360" w:lineRule="auto"/>
        <w:jc w:val="both"/>
        <w:rPr>
          <w:rFonts w:ascii="Arial Narrow" w:hAnsi="Arial Narrow"/>
        </w:rPr>
      </w:pPr>
      <w:r w:rsidRPr="0006090C">
        <w:rPr>
          <w:rFonts w:ascii="Arial Narrow" w:hAnsi="Arial Narrow"/>
        </w:rPr>
        <w:t xml:space="preserve">Il est précisé que la notification de l’accord-cadre vaut </w:t>
      </w:r>
      <w:r w:rsidR="00CB436F" w:rsidRPr="0006090C">
        <w:rPr>
          <w:rFonts w:ascii="Arial Narrow" w:hAnsi="Arial Narrow"/>
        </w:rPr>
        <w:t xml:space="preserve">notification </w:t>
      </w:r>
      <w:r w:rsidRPr="0006090C">
        <w:rPr>
          <w:rFonts w:ascii="Arial Narrow" w:hAnsi="Arial Narrow"/>
        </w:rPr>
        <w:t>des prestations faisant l’objet du montant forfaitaire mentionné à l’article 5.1 de l’acte d’engagement.</w:t>
      </w:r>
    </w:p>
    <w:p w14:paraId="1C7ED950" w14:textId="77777777" w:rsidR="00DA3BE7" w:rsidRPr="00DA3BE7" w:rsidRDefault="00DA3BE7" w:rsidP="00DA3BE7">
      <w:pPr>
        <w:numPr>
          <w:ilvl w:val="0"/>
          <w:numId w:val="12"/>
        </w:numPr>
        <w:spacing w:after="240" w:line="360" w:lineRule="auto"/>
        <w:ind w:hanging="720"/>
        <w:jc w:val="both"/>
        <w:rPr>
          <w:rFonts w:ascii="Arial Narrow" w:hAnsi="Arial Narrow"/>
          <w:b/>
        </w:rPr>
      </w:pPr>
      <w:r w:rsidRPr="00DA3BE7">
        <w:rPr>
          <w:rFonts w:ascii="Arial Narrow" w:hAnsi="Arial Narrow"/>
          <w:b/>
        </w:rPr>
        <w:t>Modalités d’émission des bons de commande</w:t>
      </w:r>
    </w:p>
    <w:p w14:paraId="0B6B40C6" w14:textId="33137C6D" w:rsidR="00DA3BE7" w:rsidRPr="00DA3BE7" w:rsidRDefault="00DA3BE7" w:rsidP="00DA3BE7">
      <w:pPr>
        <w:tabs>
          <w:tab w:val="center" w:pos="4536"/>
          <w:tab w:val="right" w:pos="9072"/>
        </w:tabs>
        <w:spacing w:after="120" w:line="360" w:lineRule="auto"/>
        <w:jc w:val="both"/>
        <w:rPr>
          <w:rFonts w:ascii="Arial Narrow" w:hAnsi="Arial Narrow"/>
        </w:rPr>
      </w:pPr>
      <w:r w:rsidRPr="00DA3BE7">
        <w:rPr>
          <w:rFonts w:ascii="Arial Narrow" w:hAnsi="Arial Narrow"/>
        </w:rPr>
        <w:t>L’</w:t>
      </w:r>
      <w:r w:rsidR="00D078C8">
        <w:rPr>
          <w:rFonts w:ascii="Arial Narrow" w:hAnsi="Arial Narrow"/>
        </w:rPr>
        <w:t>EPMO-VGE</w:t>
      </w:r>
      <w:r w:rsidRPr="00DA3BE7">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2CA092AB" w14:textId="77777777" w:rsidR="00DA3BE7" w:rsidRPr="00DA3BE7" w:rsidRDefault="00DA3BE7" w:rsidP="00DA3BE7">
      <w:pPr>
        <w:tabs>
          <w:tab w:val="center" w:pos="4536"/>
          <w:tab w:val="right" w:pos="9072"/>
        </w:tabs>
        <w:spacing w:after="120" w:line="360" w:lineRule="auto"/>
        <w:rPr>
          <w:rFonts w:ascii="Arial Narrow" w:hAnsi="Arial Narrow"/>
        </w:rPr>
      </w:pPr>
      <w:r w:rsidRPr="00DA3BE7">
        <w:rPr>
          <w:rFonts w:ascii="Arial Narrow" w:hAnsi="Arial Narrow"/>
        </w:rPr>
        <w:t xml:space="preserve">Chaque bon de commande devra comporter les mentions suivantes : </w:t>
      </w:r>
    </w:p>
    <w:p w14:paraId="27278071"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La référence au présent accord-cadre</w:t>
      </w:r>
    </w:p>
    <w:p w14:paraId="31772C1E"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numéro du bon de commande</w:t>
      </w:r>
    </w:p>
    <w:p w14:paraId="43E45629"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La désignation des prestations</w:t>
      </w:r>
    </w:p>
    <w:p w14:paraId="29CA45E0"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Les prix unitaires HT conformes au BPU et les quantités à exécuter</w:t>
      </w:r>
    </w:p>
    <w:p w14:paraId="4FE77A31"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montant HT des prestations</w:t>
      </w:r>
    </w:p>
    <w:p w14:paraId="7E477F24"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t>Le taux et le montant de TVA applicable</w:t>
      </w:r>
    </w:p>
    <w:p w14:paraId="17E58403" w14:textId="77777777" w:rsidR="00DA3BE7" w:rsidRPr="00DA3BE7" w:rsidRDefault="00DA3BE7" w:rsidP="00DA3BE7">
      <w:pPr>
        <w:numPr>
          <w:ilvl w:val="0"/>
          <w:numId w:val="10"/>
        </w:numPr>
        <w:tabs>
          <w:tab w:val="center" w:pos="4536"/>
          <w:tab w:val="right" w:pos="9072"/>
        </w:tabs>
        <w:spacing w:after="120" w:line="360" w:lineRule="auto"/>
        <w:rPr>
          <w:rFonts w:ascii="Arial Narrow" w:hAnsi="Arial Narrow"/>
        </w:rPr>
      </w:pPr>
      <w:r w:rsidRPr="00DA3BE7">
        <w:rPr>
          <w:rFonts w:ascii="Arial Narrow" w:hAnsi="Arial Narrow"/>
        </w:rPr>
        <w:lastRenderedPageBreak/>
        <w:t xml:space="preserve">Le montant total TTC </w:t>
      </w:r>
    </w:p>
    <w:p w14:paraId="5B062B59" w14:textId="77777777" w:rsidR="00DA3BE7" w:rsidRPr="00DA3BE7" w:rsidRDefault="00DA3BE7" w:rsidP="00DA3BE7">
      <w:pPr>
        <w:tabs>
          <w:tab w:val="center" w:pos="4536"/>
          <w:tab w:val="right" w:pos="9072"/>
        </w:tabs>
        <w:spacing w:after="120" w:line="360" w:lineRule="auto"/>
        <w:jc w:val="both"/>
        <w:rPr>
          <w:rFonts w:ascii="Arial Narrow" w:hAnsi="Arial Narrow"/>
        </w:rPr>
      </w:pPr>
      <w:r w:rsidRPr="00DA3BE7">
        <w:rPr>
          <w:rFonts w:ascii="Arial Narrow" w:hAnsi="Arial Narrow"/>
        </w:rPr>
        <w:t xml:space="preserve">Le délai d’exécution des prestations est fixé dans chaque bon de commande. </w:t>
      </w:r>
    </w:p>
    <w:p w14:paraId="7BDFB89C" w14:textId="4DF50103" w:rsidR="005D555E" w:rsidRPr="00546FE0" w:rsidRDefault="00DA3BE7" w:rsidP="00DA3BE7">
      <w:pPr>
        <w:tabs>
          <w:tab w:val="center" w:pos="4536"/>
          <w:tab w:val="right" w:pos="9072"/>
        </w:tabs>
        <w:spacing w:after="120" w:line="360" w:lineRule="auto"/>
        <w:jc w:val="both"/>
        <w:rPr>
          <w:rFonts w:ascii="Arial Narrow" w:hAnsi="Arial Narrow"/>
        </w:rPr>
      </w:pPr>
      <w:r w:rsidRPr="00DA3BE7">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51C94CC4" w14:textId="211D01A9" w:rsidR="002E0110" w:rsidRPr="00B1613E" w:rsidRDefault="002E0110" w:rsidP="00B1613E">
      <w:pPr>
        <w:pStyle w:val="Corpsdetexte3"/>
      </w:pPr>
      <w:r w:rsidRPr="00B1613E">
        <w:t>Par dérogation aux articles 28 et 29 du CCAG PI, les opérations de vérification seront effectuées par l’</w:t>
      </w:r>
      <w:r w:rsidR="00D078C8">
        <w:t>EPMO-VGE</w:t>
      </w:r>
      <w:r w:rsidRPr="00B1613E">
        <w:t xml:space="preserve"> dans les conditions suivantes : </w:t>
      </w:r>
    </w:p>
    <w:p w14:paraId="48AFF9E3" w14:textId="063D0D3C" w:rsidR="002E0110" w:rsidRPr="002E0110" w:rsidRDefault="002E0110" w:rsidP="002E0110">
      <w:pPr>
        <w:tabs>
          <w:tab w:val="center" w:pos="4536"/>
          <w:tab w:val="right" w:pos="9072"/>
        </w:tabs>
        <w:spacing w:after="120" w:line="360" w:lineRule="auto"/>
        <w:jc w:val="both"/>
        <w:rPr>
          <w:rFonts w:ascii="Arial Narrow" w:hAnsi="Arial Narrow"/>
        </w:rPr>
      </w:pPr>
      <w:r w:rsidRPr="002E0110">
        <w:rPr>
          <w:rFonts w:ascii="Arial Narrow" w:hAnsi="Arial Narrow"/>
        </w:rPr>
        <w:t>Pour chacune des phases, l’</w:t>
      </w:r>
      <w:r w:rsidR="00D078C8">
        <w:rPr>
          <w:rFonts w:ascii="Arial Narrow" w:hAnsi="Arial Narrow"/>
        </w:rPr>
        <w:t>EPMO-VGE</w:t>
      </w:r>
      <w:r w:rsidR="00B1613E">
        <w:rPr>
          <w:rFonts w:ascii="Arial Narrow" w:hAnsi="Arial Narrow"/>
        </w:rPr>
        <w:t xml:space="preserve"> </w:t>
      </w:r>
      <w:r w:rsidRPr="002E0110">
        <w:rPr>
          <w:rFonts w:ascii="Arial Narrow" w:hAnsi="Arial Narrow"/>
        </w:rPr>
        <w:t xml:space="preserve">dispose d’un délai maximum </w:t>
      </w:r>
      <w:r w:rsidRPr="00931EDE">
        <w:rPr>
          <w:rFonts w:ascii="Arial Narrow" w:hAnsi="Arial Narrow"/>
        </w:rPr>
        <w:t xml:space="preserve">de </w:t>
      </w:r>
      <w:r w:rsidR="006B5EB6" w:rsidRPr="00931EDE">
        <w:rPr>
          <w:rFonts w:ascii="Arial Narrow" w:hAnsi="Arial Narrow"/>
        </w:rPr>
        <w:t>1 semaine</w:t>
      </w:r>
      <w:r w:rsidRPr="002E0110">
        <w:rPr>
          <w:rFonts w:ascii="Arial Narrow" w:hAnsi="Arial Narrow"/>
        </w:rPr>
        <w:t xml:space="preserve"> maximum pour effectuer la vérification des livrables attendus et pour prononcer l’admission des prestations de la phase considérée. La personne publique prend une décision d’admission, d’ajournement, de réfaction ou de rejet.</w:t>
      </w:r>
    </w:p>
    <w:p w14:paraId="367F8D13" w14:textId="548A9F54" w:rsidR="002E0110" w:rsidRPr="00931EDE" w:rsidRDefault="002E0110" w:rsidP="002E0110">
      <w:pPr>
        <w:tabs>
          <w:tab w:val="center" w:pos="4536"/>
          <w:tab w:val="right" w:pos="9072"/>
        </w:tabs>
        <w:spacing w:after="120" w:line="360" w:lineRule="auto"/>
        <w:jc w:val="both"/>
        <w:rPr>
          <w:rFonts w:ascii="Arial Narrow" w:hAnsi="Arial Narrow"/>
        </w:rPr>
      </w:pPr>
      <w:r w:rsidRPr="002E0110">
        <w:rPr>
          <w:rFonts w:ascii="Arial Narrow" w:hAnsi="Arial Narrow"/>
        </w:rPr>
        <w:t>Si l'</w:t>
      </w:r>
      <w:r w:rsidR="00D078C8">
        <w:rPr>
          <w:rFonts w:ascii="Arial Narrow" w:hAnsi="Arial Narrow"/>
        </w:rPr>
        <w:t>EPMO-VGE</w:t>
      </w:r>
      <w:r w:rsidR="00B1613E">
        <w:rPr>
          <w:rFonts w:ascii="Arial Narrow" w:hAnsi="Arial Narrow"/>
        </w:rPr>
        <w:t xml:space="preserve"> </w:t>
      </w:r>
      <w:r w:rsidRPr="002E0110">
        <w:rPr>
          <w:rFonts w:ascii="Arial Narrow" w:hAnsi="Arial Narrow"/>
        </w:rPr>
        <w:t xml:space="preserve">ne notifie pas sa décision dans le délai mentionné ci-dessus, les prestations sont considérées </w:t>
      </w:r>
      <w:r w:rsidRPr="00931EDE">
        <w:rPr>
          <w:rFonts w:ascii="Arial Narrow" w:hAnsi="Arial Narrow"/>
        </w:rPr>
        <w:t>comme admises, avec effet à compter de l'expiration du délai.</w:t>
      </w:r>
    </w:p>
    <w:p w14:paraId="6B4B77EB" w14:textId="121288AB" w:rsidR="002E0110" w:rsidRPr="00931EDE" w:rsidRDefault="002E0110" w:rsidP="002E0110">
      <w:pPr>
        <w:tabs>
          <w:tab w:val="center" w:pos="4536"/>
          <w:tab w:val="right" w:pos="9072"/>
        </w:tabs>
        <w:spacing w:after="120" w:line="360" w:lineRule="auto"/>
        <w:jc w:val="both"/>
        <w:rPr>
          <w:rFonts w:ascii="Arial Narrow" w:hAnsi="Arial Narrow"/>
          <w:b/>
        </w:rPr>
      </w:pPr>
      <w:r w:rsidRPr="00931EDE">
        <w:rPr>
          <w:rFonts w:ascii="Arial Narrow" w:hAnsi="Arial Narrow"/>
        </w:rPr>
        <w:t>En cas d’ajournement ou de rejet, le titulaire dispose d'un nouveau délai indiqué dans la décision de l’</w:t>
      </w:r>
      <w:r w:rsidR="00D078C8" w:rsidRPr="00931EDE">
        <w:rPr>
          <w:rFonts w:ascii="Arial Narrow" w:hAnsi="Arial Narrow"/>
        </w:rPr>
        <w:t>EPMO-VGE</w:t>
      </w:r>
      <w:r w:rsidRPr="00931EDE">
        <w:rPr>
          <w:rFonts w:ascii="Arial Narrow" w:hAnsi="Arial Narrow"/>
        </w:rPr>
        <w:t xml:space="preserve"> pour effectuer les corrections nécessaires. Ces corrections et reprises des documents sont effectuées sans rémunération supplémentaire.</w:t>
      </w:r>
    </w:p>
    <w:p w14:paraId="60CCD014" w14:textId="7DCA0019" w:rsidR="002E0110" w:rsidRPr="00B1613E" w:rsidRDefault="002E0110" w:rsidP="00B1613E">
      <w:pPr>
        <w:pStyle w:val="Corpsdetexte"/>
        <w:tabs>
          <w:tab w:val="center" w:pos="4536"/>
          <w:tab w:val="right" w:pos="9072"/>
        </w:tabs>
        <w:rPr>
          <w:rFonts w:ascii="Arial Narrow" w:hAnsi="Arial Narrow"/>
        </w:rPr>
      </w:pPr>
      <w:r w:rsidRPr="00931EDE">
        <w:rPr>
          <w:rFonts w:ascii="Arial Narrow" w:hAnsi="Arial Narrow"/>
        </w:rPr>
        <w:t>L’</w:t>
      </w:r>
      <w:r w:rsidR="00D078C8" w:rsidRPr="00931EDE">
        <w:rPr>
          <w:rFonts w:ascii="Arial Narrow" w:hAnsi="Arial Narrow"/>
        </w:rPr>
        <w:t>EPMO-VGE</w:t>
      </w:r>
      <w:r w:rsidRPr="00931EDE">
        <w:rPr>
          <w:rFonts w:ascii="Arial Narrow" w:hAnsi="Arial Narrow"/>
        </w:rPr>
        <w:t xml:space="preserve"> d</w:t>
      </w:r>
      <w:r w:rsidR="003A2366" w:rsidRPr="00931EDE">
        <w:rPr>
          <w:rFonts w:ascii="Arial Narrow" w:hAnsi="Arial Narrow"/>
        </w:rPr>
        <w:t>ispose à nouveau d'un délai de 1 semaine</w:t>
      </w:r>
      <w:r w:rsidRPr="00931EDE">
        <w:rPr>
          <w:rFonts w:ascii="Arial Narrow" w:hAnsi="Arial Narrow"/>
        </w:rPr>
        <w:t xml:space="preserve"> pour prononcer</w:t>
      </w:r>
      <w:r w:rsidRPr="00B1613E">
        <w:rPr>
          <w:rFonts w:ascii="Arial Narrow" w:hAnsi="Arial Narrow"/>
        </w:rPr>
        <w:t xml:space="preserve"> sa décision. En l’absence de décision expresse à l’issue de ce délai l’admission est réputée prononcée.</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33C6C21C" w14:textId="181BB7F0"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4F723E">
        <w:rPr>
          <w:rFonts w:ascii="Arial Narrow" w:hAnsi="Arial Narrow"/>
        </w:rPr>
        <w:t>PI</w:t>
      </w:r>
      <w:r w:rsidRPr="00546FE0">
        <w:rPr>
          <w:rFonts w:ascii="Arial Narrow" w:hAnsi="Arial Narrow"/>
        </w:rPr>
        <w:t>.</w:t>
      </w: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6D5E206E" w14:textId="15FD4966" w:rsidR="00B42ED3"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4F723E">
        <w:rPr>
          <w:rFonts w:ascii="Arial Narrow" w:hAnsi="Arial Narrow"/>
        </w:rPr>
        <w:t>PI</w:t>
      </w:r>
      <w:r w:rsidRPr="00546FE0">
        <w:rPr>
          <w:rFonts w:ascii="Arial Narrow" w:hAnsi="Arial Narrow"/>
        </w:rPr>
        <w:t>.</w:t>
      </w:r>
    </w:p>
    <w:p w14:paraId="520C3C63" w14:textId="7B5C4B82" w:rsidR="00EE65EC" w:rsidRPr="00546FE0" w:rsidRDefault="00A14CA4"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721373E6" w14:textId="31AF5674" w:rsidR="00BF758B" w:rsidRDefault="00BF758B" w:rsidP="00BF758B">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D078C8">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sur demande. Cette démarche recouvre l’ensemble des missions de l’Etablissement ; elle a pour objet l’intégration systématique des enjeux sociaux et environnementaux dans toutes les activités. L’</w:t>
      </w:r>
      <w:r w:rsidR="00D078C8">
        <w:rPr>
          <w:rFonts w:ascii="Arial Narrow" w:hAnsi="Arial Narrow"/>
        </w:rPr>
        <w:t>EPMO-VGE</w:t>
      </w:r>
      <w:r>
        <w:rPr>
          <w:rFonts w:ascii="Arial Narrow" w:hAnsi="Arial Narrow"/>
        </w:rPr>
        <w:t xml:space="preserve"> s’inscrit entre autres dans la transition écologique à travers trois axes d’action principaux : sobriété énergétique, décarbonation, économie circulaire. </w:t>
      </w:r>
    </w:p>
    <w:p w14:paraId="6F5224AE" w14:textId="0DF67EF2" w:rsidR="00BF758B" w:rsidRPr="00546FE0" w:rsidRDefault="00BF758B" w:rsidP="00BF758B">
      <w:pPr>
        <w:pStyle w:val="En-tte"/>
        <w:tabs>
          <w:tab w:val="clear" w:pos="4536"/>
          <w:tab w:val="clear" w:pos="9072"/>
        </w:tabs>
        <w:spacing w:after="120" w:line="360" w:lineRule="auto"/>
        <w:jc w:val="both"/>
        <w:rPr>
          <w:rFonts w:ascii="Arial Narrow" w:hAnsi="Arial Narrow"/>
        </w:rPr>
      </w:pPr>
      <w:r>
        <w:rPr>
          <w:rFonts w:ascii="Arial Narrow" w:hAnsi="Arial Narrow"/>
        </w:rPr>
        <w:lastRenderedPageBreak/>
        <w:t>L’</w:t>
      </w:r>
      <w:r w:rsidR="00D078C8">
        <w:rPr>
          <w:rFonts w:ascii="Arial Narrow" w:hAnsi="Arial Narrow"/>
        </w:rPr>
        <w:t>EPMO-VGE</w:t>
      </w:r>
      <w:r>
        <w:rPr>
          <w:rFonts w:ascii="Arial Narrow" w:hAnsi="Arial Narrow"/>
        </w:rPr>
        <w:t xml:space="preserv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3D56173B" w14:textId="4238DE41" w:rsidR="00BF758B" w:rsidRDefault="00BF758B" w:rsidP="00BF758B">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w:t>
      </w:r>
      <w:r w:rsidR="0006090C">
        <w:rPr>
          <w:rFonts w:ascii="Arial Narrow" w:hAnsi="Arial Narrow"/>
        </w:rPr>
        <w:t xml:space="preserve">doit </w:t>
      </w:r>
      <w:r w:rsidRPr="00546FE0">
        <w:rPr>
          <w:rFonts w:ascii="Arial Narrow" w:hAnsi="Arial Narrow"/>
        </w:rPr>
        <w:t xml:space="preserve">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6D5A18A2" w14:textId="431B9797" w:rsidR="00C3218F" w:rsidRPr="00546FE0" w:rsidRDefault="00C3218F"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8E4E99"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8E4E99">
        <w:rPr>
          <w:rFonts w:ascii="Arial Narrow" w:hAnsi="Arial Narrow"/>
          <w:b/>
        </w:rPr>
        <w:t>PRIX DU MARCHE</w:t>
      </w:r>
    </w:p>
    <w:p w14:paraId="73DB91CC" w14:textId="472AB8E9" w:rsidR="00F466DA" w:rsidRDefault="00F466DA" w:rsidP="004F723E">
      <w:pPr>
        <w:pStyle w:val="En-tte"/>
        <w:spacing w:after="120" w:line="360" w:lineRule="auto"/>
        <w:jc w:val="both"/>
        <w:rPr>
          <w:rFonts w:ascii="Arial Narrow" w:hAnsi="Arial Narrow"/>
        </w:rPr>
      </w:pPr>
      <w:r>
        <w:rPr>
          <w:rFonts w:ascii="Arial Narrow" w:hAnsi="Arial Narrow"/>
        </w:rPr>
        <w:t xml:space="preserve">Il est prévu un forfait ainsi qu’une part à commande pour laquelle </w:t>
      </w:r>
      <w:r w:rsidR="0006090C">
        <w:rPr>
          <w:rFonts w:ascii="Arial Narrow" w:hAnsi="Arial Narrow"/>
        </w:rPr>
        <w:t>l</w:t>
      </w:r>
      <w:r w:rsidR="00B42ED3" w:rsidRPr="00546FE0">
        <w:rPr>
          <w:rFonts w:ascii="Arial Narrow" w:hAnsi="Arial Narrow"/>
        </w:rPr>
        <w:t xml:space="preserve">es prix des prestations sont des </w:t>
      </w:r>
      <w:r w:rsidR="00B42ED3" w:rsidRPr="004F723E">
        <w:rPr>
          <w:rFonts w:ascii="Arial Narrow" w:hAnsi="Arial Narrow"/>
        </w:rPr>
        <w:t xml:space="preserve">prix </w:t>
      </w:r>
      <w:r w:rsidR="00DA3BE7">
        <w:rPr>
          <w:rFonts w:ascii="Arial Narrow" w:hAnsi="Arial Narrow"/>
        </w:rPr>
        <w:t>unitaires</w:t>
      </w:r>
      <w:r w:rsidR="00B42ED3" w:rsidRPr="004F723E">
        <w:rPr>
          <w:rFonts w:ascii="Arial Narrow" w:hAnsi="Arial Narrow"/>
        </w:rPr>
        <w:t xml:space="preserve">. </w:t>
      </w:r>
    </w:p>
    <w:p w14:paraId="0B4235BB" w14:textId="196E31B4" w:rsidR="00B42ED3" w:rsidRPr="00460837" w:rsidRDefault="00F466DA" w:rsidP="004F723E">
      <w:pPr>
        <w:pStyle w:val="En-tte"/>
        <w:spacing w:after="120" w:line="360" w:lineRule="auto"/>
        <w:jc w:val="both"/>
        <w:rPr>
          <w:rFonts w:ascii="Arial Narrow" w:hAnsi="Arial Narrow"/>
        </w:rPr>
      </w:pPr>
      <w:r>
        <w:rPr>
          <w:rFonts w:ascii="Arial Narrow" w:hAnsi="Arial Narrow"/>
        </w:rPr>
        <w:t xml:space="preserve">Les prix </w:t>
      </w:r>
      <w:r w:rsidR="00B42ED3" w:rsidRPr="00546FE0">
        <w:rPr>
          <w:rFonts w:ascii="Arial Narrow" w:hAnsi="Arial Narrow"/>
        </w:rPr>
        <w:t xml:space="preserve">sont </w:t>
      </w:r>
      <w:r w:rsidR="000C10A2" w:rsidRPr="00546FE0">
        <w:rPr>
          <w:rFonts w:ascii="Arial Narrow" w:hAnsi="Arial Narrow"/>
        </w:rPr>
        <w:t xml:space="preserve">définitifs et </w:t>
      </w:r>
      <w:r w:rsidR="00B42ED3" w:rsidRPr="00546FE0">
        <w:rPr>
          <w:rFonts w:ascii="Arial Narrow" w:hAnsi="Arial Narrow"/>
        </w:rPr>
        <w:t>réputé</w:t>
      </w:r>
      <w:r w:rsidR="004F723E">
        <w:rPr>
          <w:rFonts w:ascii="Arial Narrow" w:hAnsi="Arial Narrow"/>
        </w:rPr>
        <w:t>s comprendre toutes les charges.</w:t>
      </w:r>
    </w:p>
    <w:p w14:paraId="1099B456" w14:textId="31AC747F" w:rsidR="007F616A" w:rsidRPr="008E4E99" w:rsidRDefault="007F616A" w:rsidP="00EB2FAB">
      <w:pPr>
        <w:pStyle w:val="En-tte"/>
        <w:spacing w:after="120" w:line="360" w:lineRule="auto"/>
        <w:jc w:val="both"/>
        <w:rPr>
          <w:rFonts w:ascii="Arial Narrow" w:hAnsi="Arial Narrow"/>
          <w:i/>
        </w:rPr>
      </w:pPr>
      <w:r w:rsidRPr="008E4E99">
        <w:rPr>
          <w:rFonts w:ascii="Arial Narrow" w:hAnsi="Arial Narrow"/>
        </w:rPr>
        <w:t xml:space="preserve">Les prix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73A7EEE0" w14:textId="4E923DF9" w:rsidR="007F616A" w:rsidRPr="008E4E99" w:rsidRDefault="007F616A" w:rsidP="007F616A">
      <w:pPr>
        <w:pStyle w:val="En-tte"/>
        <w:spacing w:after="120" w:line="360" w:lineRule="auto"/>
        <w:rPr>
          <w:rFonts w:ascii="Arial Narrow" w:hAnsi="Arial Narrow"/>
          <w:lang w:val="en-US"/>
        </w:rPr>
      </w:pPr>
      <w:r w:rsidRPr="008E4E99">
        <w:rPr>
          <w:rFonts w:ascii="Arial Narrow" w:hAnsi="Arial Narrow"/>
          <w:lang w:val="en-US"/>
        </w:rPr>
        <w:t>P = Po * (I</w:t>
      </w:r>
      <w:r w:rsidR="008979AB">
        <w:rPr>
          <w:rFonts w:ascii="Arial Narrow" w:hAnsi="Arial Narrow"/>
          <w:lang w:val="en-US"/>
        </w:rPr>
        <w:t>n</w:t>
      </w:r>
      <w:r w:rsidRPr="008E4E99">
        <w:rPr>
          <w:rFonts w:ascii="Arial Narrow" w:hAnsi="Arial Narrow"/>
          <w:lang w:val="en-US"/>
        </w:rPr>
        <w:t>/ I</w:t>
      </w:r>
      <w:r w:rsidR="008979AB">
        <w:rPr>
          <w:rFonts w:ascii="Arial Narrow" w:hAnsi="Arial Narrow"/>
          <w:lang w:val="en-US"/>
        </w:rPr>
        <w:t>n</w:t>
      </w:r>
      <w:r w:rsidRPr="008E4E99">
        <w:rPr>
          <w:rFonts w:ascii="Arial Narrow" w:hAnsi="Arial Narrow"/>
          <w:lang w:val="en-US"/>
        </w:rPr>
        <w:t>o)</w:t>
      </w:r>
    </w:p>
    <w:p w14:paraId="0C840AF4" w14:textId="77777777" w:rsidR="007F616A" w:rsidRPr="008E4E99" w:rsidRDefault="007F616A" w:rsidP="007F616A">
      <w:pPr>
        <w:pStyle w:val="En-tte"/>
        <w:spacing w:after="120" w:line="360" w:lineRule="auto"/>
        <w:rPr>
          <w:rFonts w:ascii="Arial Narrow" w:hAnsi="Arial Narrow"/>
        </w:rPr>
      </w:pPr>
      <w:r w:rsidRPr="008E4E99">
        <w:rPr>
          <w:rFonts w:ascii="Arial Narrow" w:hAnsi="Arial Narrow"/>
        </w:rPr>
        <w:t xml:space="preserve">I = indice Syntec REV </w:t>
      </w:r>
    </w:p>
    <w:p w14:paraId="40A4E49E" w14:textId="77777777" w:rsidR="007F616A" w:rsidRPr="008E4E99" w:rsidRDefault="007F616A" w:rsidP="007F616A">
      <w:pPr>
        <w:pStyle w:val="En-tte"/>
        <w:spacing w:after="120" w:line="360" w:lineRule="auto"/>
        <w:rPr>
          <w:rFonts w:ascii="Arial Narrow" w:hAnsi="Arial Narrow"/>
        </w:rPr>
      </w:pPr>
      <w:r w:rsidRPr="008E4E99">
        <w:rPr>
          <w:rFonts w:ascii="Arial Narrow" w:hAnsi="Arial Narrow"/>
        </w:rPr>
        <w:t>Dans laquelle :</w:t>
      </w:r>
    </w:p>
    <w:p w14:paraId="10E36129" w14:textId="77777777" w:rsidR="007F616A" w:rsidRPr="008E4E99" w:rsidRDefault="007F616A" w:rsidP="007F616A">
      <w:pPr>
        <w:pStyle w:val="En-tte"/>
        <w:spacing w:after="120" w:line="360" w:lineRule="auto"/>
        <w:ind w:left="1560"/>
        <w:rPr>
          <w:rFonts w:ascii="Arial Narrow" w:hAnsi="Arial Narrow"/>
        </w:rPr>
      </w:pPr>
      <w:r w:rsidRPr="008E4E99">
        <w:rPr>
          <w:rFonts w:ascii="Arial Narrow" w:hAnsi="Arial Narrow"/>
        </w:rPr>
        <w:t>P : prix actualisé,</w:t>
      </w:r>
    </w:p>
    <w:p w14:paraId="7E131A9D" w14:textId="77777777" w:rsidR="007F616A" w:rsidRPr="00546FE0" w:rsidRDefault="007F616A" w:rsidP="007F616A">
      <w:pPr>
        <w:pStyle w:val="En-tte"/>
        <w:spacing w:after="120" w:line="360" w:lineRule="auto"/>
        <w:ind w:left="1560"/>
        <w:rPr>
          <w:rFonts w:ascii="Arial Narrow" w:hAnsi="Arial Narrow"/>
        </w:rPr>
      </w:pPr>
      <w:r w:rsidRPr="00546FE0">
        <w:rPr>
          <w:rFonts w:ascii="Arial Narrow" w:hAnsi="Arial Narrow"/>
        </w:rPr>
        <w:t>Po : prix au mois M0,</w:t>
      </w:r>
    </w:p>
    <w:p w14:paraId="3DF0E622" w14:textId="4887E1CD" w:rsidR="007F616A" w:rsidRPr="00546FE0" w:rsidRDefault="007F616A" w:rsidP="007F616A">
      <w:pPr>
        <w:pStyle w:val="En-tte"/>
        <w:spacing w:after="120" w:line="360" w:lineRule="auto"/>
        <w:ind w:left="1560"/>
        <w:rPr>
          <w:rFonts w:ascii="Arial Narrow" w:hAnsi="Arial Narrow"/>
        </w:rPr>
      </w:pPr>
      <w:r w:rsidRPr="00546FE0">
        <w:rPr>
          <w:rFonts w:ascii="Arial Narrow" w:hAnsi="Arial Narrow"/>
        </w:rPr>
        <w:t>I</w:t>
      </w:r>
      <w:r w:rsidR="008979AB">
        <w:rPr>
          <w:rFonts w:ascii="Arial Narrow" w:hAnsi="Arial Narrow"/>
        </w:rPr>
        <w:t>n</w:t>
      </w:r>
      <w:r w:rsidRPr="00546FE0">
        <w:rPr>
          <w:rFonts w:ascii="Arial Narrow" w:hAnsi="Arial Narrow"/>
        </w:rPr>
        <w:t xml:space="preserve"> : </w:t>
      </w:r>
      <w:r>
        <w:rPr>
          <w:rFonts w:ascii="Arial Narrow" w:hAnsi="Arial Narrow"/>
        </w:rPr>
        <w:t>valeur de l’</w:t>
      </w:r>
      <w:r w:rsidRPr="00546FE0">
        <w:rPr>
          <w:rFonts w:ascii="Arial Narrow" w:hAnsi="Arial Narrow"/>
        </w:rPr>
        <w:t xml:space="preserve">indice </w:t>
      </w:r>
      <w:r>
        <w:rPr>
          <w:rFonts w:ascii="Arial Narrow" w:hAnsi="Arial Narrow"/>
        </w:rPr>
        <w:t>Syntec</w:t>
      </w:r>
      <w:r w:rsidRPr="00546FE0">
        <w:rPr>
          <w:rFonts w:ascii="Arial Narrow" w:hAnsi="Arial Narrow"/>
        </w:rPr>
        <w:t xml:space="preserve"> </w:t>
      </w:r>
      <w:r>
        <w:rPr>
          <w:rFonts w:ascii="Arial Narrow" w:hAnsi="Arial Narrow"/>
        </w:rPr>
        <w:t xml:space="preserve">REV </w:t>
      </w:r>
      <w:r w:rsidRPr="00546FE0">
        <w:rPr>
          <w:rFonts w:ascii="Arial Narrow" w:hAnsi="Arial Narrow"/>
        </w:rPr>
        <w:t>connu à la date d’actualisation des prix,</w:t>
      </w:r>
    </w:p>
    <w:p w14:paraId="5DB96BCF" w14:textId="7EC8297C" w:rsidR="007F616A" w:rsidRPr="00546FE0" w:rsidRDefault="007F616A" w:rsidP="007F616A">
      <w:pPr>
        <w:pStyle w:val="En-tte"/>
        <w:spacing w:after="120" w:line="360" w:lineRule="auto"/>
        <w:ind w:left="1560"/>
        <w:rPr>
          <w:rFonts w:ascii="Arial Narrow" w:hAnsi="Arial Narrow"/>
        </w:rPr>
      </w:pPr>
      <w:r w:rsidRPr="00546FE0">
        <w:rPr>
          <w:rFonts w:ascii="Arial Narrow" w:hAnsi="Arial Narrow"/>
        </w:rPr>
        <w:t>I</w:t>
      </w:r>
      <w:r w:rsidR="008979AB">
        <w:rPr>
          <w:rFonts w:ascii="Arial Narrow" w:hAnsi="Arial Narrow"/>
        </w:rPr>
        <w:t>n</w:t>
      </w:r>
      <w:bookmarkStart w:id="0" w:name="_GoBack"/>
      <w:bookmarkEnd w:id="0"/>
      <w:r>
        <w:rPr>
          <w:rFonts w:ascii="Arial Narrow" w:hAnsi="Arial Narrow"/>
        </w:rPr>
        <w:t>o : valeur de l’indice Syntec REV au mois M-3</w:t>
      </w:r>
      <w:r w:rsidRPr="00546FE0">
        <w:rPr>
          <w:rFonts w:ascii="Arial Narrow" w:hAnsi="Arial Narrow"/>
        </w:rPr>
        <w:t>.</w:t>
      </w:r>
    </w:p>
    <w:p w14:paraId="2D69CCA7" w14:textId="77777777" w:rsidR="007F616A" w:rsidRPr="00546FE0" w:rsidRDefault="007F616A" w:rsidP="007F616A">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4EDCDE16" w14:textId="77777777" w:rsidR="007F616A" w:rsidRPr="00546FE0" w:rsidRDefault="007F616A" w:rsidP="007F616A">
      <w:pPr>
        <w:pStyle w:val="En-tte"/>
        <w:spacing w:after="120" w:line="360" w:lineRule="auto"/>
        <w:rPr>
          <w:rFonts w:ascii="Arial Narrow" w:hAnsi="Arial Narrow"/>
        </w:rPr>
      </w:pPr>
      <w:r w:rsidRPr="00546FE0">
        <w:rPr>
          <w:rFonts w:ascii="Arial Narrow" w:hAnsi="Arial Narrow"/>
        </w:rPr>
        <w:t xml:space="preserve">L’actualisation des prix fera l’objet d’une vérification et d’une validation par l’EPMO. </w:t>
      </w:r>
    </w:p>
    <w:p w14:paraId="246934D9" w14:textId="19EE3C42" w:rsidR="00842252" w:rsidRPr="00546FE0" w:rsidRDefault="007F616A"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627CB5" w:rsidRDefault="0014540C"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627CB5">
        <w:rPr>
          <w:rFonts w:ascii="Arial Narrow" w:hAnsi="Arial Narrow"/>
          <w:b/>
        </w:rPr>
        <w:t>Avance</w:t>
      </w:r>
    </w:p>
    <w:p w14:paraId="5CACA6BC" w14:textId="29E51115" w:rsidR="00FD1CBD" w:rsidRDefault="00FD1CBD" w:rsidP="00091A8D">
      <w:pPr>
        <w:pStyle w:val="En-tte"/>
        <w:spacing w:after="120" w:line="360" w:lineRule="auto"/>
        <w:jc w:val="both"/>
        <w:rPr>
          <w:rFonts w:ascii="Arial Narrow" w:hAnsi="Arial Narrow"/>
        </w:rPr>
      </w:pPr>
      <w:r>
        <w:rPr>
          <w:rFonts w:ascii="Arial Narrow" w:hAnsi="Arial Narrow"/>
        </w:rPr>
        <w:t>Pour la part forfaitaire, u</w:t>
      </w:r>
      <w:r w:rsidR="0014540C" w:rsidRPr="00546FE0">
        <w:rPr>
          <w:rFonts w:ascii="Arial Narrow" w:hAnsi="Arial Narrow"/>
        </w:rPr>
        <w:t xml:space="preserve">ne avance est versée au titulaire dans les conditions fixées à l’option A de l’article </w:t>
      </w:r>
      <w:r w:rsidR="009F1689" w:rsidRPr="00091A8D">
        <w:rPr>
          <w:rFonts w:ascii="Arial Narrow" w:hAnsi="Arial Narrow"/>
        </w:rPr>
        <w:t>11.1 du CCAG-PI</w:t>
      </w:r>
      <w:r w:rsidR="0014540C" w:rsidRPr="00091A8D">
        <w:rPr>
          <w:rFonts w:ascii="Arial Narrow" w:hAnsi="Arial Narrow"/>
        </w:rPr>
        <w:t xml:space="preserve"> </w:t>
      </w:r>
      <w:r w:rsidR="0014540C" w:rsidRPr="00546FE0">
        <w:rPr>
          <w:rFonts w:ascii="Arial Narrow" w:hAnsi="Arial Narrow"/>
        </w:rPr>
        <w:t xml:space="preserve">et </w:t>
      </w:r>
      <w:r w:rsidR="0014540C" w:rsidRPr="00091A8D">
        <w:rPr>
          <w:rFonts w:ascii="Arial Narrow" w:hAnsi="Arial Narrow"/>
        </w:rPr>
        <w:t xml:space="preserve">aux articles R. 2191-3 et suivants du </w:t>
      </w:r>
      <w:r w:rsidR="0014540C" w:rsidRPr="00546FE0">
        <w:rPr>
          <w:rFonts w:ascii="Arial Narrow" w:hAnsi="Arial Narrow"/>
        </w:rPr>
        <w:t>Code de la commande publique, sauf si celui-ci y renonce dans l’acte d’engagement.</w:t>
      </w:r>
    </w:p>
    <w:p w14:paraId="5D4AD7C8" w14:textId="05358BC8" w:rsidR="004C5CF1" w:rsidRPr="00546FE0" w:rsidRDefault="0014540C"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546FE0">
        <w:rPr>
          <w:rFonts w:ascii="Arial Narrow" w:hAnsi="Arial Narrow"/>
          <w:b/>
        </w:rPr>
        <w:lastRenderedPageBreak/>
        <w:t xml:space="preserve">Paiement </w:t>
      </w:r>
      <w:r w:rsidR="00DA3BE7">
        <w:rPr>
          <w:rFonts w:ascii="Arial Narrow" w:hAnsi="Arial Narrow"/>
          <w:b/>
        </w:rPr>
        <w:t>de la part forfaitaire</w:t>
      </w:r>
    </w:p>
    <w:p w14:paraId="5D60FC56" w14:textId="444BB5A8" w:rsidR="00C563AA" w:rsidRPr="008E4E99" w:rsidRDefault="00173DBD" w:rsidP="00C563AA">
      <w:pPr>
        <w:pStyle w:val="En-tte"/>
        <w:spacing w:after="120" w:line="360" w:lineRule="auto"/>
        <w:jc w:val="both"/>
        <w:rPr>
          <w:rFonts w:ascii="Arial Narrow" w:hAnsi="Arial Narrow"/>
        </w:rPr>
      </w:pPr>
      <w:r w:rsidRPr="008E4E99">
        <w:rPr>
          <w:rFonts w:ascii="Arial Narrow" w:hAnsi="Arial Narrow"/>
        </w:rPr>
        <w:t>Les</w:t>
      </w:r>
      <w:r w:rsidR="005E2B01" w:rsidRPr="008E4E99">
        <w:rPr>
          <w:rFonts w:ascii="Arial Narrow" w:hAnsi="Arial Narrow"/>
        </w:rPr>
        <w:t xml:space="preserve"> prestations forfaitaires </w:t>
      </w:r>
      <w:r w:rsidR="00C30F29" w:rsidRPr="008E4E99">
        <w:rPr>
          <w:rFonts w:ascii="Arial Narrow" w:hAnsi="Arial Narrow"/>
        </w:rPr>
        <w:t>feront</w:t>
      </w:r>
      <w:r w:rsidR="005E2B01" w:rsidRPr="008E4E99">
        <w:rPr>
          <w:rFonts w:ascii="Arial Narrow" w:hAnsi="Arial Narrow"/>
        </w:rPr>
        <w:t xml:space="preserve"> </w:t>
      </w:r>
      <w:r w:rsidR="004B4A76" w:rsidRPr="008E4E99">
        <w:rPr>
          <w:rFonts w:ascii="Arial Narrow" w:hAnsi="Arial Narrow"/>
        </w:rPr>
        <w:t xml:space="preserve">l’objet d’un paiement </w:t>
      </w:r>
      <w:r w:rsidRPr="008E4E99">
        <w:rPr>
          <w:rFonts w:ascii="Arial Narrow" w:hAnsi="Arial Narrow"/>
        </w:rPr>
        <w:t xml:space="preserve">phase par phase </w:t>
      </w:r>
      <w:r w:rsidR="00C563AA" w:rsidRPr="008E4E99">
        <w:rPr>
          <w:rFonts w:ascii="Arial Narrow" w:hAnsi="Arial Narrow"/>
        </w:rPr>
        <w:t>selon</w:t>
      </w:r>
      <w:r w:rsidRPr="008E4E99">
        <w:rPr>
          <w:rFonts w:ascii="Arial Narrow" w:hAnsi="Arial Narrow"/>
        </w:rPr>
        <w:t xml:space="preserve"> l’état d</w:t>
      </w:r>
      <w:r w:rsidR="00C563AA" w:rsidRPr="008E4E99">
        <w:rPr>
          <w:rFonts w:ascii="Arial Narrow" w:hAnsi="Arial Narrow"/>
        </w:rPr>
        <w:t xml:space="preserve">’avancement </w:t>
      </w:r>
      <w:r w:rsidR="00A96912" w:rsidRPr="008E4E99">
        <w:rPr>
          <w:rFonts w:ascii="Arial Narrow" w:hAnsi="Arial Narrow"/>
        </w:rPr>
        <w:t xml:space="preserve">mensuel </w:t>
      </w:r>
      <w:r w:rsidRPr="008E4E99">
        <w:rPr>
          <w:rFonts w:ascii="Arial Narrow" w:hAnsi="Arial Narrow"/>
        </w:rPr>
        <w:t>des prestations.</w:t>
      </w:r>
    </w:p>
    <w:p w14:paraId="1DDE4EE3" w14:textId="77777777" w:rsidR="00173DBD" w:rsidRDefault="00173DBD" w:rsidP="00C563AA">
      <w:pPr>
        <w:pStyle w:val="En-tte"/>
        <w:spacing w:after="120" w:line="360" w:lineRule="auto"/>
        <w:jc w:val="both"/>
        <w:rPr>
          <w:rFonts w:ascii="Arial Narrow" w:hAnsi="Arial Narrow"/>
        </w:rPr>
      </w:pPr>
    </w:p>
    <w:p w14:paraId="6F6D7B83" w14:textId="77777777" w:rsidR="00DA3BE7" w:rsidRPr="00247B19" w:rsidRDefault="00DA3BE7"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247B19">
        <w:rPr>
          <w:rFonts w:ascii="Arial Narrow" w:hAnsi="Arial Narrow"/>
          <w:b/>
        </w:rPr>
        <w:t>Paiement de la part à commandes</w:t>
      </w:r>
    </w:p>
    <w:p w14:paraId="5628567C" w14:textId="77777777" w:rsidR="00DA3BE7" w:rsidRPr="00FC53DC" w:rsidRDefault="00DA3BE7" w:rsidP="00FC53DC">
      <w:pPr>
        <w:pStyle w:val="Corpsdetexte"/>
        <w:tabs>
          <w:tab w:val="center" w:pos="4536"/>
          <w:tab w:val="right" w:pos="9072"/>
        </w:tabs>
        <w:rPr>
          <w:rFonts w:ascii="Arial Narrow" w:hAnsi="Arial Narrow"/>
        </w:rPr>
      </w:pPr>
      <w:r w:rsidRPr="00FC53DC">
        <w:rPr>
          <w:rFonts w:ascii="Arial Narrow" w:hAnsi="Arial Narrow"/>
        </w:rPr>
        <w:t>Les prestations seront réglées sur présentation d’une facture pour chaque bon de commande émis sur la base des prix unitaires fixés dans le BPU.</w:t>
      </w:r>
    </w:p>
    <w:p w14:paraId="384CB73A" w14:textId="2B4C641D" w:rsidR="00DA3BE7" w:rsidRDefault="00C563AA" w:rsidP="004C5CF1">
      <w:pPr>
        <w:pStyle w:val="En-tte"/>
        <w:spacing w:after="120" w:line="360" w:lineRule="auto"/>
        <w:jc w:val="both"/>
        <w:rPr>
          <w:rFonts w:ascii="Arial Narrow" w:hAnsi="Arial Narrow"/>
        </w:rPr>
      </w:pPr>
      <w:r>
        <w:rPr>
          <w:rFonts w:ascii="Arial Narrow" w:hAnsi="Arial Narrow"/>
        </w:rPr>
        <w:t xml:space="preserve">Pour les bons de commande d’une durée supérieure à 3 mois, les paiements seront réalisés en fonction de </w:t>
      </w:r>
      <w:r w:rsidRPr="00EA58E0">
        <w:rPr>
          <w:rFonts w:ascii="Arial Narrow" w:hAnsi="Arial Narrow"/>
        </w:rPr>
        <w:t xml:space="preserve">l’avancement </w:t>
      </w:r>
      <w:r w:rsidR="00A96912" w:rsidRPr="00EA58E0">
        <w:rPr>
          <w:rFonts w:ascii="Arial Narrow" w:hAnsi="Arial Narrow"/>
        </w:rPr>
        <w:t xml:space="preserve">mensuel </w:t>
      </w:r>
      <w:r w:rsidRPr="00EA58E0">
        <w:rPr>
          <w:rFonts w:ascii="Arial Narrow" w:hAnsi="Arial Narrow"/>
        </w:rPr>
        <w:t>des prestations</w:t>
      </w:r>
      <w:r w:rsidR="003C610C" w:rsidRPr="00EA58E0">
        <w:rPr>
          <w:rFonts w:ascii="Arial Narrow" w:hAnsi="Arial Narrow"/>
        </w:rPr>
        <w:t>.</w:t>
      </w:r>
    </w:p>
    <w:p w14:paraId="2CA973B8" w14:textId="77777777" w:rsidR="003A2366" w:rsidRPr="00546FE0" w:rsidRDefault="003A2366" w:rsidP="004C5CF1">
      <w:pPr>
        <w:pStyle w:val="En-tte"/>
        <w:spacing w:after="120" w:line="360" w:lineRule="auto"/>
        <w:jc w:val="both"/>
        <w:rPr>
          <w:rFonts w:ascii="Arial Narrow" w:hAnsi="Arial Narrow"/>
        </w:rPr>
      </w:pPr>
    </w:p>
    <w:p w14:paraId="02C930A6" w14:textId="0C3F6F4D" w:rsidR="005413BD" w:rsidRPr="00ED6EDF" w:rsidRDefault="005413BD"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ED6EDF">
        <w:rPr>
          <w:rFonts w:ascii="Arial Narrow" w:hAnsi="Arial Narrow"/>
          <w:b/>
        </w:rPr>
        <w:t>Délai global de paiement</w:t>
      </w:r>
    </w:p>
    <w:p w14:paraId="7B5C0949" w14:textId="3286495E"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D078C8">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8486CE7"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1D86A8AC" w14:textId="77777777" w:rsidR="001F5A33" w:rsidRDefault="001F5A33" w:rsidP="005413BD">
      <w:pPr>
        <w:pStyle w:val="En-tte"/>
        <w:spacing w:after="120" w:line="360" w:lineRule="auto"/>
        <w:jc w:val="both"/>
        <w:rPr>
          <w:rFonts w:ascii="Arial Narrow" w:hAnsi="Arial Narrow"/>
        </w:rPr>
      </w:pPr>
    </w:p>
    <w:p w14:paraId="034DAAFD" w14:textId="7BB6F5A8" w:rsidR="00367714" w:rsidRPr="00ED6EDF" w:rsidRDefault="00367714" w:rsidP="00ED6EDF">
      <w:pPr>
        <w:pStyle w:val="En-tte"/>
        <w:numPr>
          <w:ilvl w:val="0"/>
          <w:numId w:val="14"/>
        </w:numPr>
        <w:tabs>
          <w:tab w:val="clear" w:pos="4536"/>
          <w:tab w:val="clear" w:pos="9072"/>
        </w:tabs>
        <w:spacing w:after="240" w:line="360" w:lineRule="auto"/>
        <w:ind w:left="709" w:hanging="785"/>
        <w:jc w:val="both"/>
        <w:rPr>
          <w:rFonts w:ascii="Arial Narrow" w:hAnsi="Arial Narrow"/>
          <w:b/>
        </w:rPr>
      </w:pPr>
      <w:r w:rsidRPr="00ED6EDF">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02C25293"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356E91C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D078C8">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10B20B80" w:rsidR="006A63E0" w:rsidRPr="00546FE0" w:rsidRDefault="009F1689" w:rsidP="006A63E0">
      <w:pPr>
        <w:pStyle w:val="En-tte"/>
        <w:spacing w:after="120" w:line="360" w:lineRule="auto"/>
        <w:rPr>
          <w:rFonts w:ascii="Arial Narrow" w:hAnsi="Arial Narrow"/>
        </w:rPr>
      </w:pPr>
      <w:r>
        <w:rPr>
          <w:rFonts w:ascii="Arial Narrow" w:hAnsi="Arial Narrow"/>
        </w:rPr>
        <w:lastRenderedPageBreak/>
        <w:t xml:space="preserve">- </w:t>
      </w:r>
      <w:r w:rsidR="006A63E0" w:rsidRPr="00546FE0">
        <w:rPr>
          <w:rFonts w:ascii="Arial Narrow" w:hAnsi="Arial Narrow"/>
        </w:rPr>
        <w:t>la raison sociale, le n° SIRET, le n° de TVA intra-communautaire et l’adresse du titulaire ;</w:t>
      </w:r>
    </w:p>
    <w:p w14:paraId="6D08AF16" w14:textId="7A0F9DDD"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D078C8">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9008BC" w:rsidR="006A63E0" w:rsidRPr="00546FE0" w:rsidRDefault="009F1689" w:rsidP="006A63E0">
      <w:pPr>
        <w:pStyle w:val="En-tte"/>
        <w:spacing w:after="120" w:line="360" w:lineRule="auto"/>
        <w:rPr>
          <w:rFonts w:ascii="Arial Narrow" w:hAnsi="Arial Narrow"/>
        </w:rPr>
      </w:pPr>
      <w:r>
        <w:rPr>
          <w:rFonts w:ascii="Arial Narrow" w:hAnsi="Arial Narrow"/>
        </w:rPr>
        <w:t>- le numéro du marché</w:t>
      </w:r>
      <w:r w:rsidR="00DA3BE7">
        <w:rPr>
          <w:rFonts w:ascii="Arial Narrow" w:hAnsi="Arial Narrow"/>
        </w:rPr>
        <w:t>,</w:t>
      </w:r>
      <w:r w:rsidR="00107F2F">
        <w:rPr>
          <w:rFonts w:ascii="Arial Narrow" w:hAnsi="Arial Narrow"/>
        </w:rPr>
        <w:t xml:space="preserve"> et</w:t>
      </w:r>
      <w:r w:rsidR="00DA3BE7">
        <w:rPr>
          <w:rFonts w:ascii="Arial Narrow" w:hAnsi="Arial Narrow"/>
        </w:rPr>
        <w:t xml:space="preserve"> du bon de commande</w:t>
      </w:r>
      <w:r>
        <w:rPr>
          <w:rFonts w:ascii="Arial Narrow" w:hAnsi="Arial Narrow"/>
        </w:rPr>
        <w:t xml:space="preserve"> </w:t>
      </w:r>
      <w:r w:rsidR="006A63E0"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139468C1" w:rsidR="004C5CF1"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F835EE6" w14:textId="77777777" w:rsidR="001F5A33" w:rsidRDefault="001F5A33"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7C5B1D58" w:rsidR="006A63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4E81C336" w14:textId="77777777" w:rsidR="001F5A33" w:rsidRDefault="001F5A33"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54EFA79A"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D078C8">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0BCEE127" w:rsidR="004A157C" w:rsidRDefault="004A157C" w:rsidP="006465DC">
      <w:pPr>
        <w:pStyle w:val="En-tte"/>
        <w:spacing w:after="120" w:line="360" w:lineRule="auto"/>
        <w:jc w:val="both"/>
        <w:rPr>
          <w:rFonts w:ascii="Arial Narrow" w:hAnsi="Arial Narrow"/>
        </w:rPr>
      </w:pPr>
    </w:p>
    <w:p w14:paraId="1AA05CF4" w14:textId="76254981" w:rsidR="001F5A33" w:rsidRDefault="001F5A33" w:rsidP="006465DC">
      <w:pPr>
        <w:pStyle w:val="En-tte"/>
        <w:spacing w:after="120" w:line="360" w:lineRule="auto"/>
        <w:jc w:val="both"/>
        <w:rPr>
          <w:rFonts w:ascii="Arial Narrow" w:hAnsi="Arial Narrow"/>
        </w:rPr>
      </w:pPr>
    </w:p>
    <w:p w14:paraId="0F81C5C3" w14:textId="77777777" w:rsidR="001F5A33" w:rsidRPr="00546FE0" w:rsidRDefault="001F5A33"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PENALITES</w:t>
      </w:r>
    </w:p>
    <w:p w14:paraId="01C5825A" w14:textId="06452CE4"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D078C8">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668EEC5C" w:rsidR="004A157C"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9F1689">
        <w:rPr>
          <w:rFonts w:ascii="Arial Narrow" w:hAnsi="Arial Narrow"/>
        </w:rPr>
        <w:t>PI</w:t>
      </w:r>
      <w:r w:rsidRPr="00546FE0">
        <w:rPr>
          <w:rFonts w:ascii="Arial Narrow" w:hAnsi="Arial Narrow"/>
        </w:rPr>
        <w:t>, l’</w:t>
      </w:r>
      <w:r w:rsidR="00D078C8">
        <w:rPr>
          <w:rFonts w:ascii="Arial Narrow" w:hAnsi="Arial Narrow"/>
        </w:rPr>
        <w:t>EPMO-VGE</w:t>
      </w:r>
      <w:r w:rsidRPr="00546FE0">
        <w:rPr>
          <w:rFonts w:ascii="Arial Narrow" w:hAnsi="Arial Narrow"/>
        </w:rPr>
        <w:t xml:space="preserve"> n’invitera pas préalablement le titulaire à présenter ses observations.</w:t>
      </w:r>
    </w:p>
    <w:p w14:paraId="1C7809AD" w14:textId="50B21682" w:rsidR="00F466DA" w:rsidRPr="00F466DA" w:rsidRDefault="00052B9D" w:rsidP="004A157C">
      <w:pPr>
        <w:pStyle w:val="En-tte"/>
        <w:spacing w:after="120" w:line="360" w:lineRule="auto"/>
        <w:jc w:val="both"/>
        <w:rPr>
          <w:rFonts w:ascii="Arial Narrow" w:hAnsi="Arial Narrow"/>
        </w:rPr>
      </w:pPr>
      <w:r w:rsidRPr="00F466DA">
        <w:rPr>
          <w:rFonts w:ascii="Arial Narrow" w:hAnsi="Arial Narrow"/>
        </w:rPr>
        <w:t xml:space="preserve">Par dérogation à l’article 14.1.2 </w:t>
      </w:r>
      <w:r w:rsidR="00F466DA" w:rsidRPr="00F466DA">
        <w:rPr>
          <w:rFonts w:ascii="Arial Narrow" w:hAnsi="Arial Narrow"/>
        </w:rPr>
        <w:t xml:space="preserve">Le montant total des pénalités de retard ne peut excéder 15% du montant total hors taxes du marché, </w:t>
      </w:r>
      <w:r w:rsidR="00F466DA">
        <w:rPr>
          <w:rFonts w:ascii="Arial Narrow" w:hAnsi="Arial Narrow"/>
        </w:rPr>
        <w:t xml:space="preserve">ou </w:t>
      </w:r>
      <w:r w:rsidR="00F466DA" w:rsidRPr="00F466DA">
        <w:rPr>
          <w:rFonts w:ascii="Arial Narrow" w:hAnsi="Arial Narrow"/>
        </w:rPr>
        <w:t>du bon de commande.</w:t>
      </w:r>
    </w:p>
    <w:p w14:paraId="0917736C" w14:textId="7D2694CD"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9F1689">
        <w:rPr>
          <w:rFonts w:ascii="Arial Narrow" w:hAnsi="Arial Narrow"/>
        </w:rPr>
        <w:t>PI</w:t>
      </w:r>
      <w:r w:rsidR="002F4374" w:rsidRPr="00546FE0">
        <w:rPr>
          <w:rFonts w:ascii="Arial Narrow" w:hAnsi="Arial Narrow"/>
        </w:rPr>
        <w:t>.</w:t>
      </w:r>
    </w:p>
    <w:p w14:paraId="496D621C" w14:textId="35540C38" w:rsidR="00FC53DC" w:rsidRPr="006B1838" w:rsidRDefault="0024679A" w:rsidP="0024679A">
      <w:pPr>
        <w:pStyle w:val="En-tte"/>
        <w:spacing w:after="120" w:line="360" w:lineRule="auto"/>
        <w:rPr>
          <w:rFonts w:ascii="Arial Narrow" w:hAnsi="Arial Narrow"/>
        </w:rPr>
      </w:pPr>
      <w:r>
        <w:rPr>
          <w:rFonts w:ascii="Arial Narrow" w:hAnsi="Arial Narrow"/>
        </w:rPr>
        <w:t>Les péna</w:t>
      </w:r>
      <w:r w:rsidRPr="006B1838">
        <w:rPr>
          <w:rFonts w:ascii="Arial Narrow" w:hAnsi="Arial Narrow"/>
        </w:rPr>
        <w:t>lités sont les suivantes :</w:t>
      </w:r>
    </w:p>
    <w:tbl>
      <w:tblPr>
        <w:tblStyle w:val="Grilledutableau11"/>
        <w:tblW w:w="9067" w:type="dxa"/>
        <w:tblLook w:val="04A0" w:firstRow="1" w:lastRow="0" w:firstColumn="1" w:lastColumn="0" w:noHBand="0" w:noVBand="1"/>
      </w:tblPr>
      <w:tblGrid>
        <w:gridCol w:w="4815"/>
        <w:gridCol w:w="4252"/>
      </w:tblGrid>
      <w:tr w:rsidR="0024679A" w:rsidRPr="006B1838" w14:paraId="5C014B82" w14:textId="77777777" w:rsidTr="0024679A">
        <w:tc>
          <w:tcPr>
            <w:tcW w:w="48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456F764" w14:textId="77777777" w:rsidR="0024679A" w:rsidRPr="006B1838" w:rsidRDefault="0024679A">
            <w:pPr>
              <w:jc w:val="center"/>
              <w:rPr>
                <w:rFonts w:ascii="Arial Narrow" w:eastAsia="Calibri" w:hAnsi="Arial Narrow" w:cs="Arial"/>
                <w:b/>
                <w:lang w:eastAsia="ar-SA"/>
              </w:rPr>
            </w:pPr>
            <w:r w:rsidRPr="006B1838">
              <w:rPr>
                <w:rFonts w:ascii="Arial Narrow" w:eastAsia="Calibri" w:hAnsi="Arial Narrow" w:cs="Arial"/>
                <w:b/>
                <w:lang w:eastAsia="ar-SA"/>
              </w:rPr>
              <w:t>Pénalités</w:t>
            </w:r>
          </w:p>
        </w:tc>
        <w:tc>
          <w:tcPr>
            <w:tcW w:w="42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75D93F0" w14:textId="77777777" w:rsidR="0024679A" w:rsidRPr="006B1838" w:rsidRDefault="0024679A">
            <w:pPr>
              <w:spacing w:after="40"/>
              <w:jc w:val="center"/>
              <w:rPr>
                <w:rFonts w:ascii="Arial Narrow" w:eastAsia="Calibri" w:hAnsi="Arial Narrow" w:cs="Arial"/>
                <w:b/>
                <w:lang w:eastAsia="ar-SA"/>
              </w:rPr>
            </w:pPr>
            <w:r w:rsidRPr="006B1838">
              <w:rPr>
                <w:rFonts w:ascii="Arial Narrow" w:eastAsia="Calibri" w:hAnsi="Arial Narrow" w:cs="Arial"/>
                <w:b/>
                <w:lang w:eastAsia="ar-SA"/>
              </w:rPr>
              <w:t>Coûts</w:t>
            </w:r>
          </w:p>
        </w:tc>
      </w:tr>
      <w:tr w:rsidR="00FD1AC9" w:rsidRPr="006B1838" w14:paraId="5F85AA58" w14:textId="77777777" w:rsidTr="0024679A">
        <w:tc>
          <w:tcPr>
            <w:tcW w:w="4815" w:type="dxa"/>
            <w:tcBorders>
              <w:top w:val="single" w:sz="4" w:space="0" w:color="auto"/>
              <w:left w:val="single" w:sz="4" w:space="0" w:color="auto"/>
              <w:bottom w:val="single" w:sz="4" w:space="0" w:color="auto"/>
              <w:right w:val="single" w:sz="4" w:space="0" w:color="auto"/>
            </w:tcBorders>
            <w:vAlign w:val="center"/>
            <w:hideMark/>
          </w:tcPr>
          <w:p w14:paraId="38BA94AA" w14:textId="7FF84C82" w:rsidR="00FD1AC9" w:rsidRPr="00E84900" w:rsidRDefault="00FD1AC9" w:rsidP="00FD1AC9">
            <w:pPr>
              <w:spacing w:after="40"/>
              <w:rPr>
                <w:rFonts w:ascii="Arial Narrow" w:eastAsia="Calibri" w:hAnsi="Arial Narrow" w:cs="Arial"/>
                <w:lang w:eastAsia="ar-SA"/>
              </w:rPr>
            </w:pPr>
            <w:r w:rsidRPr="00E84900">
              <w:rPr>
                <w:rFonts w:ascii="Arial Narrow" w:eastAsia="Calibri" w:hAnsi="Arial Narrow" w:cs="Arial"/>
                <w:lang w:eastAsia="ar-SA"/>
              </w:rPr>
              <w:t>Non remise des livrables mentionnés à l’article 2</w:t>
            </w:r>
            <w:r w:rsidR="00AD28B3" w:rsidRPr="00E84900">
              <w:rPr>
                <w:rFonts w:ascii="Arial Narrow" w:eastAsia="Calibri" w:hAnsi="Arial Narrow" w:cs="Arial"/>
                <w:lang w:eastAsia="ar-SA"/>
              </w:rPr>
              <w:t>.2</w:t>
            </w:r>
            <w:r w:rsidRPr="00E84900">
              <w:rPr>
                <w:rFonts w:ascii="Arial Narrow" w:eastAsia="Calibri" w:hAnsi="Arial Narrow" w:cs="Arial"/>
                <w:lang w:eastAsia="ar-SA"/>
              </w:rPr>
              <w:t xml:space="preserve"> du CCTP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8E620D0" w14:textId="3769ED3D" w:rsidR="00FD1AC9" w:rsidRPr="00E84900" w:rsidRDefault="00FD1AC9" w:rsidP="00AD28B3">
            <w:pPr>
              <w:pStyle w:val="En-tte"/>
              <w:tabs>
                <w:tab w:val="clear" w:pos="4536"/>
                <w:tab w:val="clear" w:pos="9072"/>
              </w:tabs>
              <w:spacing w:after="40"/>
              <w:rPr>
                <w:rFonts w:ascii="Arial Narrow" w:eastAsia="Calibri" w:hAnsi="Arial Narrow" w:cs="Arial"/>
                <w:lang w:eastAsia="ar-SA"/>
              </w:rPr>
            </w:pPr>
            <w:r w:rsidRPr="00E84900">
              <w:rPr>
                <w:rFonts w:ascii="Arial Narrow" w:eastAsia="Calibri" w:hAnsi="Arial Narrow" w:cs="Arial"/>
                <w:lang w:eastAsia="ar-SA"/>
              </w:rPr>
              <w:t>300 € HT par livrable non remis</w:t>
            </w:r>
            <w:r w:rsidR="00F466DA">
              <w:rPr>
                <w:rFonts w:ascii="Arial Narrow" w:eastAsia="Calibri" w:hAnsi="Arial Narrow" w:cs="Arial"/>
                <w:lang w:eastAsia="ar-SA"/>
              </w:rPr>
              <w:t xml:space="preserve"> sur simple constat</w:t>
            </w:r>
          </w:p>
        </w:tc>
      </w:tr>
      <w:tr w:rsidR="00FD1AC9" w:rsidRPr="006B1838" w14:paraId="5BE46438" w14:textId="77777777" w:rsidTr="00AC665C">
        <w:tc>
          <w:tcPr>
            <w:tcW w:w="4815" w:type="dxa"/>
            <w:tcBorders>
              <w:top w:val="single" w:sz="4" w:space="0" w:color="auto"/>
              <w:left w:val="single" w:sz="4" w:space="0" w:color="auto"/>
              <w:bottom w:val="single" w:sz="4" w:space="0" w:color="auto"/>
              <w:right w:val="single" w:sz="4" w:space="0" w:color="auto"/>
            </w:tcBorders>
            <w:vAlign w:val="center"/>
            <w:hideMark/>
          </w:tcPr>
          <w:p w14:paraId="2F6DD5D0" w14:textId="77777777" w:rsidR="00AD28B3" w:rsidRPr="00D67D55" w:rsidRDefault="00AD28B3" w:rsidP="00AD28B3">
            <w:pPr>
              <w:spacing w:after="40"/>
              <w:rPr>
                <w:rFonts w:ascii="Arial Narrow" w:eastAsia="Calibri" w:hAnsi="Arial Narrow" w:cs="Arial"/>
                <w:lang w:eastAsia="ar-SA"/>
              </w:rPr>
            </w:pPr>
            <w:r w:rsidRPr="00D67D55">
              <w:rPr>
                <w:rFonts w:ascii="Arial Narrow" w:eastAsia="Calibri" w:hAnsi="Arial Narrow" w:cs="Arial"/>
                <w:lang w:eastAsia="ar-SA"/>
              </w:rPr>
              <w:t xml:space="preserve">Retard par rapport à la date prévue au planning pour : </w:t>
            </w:r>
          </w:p>
          <w:p w14:paraId="72CD340B" w14:textId="77777777" w:rsidR="00AD28B3" w:rsidRPr="00D67D55" w:rsidRDefault="00AD28B3" w:rsidP="00AD28B3">
            <w:pPr>
              <w:spacing w:after="40"/>
              <w:rPr>
                <w:rFonts w:ascii="Arial Narrow" w:eastAsia="Calibri" w:hAnsi="Arial Narrow" w:cs="Arial"/>
                <w:lang w:eastAsia="ar-SA"/>
              </w:rPr>
            </w:pPr>
            <w:r w:rsidRPr="00D67D55">
              <w:rPr>
                <w:rFonts w:ascii="Arial Narrow" w:eastAsia="Calibri" w:hAnsi="Arial Narrow" w:cs="Arial"/>
                <w:lang w:eastAsia="ar-SA"/>
              </w:rPr>
              <w:t>la remise</w:t>
            </w:r>
          </w:p>
          <w:p w14:paraId="1073CD3E" w14:textId="77777777" w:rsidR="00AD28B3" w:rsidRPr="00D67D55" w:rsidRDefault="00AD28B3" w:rsidP="00AD28B3">
            <w:pPr>
              <w:spacing w:after="40"/>
              <w:rPr>
                <w:rFonts w:ascii="Arial Narrow" w:eastAsia="Calibri" w:hAnsi="Arial Narrow" w:cs="Arial"/>
                <w:lang w:eastAsia="ar-SA"/>
              </w:rPr>
            </w:pPr>
            <w:r w:rsidRPr="00D67D55">
              <w:rPr>
                <w:rFonts w:ascii="Arial Narrow" w:eastAsia="Calibri" w:hAnsi="Arial Narrow" w:cs="Arial"/>
                <w:lang w:eastAsia="ar-SA"/>
              </w:rPr>
              <w:t xml:space="preserve">- des rapport intermédiaire ou définitif </w:t>
            </w:r>
          </w:p>
          <w:p w14:paraId="70F523D6" w14:textId="77777777" w:rsidR="00AD28B3" w:rsidRPr="00D67D55" w:rsidRDefault="00AD28B3" w:rsidP="00AD28B3">
            <w:pPr>
              <w:spacing w:after="40"/>
              <w:rPr>
                <w:rFonts w:ascii="Arial Narrow" w:eastAsia="Calibri" w:hAnsi="Arial Narrow" w:cs="Arial"/>
                <w:lang w:eastAsia="ar-SA"/>
              </w:rPr>
            </w:pPr>
            <w:r w:rsidRPr="00D67D55">
              <w:rPr>
                <w:rFonts w:ascii="Arial Narrow" w:eastAsia="Calibri" w:hAnsi="Arial Narrow" w:cs="Arial"/>
                <w:lang w:eastAsia="ar-SA"/>
              </w:rPr>
              <w:t>- des pièces constituant le DCE</w:t>
            </w:r>
          </w:p>
          <w:p w14:paraId="2E713D83" w14:textId="47E29C12" w:rsidR="00FD1AC9" w:rsidRPr="006B1838" w:rsidRDefault="00AD28B3" w:rsidP="00AD28B3">
            <w:pPr>
              <w:spacing w:after="40"/>
              <w:rPr>
                <w:rFonts w:ascii="Arial Narrow" w:eastAsia="Calibri" w:hAnsi="Arial Narrow" w:cs="Arial"/>
                <w:lang w:eastAsia="ar-SA"/>
              </w:rPr>
            </w:pPr>
            <w:r w:rsidRPr="00D67D55">
              <w:rPr>
                <w:rFonts w:ascii="Arial Narrow" w:eastAsia="Calibri" w:hAnsi="Arial Narrow" w:cs="Arial"/>
                <w:lang w:eastAsia="ar-SA"/>
              </w:rPr>
              <w:t>- l’analyse finalisée des offres</w:t>
            </w:r>
            <w:r w:rsidR="00FD1AC9" w:rsidRPr="006B1838">
              <w:rPr>
                <w:rFonts w:ascii="Arial Narrow" w:eastAsia="Calibri" w:hAnsi="Arial Narrow" w:cs="Arial"/>
                <w:lang w:eastAsia="ar-SA"/>
              </w:rPr>
              <w:t xml:space="preserve">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951A2EE" w14:textId="77777777" w:rsidR="00FD1AC9" w:rsidRPr="006B1838" w:rsidRDefault="00FD1AC9" w:rsidP="00AC665C">
            <w:pPr>
              <w:spacing w:after="40"/>
              <w:rPr>
                <w:rFonts w:ascii="Arial Narrow" w:eastAsia="Calibri" w:hAnsi="Arial Narrow" w:cs="Arial"/>
                <w:lang w:eastAsia="ar-SA"/>
              </w:rPr>
            </w:pPr>
            <w:r w:rsidRPr="006B1838">
              <w:rPr>
                <w:rFonts w:ascii="Arial Narrow" w:eastAsia="Calibri" w:hAnsi="Arial Narrow" w:cs="Arial"/>
                <w:lang w:eastAsia="ar-SA"/>
              </w:rPr>
              <w:t xml:space="preserve">100 € HT par jour calendaire de retard sur la date prévue </w:t>
            </w:r>
          </w:p>
        </w:tc>
      </w:tr>
      <w:tr w:rsidR="0024679A" w:rsidRPr="00930F8D" w14:paraId="5EC4776E" w14:textId="77777777" w:rsidTr="0024679A">
        <w:tc>
          <w:tcPr>
            <w:tcW w:w="4815" w:type="dxa"/>
            <w:tcBorders>
              <w:top w:val="single" w:sz="4" w:space="0" w:color="auto"/>
              <w:left w:val="single" w:sz="4" w:space="0" w:color="auto"/>
              <w:bottom w:val="single" w:sz="4" w:space="0" w:color="auto"/>
              <w:right w:val="single" w:sz="4" w:space="0" w:color="auto"/>
            </w:tcBorders>
            <w:vAlign w:val="center"/>
            <w:hideMark/>
          </w:tcPr>
          <w:p w14:paraId="57DCB95C" w14:textId="77777777" w:rsidR="0024679A" w:rsidRPr="006B1838" w:rsidRDefault="0024679A">
            <w:pPr>
              <w:spacing w:after="40"/>
              <w:rPr>
                <w:rFonts w:ascii="Arial Narrow" w:eastAsia="Calibri" w:hAnsi="Arial Narrow" w:cs="Arial"/>
                <w:lang w:eastAsia="ar-SA"/>
              </w:rPr>
            </w:pPr>
            <w:r w:rsidRPr="006B1838">
              <w:rPr>
                <w:rFonts w:ascii="Arial Narrow" w:eastAsia="Calibri" w:hAnsi="Arial Narrow" w:cs="Arial"/>
                <w:lang w:eastAsia="ar-SA"/>
              </w:rPr>
              <w:t xml:space="preserve">Absence aux réunions </w:t>
            </w:r>
          </w:p>
        </w:tc>
        <w:tc>
          <w:tcPr>
            <w:tcW w:w="4252" w:type="dxa"/>
            <w:tcBorders>
              <w:top w:val="single" w:sz="4" w:space="0" w:color="auto"/>
              <w:left w:val="single" w:sz="4" w:space="0" w:color="auto"/>
              <w:bottom w:val="single" w:sz="4" w:space="0" w:color="auto"/>
              <w:right w:val="single" w:sz="4" w:space="0" w:color="auto"/>
            </w:tcBorders>
            <w:vAlign w:val="center"/>
            <w:hideMark/>
          </w:tcPr>
          <w:p w14:paraId="49BFD112" w14:textId="41E532B3" w:rsidR="0024679A" w:rsidRPr="006B1838" w:rsidRDefault="00DD72D6" w:rsidP="0024679A">
            <w:pPr>
              <w:spacing w:after="40"/>
              <w:rPr>
                <w:rFonts w:ascii="Arial Narrow" w:eastAsia="Calibri" w:hAnsi="Arial Narrow" w:cs="Arial"/>
                <w:lang w:eastAsia="ar-SA"/>
              </w:rPr>
            </w:pPr>
            <w:r>
              <w:rPr>
                <w:rFonts w:ascii="Arial Narrow" w:eastAsia="Calibri" w:hAnsi="Arial Narrow" w:cs="Arial"/>
                <w:lang w:eastAsia="ar-SA"/>
              </w:rPr>
              <w:t>50€ HT par absence</w:t>
            </w:r>
            <w:r w:rsidR="0024679A" w:rsidRPr="006B1838">
              <w:rPr>
                <w:rFonts w:ascii="Arial Narrow" w:eastAsia="Calibri" w:hAnsi="Arial Narrow" w:cs="Arial"/>
                <w:lang w:eastAsia="ar-SA"/>
              </w:rPr>
              <w:t xml:space="preserve"> </w:t>
            </w:r>
          </w:p>
        </w:tc>
      </w:tr>
    </w:tbl>
    <w:p w14:paraId="53DB8E4B" w14:textId="77777777" w:rsidR="0024679A" w:rsidRDefault="0024679A" w:rsidP="0024679A">
      <w:pPr>
        <w:spacing w:after="0"/>
        <w:jc w:val="both"/>
        <w:rPr>
          <w:rFonts w:ascii="Arial Narrow" w:eastAsia="Calibri" w:hAnsi="Arial Narrow" w:cs="Arial"/>
          <w:sz w:val="20"/>
          <w:szCs w:val="20"/>
        </w:rPr>
      </w:pPr>
    </w:p>
    <w:p w14:paraId="28EEC451" w14:textId="77777777" w:rsidR="0024679A" w:rsidRDefault="0024679A" w:rsidP="0024679A">
      <w:pPr>
        <w:pStyle w:val="En-tte"/>
        <w:spacing w:after="120" w:line="360" w:lineRule="auto"/>
        <w:jc w:val="both"/>
        <w:rPr>
          <w:rFonts w:ascii="Arial Narrow" w:hAnsi="Arial Narrow"/>
        </w:rPr>
      </w:pPr>
      <w:r>
        <w:rPr>
          <w:rFonts w:ascii="Arial Narrow" w:hAnsi="Arial Narrow"/>
        </w:rPr>
        <w:t>Les pénalités pour retard commencent à courir le lendemain du jour où le délai contractuel d’exécution des prestations est expiré.</w:t>
      </w:r>
    </w:p>
    <w:p w14:paraId="098DEFB7" w14:textId="7928047A" w:rsidR="002F4374" w:rsidRDefault="0024679A" w:rsidP="0024679A">
      <w:pPr>
        <w:pStyle w:val="En-tte"/>
        <w:spacing w:after="120" w:line="360" w:lineRule="auto"/>
        <w:jc w:val="both"/>
        <w:rPr>
          <w:rFonts w:ascii="Arial Narrow" w:hAnsi="Arial Narrow"/>
        </w:rPr>
      </w:pPr>
      <w:r w:rsidRPr="00546FE0">
        <w:rPr>
          <w:rFonts w:ascii="Arial Narrow" w:hAnsi="Arial Narrow"/>
        </w:rPr>
        <w:t xml:space="preserve"> </w:t>
      </w:r>
      <w:r w:rsidR="005B11C8" w:rsidRPr="00546FE0">
        <w:rPr>
          <w:rFonts w:ascii="Arial Narrow" w:hAnsi="Arial Narrow"/>
        </w:rPr>
        <w:t>Les pénalités pour retard commencent à courir le lendemain du jour où le délai contractuel d’exécution des prestations est expiré.</w:t>
      </w:r>
    </w:p>
    <w:p w14:paraId="0F40B2DC" w14:textId="77777777" w:rsidR="00D35AFA" w:rsidRPr="00546FE0" w:rsidRDefault="00D35AFA" w:rsidP="0024679A">
      <w:pPr>
        <w:pStyle w:val="En-tte"/>
        <w:spacing w:after="120" w:line="360" w:lineRule="auto"/>
        <w:jc w:val="both"/>
        <w:rPr>
          <w:rFonts w:ascii="Arial Narrow" w:hAnsi="Arial Narrow"/>
        </w:rPr>
      </w:pPr>
    </w:p>
    <w:p w14:paraId="090BA9A0" w14:textId="6E328BD5"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1BD633F9"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D078C8">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3F79B25"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788DF75C" w:rsidR="00043D85" w:rsidRPr="00546FE0" w:rsidRDefault="00043D85" w:rsidP="00DD72D6">
      <w:pPr>
        <w:pStyle w:val="En-tte"/>
        <w:spacing w:after="120" w:line="360" w:lineRule="auto"/>
        <w:jc w:val="both"/>
        <w:rPr>
          <w:rFonts w:ascii="Arial Narrow" w:hAnsi="Arial Narrow"/>
        </w:rPr>
      </w:pPr>
      <w:r w:rsidRPr="00546FE0">
        <w:rPr>
          <w:rFonts w:ascii="Arial Narrow" w:hAnsi="Arial Narrow"/>
        </w:rPr>
        <w:lastRenderedPageBreak/>
        <w:t>La déclaration de sous-traitance doit en tout état de cause être adressée à l’</w:t>
      </w:r>
      <w:r w:rsidR="00D078C8">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64CD3850"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9F1689">
        <w:rPr>
          <w:rFonts w:ascii="Arial Narrow" w:hAnsi="Arial Narrow"/>
        </w:rPr>
        <w:t>pose conformément au f</w:t>
      </w:r>
      <w:r w:rsidR="003F5F33" w:rsidRPr="00546FE0">
        <w:rPr>
          <w:rFonts w:ascii="Arial Narrow" w:hAnsi="Arial Narrow"/>
        </w:rPr>
        <w:t xml:space="preserve">) de l’article </w:t>
      </w:r>
      <w:r w:rsidR="009F1689">
        <w:rPr>
          <w:rFonts w:ascii="Arial Narrow" w:hAnsi="Arial Narrow"/>
        </w:rPr>
        <w:t>39</w:t>
      </w:r>
      <w:r w:rsidR="003F5F33" w:rsidRPr="00546FE0">
        <w:rPr>
          <w:rFonts w:ascii="Arial Narrow" w:hAnsi="Arial Narrow"/>
        </w:rPr>
        <w:t xml:space="preserve"> du CCAG-</w:t>
      </w:r>
      <w:r w:rsidR="009F1689">
        <w:rPr>
          <w:rFonts w:ascii="Arial Narrow" w:hAnsi="Arial Narrow"/>
        </w:rPr>
        <w:t>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4B97F477" w14:textId="2AA5012F" w:rsidR="00ED6EDF" w:rsidRDefault="003F5F33" w:rsidP="00E509DB">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D078C8">
        <w:rPr>
          <w:rFonts w:ascii="Arial Narrow" w:hAnsi="Arial Narrow"/>
        </w:rPr>
        <w:t>EPMO-VGE</w:t>
      </w:r>
      <w:r w:rsidRPr="00546FE0">
        <w:rPr>
          <w:rFonts w:ascii="Arial Narrow" w:hAnsi="Arial Narrow"/>
        </w:rPr>
        <w:t xml:space="preserve">. </w:t>
      </w:r>
    </w:p>
    <w:p w14:paraId="6ABDBFBD" w14:textId="77777777" w:rsidR="00ED6EDF" w:rsidRPr="00546FE0" w:rsidRDefault="00ED6EDF"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1530243"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D078C8">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4750B16B" w14:textId="15EAE807" w:rsidR="007C5D56" w:rsidRDefault="00422159" w:rsidP="009F168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D078C8">
        <w:rPr>
          <w:rFonts w:ascii="Arial Narrow" w:hAnsi="Arial Narrow"/>
        </w:rPr>
        <w:t>EPMO-VGE</w:t>
      </w:r>
      <w:r w:rsidRPr="00546FE0">
        <w:rPr>
          <w:rFonts w:ascii="Arial Narrow" w:hAnsi="Arial Narrow"/>
        </w:rPr>
        <w:t>, excepté en cas de faute ou malveillance de celui-ci.</w:t>
      </w:r>
    </w:p>
    <w:p w14:paraId="3D558C0F" w14:textId="77777777" w:rsidR="009F1689" w:rsidRPr="00546FE0" w:rsidRDefault="009F1689" w:rsidP="009F1689">
      <w:pPr>
        <w:pStyle w:val="En-tte"/>
        <w:spacing w:after="120" w:line="360" w:lineRule="auto"/>
        <w:jc w:val="both"/>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6DA36F6" w14:textId="77777777" w:rsidR="00106DDC" w:rsidRPr="00546FE0" w:rsidRDefault="00106DD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2C7B6B50" w14:textId="77777777" w:rsidR="00C92452" w:rsidRPr="009F1689"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9F1689">
        <w:rPr>
          <w:rFonts w:ascii="Arial Narrow" w:hAnsi="Arial Narrow"/>
        </w:rPr>
        <w:t>l'attestation mentionnée à l'</w:t>
      </w:r>
      <w:hyperlink r:id="rId10" w:history="1">
        <w:r w:rsidRPr="009F1689">
          <w:rPr>
            <w:rFonts w:ascii="Arial Narrow" w:hAnsi="Arial Narrow"/>
          </w:rPr>
          <w:t>article L. 243-15 du code de la sécurité sociale</w:t>
        </w:r>
      </w:hyperlink>
      <w:r w:rsidR="00DB7A14" w:rsidRPr="009F1689">
        <w:rPr>
          <w:rFonts w:ascii="Arial Narrow" w:hAnsi="Arial Narrow"/>
        </w:rPr>
        <w:t> ;</w:t>
      </w:r>
    </w:p>
    <w:p w14:paraId="15D09DED" w14:textId="78D25A82" w:rsidR="00DB7A14" w:rsidRPr="004C6D6E" w:rsidRDefault="00DB7A14" w:rsidP="00245388">
      <w:pPr>
        <w:pStyle w:val="En-tte"/>
        <w:numPr>
          <w:ilvl w:val="0"/>
          <w:numId w:val="13"/>
        </w:numPr>
        <w:tabs>
          <w:tab w:val="clear" w:pos="4536"/>
          <w:tab w:val="clear" w:pos="9072"/>
        </w:tabs>
        <w:spacing w:after="120" w:line="360" w:lineRule="auto"/>
        <w:jc w:val="both"/>
        <w:rPr>
          <w:rFonts w:ascii="Arial Narrow" w:hAnsi="Arial Narrow"/>
        </w:rPr>
      </w:pPr>
      <w:r w:rsidRPr="004C6D6E">
        <w:rPr>
          <w:rFonts w:ascii="Arial Narrow" w:hAnsi="Arial Narrow"/>
        </w:rPr>
        <w:t>Les pièces prévues aux articles D. 8222-5 ou D. 8222-7 ou D. 8254-2 à D. 8254-5 du code du travail ;</w:t>
      </w:r>
    </w:p>
    <w:p w14:paraId="6F538D3B" w14:textId="3D658617" w:rsidR="00C92452" w:rsidRPr="00791B7D" w:rsidRDefault="00C92452" w:rsidP="00116486">
      <w:pPr>
        <w:pStyle w:val="En-tte"/>
        <w:numPr>
          <w:ilvl w:val="0"/>
          <w:numId w:val="13"/>
        </w:numPr>
        <w:tabs>
          <w:tab w:val="clear" w:pos="4536"/>
          <w:tab w:val="clear" w:pos="9072"/>
        </w:tabs>
        <w:spacing w:after="120" w:line="360" w:lineRule="auto"/>
        <w:jc w:val="both"/>
        <w:rPr>
          <w:rFonts w:ascii="Arial Narrow" w:hAnsi="Arial Narrow"/>
        </w:rPr>
      </w:pPr>
      <w:r w:rsidRPr="00791B7D">
        <w:rPr>
          <w:rFonts w:ascii="Arial Narrow" w:hAnsi="Arial Narrow"/>
        </w:rPr>
        <w:lastRenderedPageBreak/>
        <w:t>Le certificat attestant le versement régulier des cotisations légales aux caisses de congés payés et de chômage intempéries </w:t>
      </w:r>
      <w:r w:rsidR="008F24D6" w:rsidRPr="00791B7D">
        <w:rPr>
          <w:rFonts w:ascii="Arial Narrow" w:hAnsi="Arial Narrow"/>
        </w:rPr>
        <w:t>(travaux)</w:t>
      </w:r>
      <w:r w:rsidR="0023177B" w:rsidRPr="00791B7D">
        <w:rPr>
          <w:rFonts w:ascii="Arial Narrow" w:hAnsi="Arial Narrow"/>
        </w:rPr>
        <w:t xml:space="preserve"> </w:t>
      </w:r>
      <w:r w:rsidRPr="00791B7D">
        <w:rPr>
          <w:rFonts w:ascii="Arial Narrow" w:hAnsi="Arial Narrow"/>
        </w:rPr>
        <w:t>;</w:t>
      </w:r>
      <w:r w:rsidR="00DB7A14" w:rsidRPr="00791B7D">
        <w:rPr>
          <w:rFonts w:ascii="Arial Narrow" w:hAnsi="Arial Narrow"/>
        </w:rPr>
        <w:t xml:space="preserve"> </w:t>
      </w:r>
    </w:p>
    <w:p w14:paraId="3A5977D2" w14:textId="32124A08" w:rsidR="008F24D6" w:rsidRPr="00791B7D" w:rsidRDefault="008F24D6" w:rsidP="008F24D6">
      <w:pPr>
        <w:pStyle w:val="En-tte"/>
        <w:numPr>
          <w:ilvl w:val="0"/>
          <w:numId w:val="13"/>
        </w:numPr>
        <w:tabs>
          <w:tab w:val="clear" w:pos="4536"/>
          <w:tab w:val="clear" w:pos="9072"/>
        </w:tabs>
        <w:spacing w:after="120" w:line="360" w:lineRule="auto"/>
        <w:jc w:val="both"/>
        <w:rPr>
          <w:rFonts w:ascii="Arial Narrow" w:hAnsi="Arial Narrow"/>
        </w:rPr>
      </w:pPr>
      <w:r w:rsidRPr="00791B7D">
        <w:rPr>
          <w:rFonts w:ascii="Arial Narrow" w:hAnsi="Arial Narrow"/>
        </w:rPr>
        <w:t>Les certificats fiscaux attestant de la régularité du titulaire au regard de ses obligations relatives à l’impôt sur le revenu, l’impôt sur les sociétés et la taxe sur la valeur ajoutée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234FAC4C" w14:textId="2B046401" w:rsidR="00C92452"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D078C8">
        <w:rPr>
          <w:rFonts w:ascii="Arial Narrow" w:hAnsi="Arial Narrow"/>
        </w:rPr>
        <w:t>EPMO-VGE</w:t>
      </w:r>
      <w:r w:rsidRPr="00546FE0">
        <w:rPr>
          <w:rFonts w:ascii="Arial Narrow" w:hAnsi="Arial Narrow"/>
        </w:rPr>
        <w:t>.</w:t>
      </w:r>
    </w:p>
    <w:p w14:paraId="627D5626" w14:textId="77777777" w:rsidR="001F5A33" w:rsidRPr="00546FE0" w:rsidRDefault="001F5A33" w:rsidP="00AD439B">
      <w:pPr>
        <w:pStyle w:val="En-tte"/>
        <w:tabs>
          <w:tab w:val="clear" w:pos="4536"/>
          <w:tab w:val="clear" w:pos="9072"/>
        </w:tabs>
        <w:spacing w:after="120" w:line="360" w:lineRule="auto"/>
        <w:ind w:left="360"/>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756AF7E1" w14:textId="77777777" w:rsidR="00097F48" w:rsidRPr="00F30726" w:rsidRDefault="00097F48" w:rsidP="00097F48">
      <w:pPr>
        <w:pStyle w:val="En-tte"/>
        <w:numPr>
          <w:ilvl w:val="0"/>
          <w:numId w:val="23"/>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23B470FF" w14:textId="77777777"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5C5F9CA9" w14:textId="77777777"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5B09D7CF" w14:textId="77777777"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23A906EE" w14:textId="77777777"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267B8D10" w14:textId="77777777"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6CDF65EB" w14:textId="323B2082"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A ce titre, le titulaire informe l’</w:t>
      </w:r>
      <w:r w:rsidR="00D078C8">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5155D0AC" w14:textId="77777777" w:rsidR="00097F48" w:rsidRPr="00F30726" w:rsidRDefault="00097F48" w:rsidP="00097F48">
      <w:pPr>
        <w:pStyle w:val="En-tte"/>
        <w:numPr>
          <w:ilvl w:val="0"/>
          <w:numId w:val="23"/>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4332A54" w14:textId="39D73A95"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D078C8">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19EBBC2C" w14:textId="4242A3A0" w:rsidR="00097F48" w:rsidRPr="00F30726" w:rsidRDefault="00097F48" w:rsidP="00097F48">
      <w:pPr>
        <w:pStyle w:val="En-tte"/>
        <w:numPr>
          <w:ilvl w:val="0"/>
          <w:numId w:val="23"/>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D078C8">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039EADCB" w14:textId="168BD144" w:rsidR="00097F48" w:rsidRPr="00F30726" w:rsidRDefault="00097F48" w:rsidP="00097F48">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D078C8">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D078C8">
        <w:rPr>
          <w:rFonts w:ascii="Arial Narrow" w:hAnsi="Arial Narrow"/>
        </w:rPr>
        <w:t>EPMO-VGE</w:t>
      </w:r>
      <w:r w:rsidRPr="00F30726">
        <w:rPr>
          <w:rFonts w:ascii="Arial Narrow" w:hAnsi="Arial Narrow"/>
        </w:rPr>
        <w:t xml:space="preserve"> des mesures prises pour y remédier. </w:t>
      </w:r>
    </w:p>
    <w:p w14:paraId="797DF4FF" w14:textId="35DA71AB" w:rsidR="00097F48" w:rsidRPr="00F30726" w:rsidRDefault="00097F48" w:rsidP="00097F48">
      <w:pPr>
        <w:pStyle w:val="En-tte"/>
        <w:numPr>
          <w:ilvl w:val="0"/>
          <w:numId w:val="23"/>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D078C8">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702CD9F0" w14:textId="06E12D48" w:rsidR="00097F48" w:rsidRPr="00F30726" w:rsidRDefault="00097F48" w:rsidP="00097F48">
      <w:pPr>
        <w:pStyle w:val="En-tte"/>
        <w:numPr>
          <w:ilvl w:val="0"/>
          <w:numId w:val="23"/>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D078C8">
        <w:rPr>
          <w:rFonts w:ascii="Arial Narrow" w:hAnsi="Arial Narrow"/>
        </w:rPr>
        <w:t>EPMO-VGE</w:t>
      </w:r>
      <w:r w:rsidRPr="00F30726">
        <w:rPr>
          <w:rFonts w:ascii="Arial Narrow" w:hAnsi="Arial Narrow"/>
        </w:rPr>
        <w:t xml:space="preserve"> prononce : </w:t>
      </w:r>
    </w:p>
    <w:p w14:paraId="03B1BD68" w14:textId="77777777" w:rsidR="00097F48" w:rsidRPr="00F30726" w:rsidRDefault="00097F48" w:rsidP="00097F4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4BC03F0" w14:textId="77777777" w:rsidR="00097F48" w:rsidRPr="00F30726" w:rsidRDefault="00097F48" w:rsidP="00097F4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4BF00121" w14:textId="77777777" w:rsidR="00097F48" w:rsidRPr="00F30726" w:rsidRDefault="00097F48" w:rsidP="00097F4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51681AE4" w14:textId="77777777" w:rsidR="00097F48" w:rsidRPr="00F30726" w:rsidRDefault="00097F48" w:rsidP="00097F48">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21DC76BF" w14:textId="08E70694" w:rsidR="00097F48" w:rsidRDefault="00097F48" w:rsidP="00097F48">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003A2366">
        <w:rPr>
          <w:rFonts w:ascii="Arial Narrow" w:hAnsi="Arial Narrow"/>
        </w:rPr>
        <w:t>39</w:t>
      </w:r>
      <w:r w:rsidRPr="00F30726">
        <w:rPr>
          <w:rFonts w:ascii="Arial Narrow" w:hAnsi="Arial Narrow"/>
        </w:rPr>
        <w:t xml:space="preserve"> du CCAG-</w:t>
      </w:r>
      <w:r w:rsidR="00C7586D">
        <w:rPr>
          <w:rFonts w:ascii="Arial Narrow" w:hAnsi="Arial Narrow"/>
        </w:rPr>
        <w:t>PI</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w:t>
      </w:r>
      <w:r w:rsidRPr="00F30726">
        <w:rPr>
          <w:rFonts w:ascii="Arial Narrow" w:hAnsi="Arial Narrow"/>
        </w:rPr>
        <w:lastRenderedPageBreak/>
        <w:t xml:space="preserve">réception du courrier de mise en demeure. Si cette mise en demeure s’avère infructueuse, le pouvoir adjudicateur prononce la résiliation pour faute du contrat. La résiliation est prononcée aux frais et risques du titulaire conformément à l’article </w:t>
      </w:r>
      <w:r w:rsidR="0061036A">
        <w:rPr>
          <w:rFonts w:ascii="Arial Narrow" w:hAnsi="Arial Narrow"/>
        </w:rPr>
        <w:t xml:space="preserve">41.3.1 et </w:t>
      </w:r>
      <w:r w:rsidR="003A2366">
        <w:rPr>
          <w:rFonts w:ascii="Arial Narrow" w:hAnsi="Arial Narrow"/>
        </w:rPr>
        <w:t>27</w:t>
      </w:r>
      <w:r w:rsidRPr="00F30726">
        <w:rPr>
          <w:rFonts w:ascii="Arial Narrow" w:hAnsi="Arial Narrow"/>
        </w:rPr>
        <w:t xml:space="preserve"> du CCAG-</w:t>
      </w:r>
      <w:r>
        <w:rPr>
          <w:rFonts w:ascii="Arial Narrow" w:hAnsi="Arial Narrow"/>
        </w:rPr>
        <w:t>PI</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1AABF830" w14:textId="7A0ECEEF" w:rsidR="001F5A33" w:rsidRPr="00546FE0" w:rsidRDefault="001F5A33"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279432C6"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D078C8">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w:t>
      </w:r>
      <w:r w:rsidR="009F1689">
        <w:rPr>
          <w:rFonts w:ascii="Arial Narrow" w:hAnsi="Arial Narrow"/>
        </w:rPr>
        <w:t>fait application de l’article 43</w:t>
      </w:r>
      <w:r w:rsidRPr="00546FE0">
        <w:rPr>
          <w:rFonts w:ascii="Arial Narrow" w:hAnsi="Arial Narrow"/>
        </w:rPr>
        <w:t xml:space="preserve"> du CCAG-</w:t>
      </w:r>
      <w:r w:rsidR="009F1689">
        <w:rPr>
          <w:rFonts w:ascii="Arial Narrow" w:hAnsi="Arial Narrow"/>
        </w:rPr>
        <w:t>PI</w:t>
      </w:r>
      <w:r w:rsidRPr="00546FE0">
        <w:rPr>
          <w:rFonts w:ascii="Arial Narrow" w:hAnsi="Arial Narrow"/>
        </w:rPr>
        <w:t>.</w:t>
      </w:r>
    </w:p>
    <w:p w14:paraId="480A375E" w14:textId="5B76BF29" w:rsidR="00DD72D6"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759078BC" w14:textId="77777777" w:rsidR="00563B41" w:rsidRPr="00546FE0" w:rsidRDefault="00563B41"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7EA354A7" w14:textId="12E512A6" w:rsidR="00AD439B" w:rsidRDefault="00AD439B" w:rsidP="00B1613E">
      <w:pPr>
        <w:pStyle w:val="En-tte"/>
        <w:spacing w:after="120" w:line="360" w:lineRule="auto"/>
        <w:jc w:val="both"/>
        <w:rPr>
          <w:rFonts w:ascii="Arial Narrow" w:hAnsi="Arial Narrow"/>
        </w:rPr>
      </w:pPr>
      <w:r w:rsidRPr="00546FE0">
        <w:rPr>
          <w:rFonts w:ascii="Arial Narrow" w:hAnsi="Arial Narrow"/>
        </w:rPr>
        <w:t>L'</w:t>
      </w:r>
      <w:r w:rsidR="00D078C8">
        <w:rPr>
          <w:rFonts w:ascii="Arial Narrow" w:hAnsi="Arial Narrow"/>
        </w:rPr>
        <w:t>EPMO-VGE</w:t>
      </w:r>
      <w:r w:rsidRPr="00546FE0">
        <w:rPr>
          <w:rFonts w:ascii="Arial Narrow" w:hAnsi="Arial Narrow"/>
        </w:rPr>
        <w:t xml:space="preserve"> se réserve la faculté de résilier le présent marché dans les conditions prévues au chapit</w:t>
      </w:r>
      <w:r w:rsidR="009F1689">
        <w:rPr>
          <w:rFonts w:ascii="Arial Narrow" w:hAnsi="Arial Narrow"/>
        </w:rPr>
        <w:t>re 7 du CCAG- PI</w:t>
      </w:r>
      <w:r w:rsidRPr="00546FE0">
        <w:rPr>
          <w:rFonts w:ascii="Arial Narrow" w:hAnsi="Arial Narrow"/>
        </w:rPr>
        <w:t>.</w:t>
      </w:r>
    </w:p>
    <w:p w14:paraId="6B53DC8D" w14:textId="77777777" w:rsidR="00B1613E" w:rsidRPr="0061036A" w:rsidRDefault="00B1613E" w:rsidP="00B1613E">
      <w:pPr>
        <w:pStyle w:val="En-tte"/>
        <w:spacing w:after="120" w:line="360" w:lineRule="auto"/>
        <w:jc w:val="both"/>
        <w:rPr>
          <w:rFonts w:ascii="Arial Narrow" w:hAnsi="Arial Narrow"/>
          <w:b/>
        </w:rPr>
      </w:pPr>
      <w:r w:rsidRPr="0061036A">
        <w:rPr>
          <w:rFonts w:ascii="Arial Narrow" w:hAnsi="Arial Narrow"/>
          <w:b/>
        </w:rPr>
        <w:t>Par dérogation à l’article 22 du CCAP-PI l’acheteur peut décider, au terme de chacune des phases telles qu’identifiées à la DPGF de sa propre initiative uniquement, de ne pas poursuivre l'exécution des prestations.</w:t>
      </w:r>
    </w:p>
    <w:p w14:paraId="0B4106E9" w14:textId="77777777" w:rsidR="00B1613E" w:rsidRPr="0061036A" w:rsidRDefault="00B1613E" w:rsidP="00B1613E">
      <w:pPr>
        <w:pStyle w:val="En-tte"/>
        <w:spacing w:after="120" w:line="360" w:lineRule="auto"/>
        <w:jc w:val="both"/>
        <w:rPr>
          <w:rFonts w:ascii="Arial Narrow" w:hAnsi="Arial Narrow"/>
          <w:b/>
        </w:rPr>
      </w:pPr>
      <w:r w:rsidRPr="0061036A">
        <w:rPr>
          <w:rFonts w:ascii="Arial Narrow" w:hAnsi="Arial Narrow"/>
          <w:b/>
        </w:rPr>
        <w:t>La décision d'arrêter l'exécution des prestations ne donne lieu à aucune indemnité.</w:t>
      </w:r>
    </w:p>
    <w:p w14:paraId="38125CFA" w14:textId="5FFF5609" w:rsidR="00B1613E" w:rsidRDefault="00B1613E" w:rsidP="00563B41">
      <w:pPr>
        <w:pStyle w:val="En-tte"/>
        <w:spacing w:after="120" w:line="360" w:lineRule="auto"/>
        <w:jc w:val="both"/>
        <w:rPr>
          <w:rFonts w:ascii="Arial Narrow" w:hAnsi="Arial Narrow"/>
        </w:rPr>
      </w:pPr>
      <w:r w:rsidRPr="009B0401">
        <w:rPr>
          <w:rFonts w:ascii="Arial Narrow" w:hAnsi="Arial Narrow"/>
        </w:rPr>
        <w:t>L'arrêt de l'exécution des prestations entraîne la résiliation du marché.</w:t>
      </w:r>
    </w:p>
    <w:p w14:paraId="61947527" w14:textId="77777777" w:rsidR="00563B41" w:rsidRPr="00546FE0" w:rsidRDefault="00563B41" w:rsidP="00563B41">
      <w:pPr>
        <w:pStyle w:val="En-tte"/>
        <w:spacing w:after="120" w:line="360" w:lineRule="auto"/>
        <w:jc w:val="both"/>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B53BAD3" w14:textId="62DA24AE" w:rsidR="004F446D" w:rsidRPr="004F446D" w:rsidRDefault="003A2366" w:rsidP="004F446D">
      <w:pPr>
        <w:pStyle w:val="En-tte"/>
        <w:spacing w:after="120" w:line="360" w:lineRule="auto"/>
        <w:jc w:val="both"/>
        <w:rPr>
          <w:rFonts w:ascii="Arial Narrow" w:hAnsi="Arial Narrow"/>
        </w:rPr>
      </w:pPr>
      <w:r>
        <w:rPr>
          <w:rFonts w:ascii="Arial Narrow" w:hAnsi="Arial Narrow"/>
        </w:rPr>
        <w:t xml:space="preserve">L’article 6 </w:t>
      </w:r>
      <w:r w:rsidR="004F446D">
        <w:rPr>
          <w:rFonts w:ascii="Arial Narrow" w:hAnsi="Arial Narrow"/>
        </w:rPr>
        <w:t>(admission des prestations) déroge aux articles 28 à 29 du CCAG-PI.</w:t>
      </w:r>
    </w:p>
    <w:p w14:paraId="4E0928D4" w14:textId="445BC3DC" w:rsidR="00165639" w:rsidRDefault="00ED6EDF" w:rsidP="00165639">
      <w:pPr>
        <w:pStyle w:val="En-tte"/>
        <w:spacing w:after="120" w:line="360" w:lineRule="auto"/>
        <w:jc w:val="both"/>
        <w:rPr>
          <w:rFonts w:ascii="Arial Narrow" w:hAnsi="Arial Narrow"/>
        </w:rPr>
      </w:pPr>
      <w:r>
        <w:rPr>
          <w:rFonts w:ascii="Arial Narrow" w:hAnsi="Arial Narrow"/>
        </w:rPr>
        <w:t>L'article 13</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w:t>
      </w:r>
      <w:r w:rsidR="00052B9D">
        <w:rPr>
          <w:rFonts w:ascii="Arial Narrow" w:hAnsi="Arial Narrow"/>
        </w:rPr>
        <w:t>, 14.1.2</w:t>
      </w:r>
      <w:r w:rsidR="00165639" w:rsidRPr="00546FE0">
        <w:rPr>
          <w:rFonts w:ascii="Arial Narrow" w:hAnsi="Arial Narrow"/>
        </w:rPr>
        <w:t xml:space="preserve"> et à l’article 14.1.3 du CCAG-</w:t>
      </w:r>
      <w:r w:rsidR="009F1689">
        <w:rPr>
          <w:rFonts w:ascii="Arial Narrow" w:hAnsi="Arial Narrow"/>
        </w:rPr>
        <w:t>PI</w:t>
      </w:r>
      <w:r w:rsidR="00165639" w:rsidRPr="00546FE0">
        <w:rPr>
          <w:rFonts w:ascii="Arial Narrow" w:hAnsi="Arial Narrow"/>
        </w:rPr>
        <w:t>.</w:t>
      </w:r>
    </w:p>
    <w:p w14:paraId="5070207C" w14:textId="286442ED" w:rsidR="00AD439B" w:rsidRPr="00546FE0" w:rsidRDefault="002A02C0" w:rsidP="001F5A33">
      <w:pPr>
        <w:pStyle w:val="En-tte"/>
        <w:spacing w:after="120" w:line="360" w:lineRule="auto"/>
        <w:jc w:val="both"/>
        <w:rPr>
          <w:rFonts w:ascii="Arial Narrow" w:hAnsi="Arial Narrow"/>
        </w:rPr>
      </w:pPr>
      <w:r>
        <w:rPr>
          <w:rFonts w:ascii="Arial Narrow" w:hAnsi="Arial Narrow"/>
        </w:rPr>
        <w:t>L’article 18.2 (résiliation) déroge à l’article 22 du CCAG-PI.</w:t>
      </w: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6F229" w14:textId="77777777" w:rsidR="00DE3CFC" w:rsidRDefault="00DE3CFC" w:rsidP="00E42FF3">
      <w:pPr>
        <w:spacing w:after="0" w:line="240" w:lineRule="auto"/>
      </w:pPr>
      <w:r>
        <w:separator/>
      </w:r>
    </w:p>
  </w:endnote>
  <w:endnote w:type="continuationSeparator" w:id="0">
    <w:p w14:paraId="400D56A3" w14:textId="77777777" w:rsidR="00DE3CFC" w:rsidRDefault="00DE3CF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5C6B1AC" w:rsidR="004A157C" w:rsidRDefault="004A157C">
        <w:pPr>
          <w:pStyle w:val="Pieddepage"/>
          <w:jc w:val="right"/>
        </w:pPr>
        <w:r>
          <w:fldChar w:fldCharType="begin"/>
        </w:r>
        <w:r>
          <w:instrText>PAGE   \* MERGEFORMAT</w:instrText>
        </w:r>
        <w:r>
          <w:fldChar w:fldCharType="separate"/>
        </w:r>
        <w:r w:rsidR="008979AB">
          <w:rPr>
            <w:noProof/>
          </w:rPr>
          <w:t>5</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B9689" w14:textId="77777777" w:rsidR="00DE3CFC" w:rsidRDefault="00DE3CFC" w:rsidP="00E42FF3">
      <w:pPr>
        <w:spacing w:after="0" w:line="240" w:lineRule="auto"/>
      </w:pPr>
      <w:r>
        <w:separator/>
      </w:r>
    </w:p>
  </w:footnote>
  <w:footnote w:type="continuationSeparator" w:id="0">
    <w:p w14:paraId="5A461122" w14:textId="77777777" w:rsidR="00DE3CFC" w:rsidRDefault="00DE3CF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7" w15:restartNumberingAfterBreak="0">
    <w:nsid w:val="3840D81E"/>
    <w:multiLevelType w:val="hybridMultilevel"/>
    <w:tmpl w:val="BDAA9B6A"/>
    <w:lvl w:ilvl="0" w:tplc="BC5CA7C0">
      <w:start w:val="1"/>
      <w:numFmt w:val="bullet"/>
      <w:lvlText w:val=""/>
      <w:lvlJc w:val="left"/>
      <w:pPr>
        <w:ind w:left="720" w:hanging="360"/>
      </w:pPr>
      <w:rPr>
        <w:rFonts w:ascii="Symbol" w:hAnsi="Symbol" w:hint="default"/>
      </w:rPr>
    </w:lvl>
    <w:lvl w:ilvl="1" w:tplc="E570BC30">
      <w:start w:val="1"/>
      <w:numFmt w:val="bullet"/>
      <w:lvlText w:val="o"/>
      <w:lvlJc w:val="left"/>
      <w:pPr>
        <w:ind w:left="1440" w:hanging="360"/>
      </w:pPr>
      <w:rPr>
        <w:rFonts w:ascii="Courier New" w:hAnsi="Courier New" w:hint="default"/>
      </w:rPr>
    </w:lvl>
    <w:lvl w:ilvl="2" w:tplc="0A4EB296">
      <w:start w:val="1"/>
      <w:numFmt w:val="bullet"/>
      <w:lvlText w:val=""/>
      <w:lvlJc w:val="left"/>
      <w:pPr>
        <w:ind w:left="2160" w:hanging="360"/>
      </w:pPr>
      <w:rPr>
        <w:rFonts w:ascii="Wingdings" w:hAnsi="Wingdings" w:hint="default"/>
      </w:rPr>
    </w:lvl>
    <w:lvl w:ilvl="3" w:tplc="A820565C">
      <w:start w:val="1"/>
      <w:numFmt w:val="bullet"/>
      <w:lvlText w:val=""/>
      <w:lvlJc w:val="left"/>
      <w:pPr>
        <w:ind w:left="2880" w:hanging="360"/>
      </w:pPr>
      <w:rPr>
        <w:rFonts w:ascii="Symbol" w:hAnsi="Symbol" w:hint="default"/>
      </w:rPr>
    </w:lvl>
    <w:lvl w:ilvl="4" w:tplc="92C887EA">
      <w:start w:val="1"/>
      <w:numFmt w:val="bullet"/>
      <w:lvlText w:val="o"/>
      <w:lvlJc w:val="left"/>
      <w:pPr>
        <w:ind w:left="3600" w:hanging="360"/>
      </w:pPr>
      <w:rPr>
        <w:rFonts w:ascii="Courier New" w:hAnsi="Courier New" w:hint="default"/>
      </w:rPr>
    </w:lvl>
    <w:lvl w:ilvl="5" w:tplc="8F1EE7BC">
      <w:start w:val="1"/>
      <w:numFmt w:val="bullet"/>
      <w:lvlText w:val=""/>
      <w:lvlJc w:val="left"/>
      <w:pPr>
        <w:ind w:left="4320" w:hanging="360"/>
      </w:pPr>
      <w:rPr>
        <w:rFonts w:ascii="Wingdings" w:hAnsi="Wingdings" w:hint="default"/>
      </w:rPr>
    </w:lvl>
    <w:lvl w:ilvl="6" w:tplc="B762E1E0">
      <w:start w:val="1"/>
      <w:numFmt w:val="bullet"/>
      <w:lvlText w:val=""/>
      <w:lvlJc w:val="left"/>
      <w:pPr>
        <w:ind w:left="5040" w:hanging="360"/>
      </w:pPr>
      <w:rPr>
        <w:rFonts w:ascii="Symbol" w:hAnsi="Symbol" w:hint="default"/>
      </w:rPr>
    </w:lvl>
    <w:lvl w:ilvl="7" w:tplc="D93C4A12">
      <w:start w:val="1"/>
      <w:numFmt w:val="bullet"/>
      <w:lvlText w:val="o"/>
      <w:lvlJc w:val="left"/>
      <w:pPr>
        <w:ind w:left="5760" w:hanging="360"/>
      </w:pPr>
      <w:rPr>
        <w:rFonts w:ascii="Courier New" w:hAnsi="Courier New" w:hint="default"/>
      </w:rPr>
    </w:lvl>
    <w:lvl w:ilvl="8" w:tplc="2696BB56">
      <w:start w:val="1"/>
      <w:numFmt w:val="bullet"/>
      <w:lvlText w:val=""/>
      <w:lvlJc w:val="left"/>
      <w:pPr>
        <w:ind w:left="6480" w:hanging="360"/>
      </w:pPr>
      <w:rPr>
        <w:rFonts w:ascii="Wingdings" w:hAnsi="Wingdings" w:hint="default"/>
      </w:rPr>
    </w:lvl>
  </w:abstractNum>
  <w:abstractNum w:abstractNumId="8"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7B1AF7C0"/>
    <w:lvl w:ilvl="0" w:tplc="063A1ADC">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8112D5"/>
    <w:multiLevelType w:val="hybridMultilevel"/>
    <w:tmpl w:val="55A2A1E2"/>
    <w:lvl w:ilvl="0" w:tplc="091CE7AA">
      <w:start w:val="1"/>
      <w:numFmt w:val="bullet"/>
      <w:lvlText w:val=""/>
      <w:lvlJc w:val="left"/>
      <w:pPr>
        <w:ind w:left="720" w:hanging="360"/>
      </w:pPr>
      <w:rPr>
        <w:rFonts w:ascii="Symbol" w:hAnsi="Symbol" w:hint="default"/>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1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893A80"/>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
  </w:num>
  <w:num w:numId="3">
    <w:abstractNumId w:val="18"/>
  </w:num>
  <w:num w:numId="4">
    <w:abstractNumId w:val="3"/>
  </w:num>
  <w:num w:numId="5">
    <w:abstractNumId w:val="10"/>
  </w:num>
  <w:num w:numId="6">
    <w:abstractNumId w:val="0"/>
  </w:num>
  <w:num w:numId="7">
    <w:abstractNumId w:val="16"/>
  </w:num>
  <w:num w:numId="8">
    <w:abstractNumId w:val="11"/>
  </w:num>
  <w:num w:numId="9">
    <w:abstractNumId w:val="6"/>
  </w:num>
  <w:num w:numId="10">
    <w:abstractNumId w:val="13"/>
  </w:num>
  <w:num w:numId="11">
    <w:abstractNumId w:val="1"/>
  </w:num>
  <w:num w:numId="12">
    <w:abstractNumId w:val="15"/>
  </w:num>
  <w:num w:numId="13">
    <w:abstractNumId w:val="12"/>
  </w:num>
  <w:num w:numId="14">
    <w:abstractNumId w:val="8"/>
  </w:num>
  <w:num w:numId="15">
    <w:abstractNumId w:val="14"/>
  </w:num>
  <w:num w:numId="16">
    <w:abstractNumId w:val="23"/>
  </w:num>
  <w:num w:numId="17">
    <w:abstractNumId w:val="4"/>
  </w:num>
  <w:num w:numId="18">
    <w:abstractNumId w:val="21"/>
  </w:num>
  <w:num w:numId="19">
    <w:abstractNumId w:val="9"/>
  </w:num>
  <w:num w:numId="20">
    <w:abstractNumId w:val="20"/>
  </w:num>
  <w:num w:numId="21">
    <w:abstractNumId w:val="7"/>
  </w:num>
  <w:num w:numId="22">
    <w:abstractNumId w:val="17"/>
  </w:num>
  <w:num w:numId="23">
    <w:abstractNumId w:val="5"/>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2B9D"/>
    <w:rsid w:val="00053EFC"/>
    <w:rsid w:val="00054FBE"/>
    <w:rsid w:val="0006022E"/>
    <w:rsid w:val="0006090C"/>
    <w:rsid w:val="0007612D"/>
    <w:rsid w:val="00091A8D"/>
    <w:rsid w:val="00097F48"/>
    <w:rsid w:val="000A0888"/>
    <w:rsid w:val="000B34BB"/>
    <w:rsid w:val="000B3B70"/>
    <w:rsid w:val="000B52E8"/>
    <w:rsid w:val="000B7422"/>
    <w:rsid w:val="000C10A2"/>
    <w:rsid w:val="000D0217"/>
    <w:rsid w:val="000D317C"/>
    <w:rsid w:val="000E7740"/>
    <w:rsid w:val="001065B1"/>
    <w:rsid w:val="00106DDC"/>
    <w:rsid w:val="00107F2F"/>
    <w:rsid w:val="00116486"/>
    <w:rsid w:val="00132C1A"/>
    <w:rsid w:val="00134834"/>
    <w:rsid w:val="0014540C"/>
    <w:rsid w:val="001547B7"/>
    <w:rsid w:val="00165639"/>
    <w:rsid w:val="00173DBD"/>
    <w:rsid w:val="00180990"/>
    <w:rsid w:val="00186036"/>
    <w:rsid w:val="001B44CB"/>
    <w:rsid w:val="001F5A33"/>
    <w:rsid w:val="001F6E69"/>
    <w:rsid w:val="002103FC"/>
    <w:rsid w:val="0023177B"/>
    <w:rsid w:val="0024335F"/>
    <w:rsid w:val="00244DDD"/>
    <w:rsid w:val="00245388"/>
    <w:rsid w:val="0024679A"/>
    <w:rsid w:val="00247B19"/>
    <w:rsid w:val="0025246C"/>
    <w:rsid w:val="00257918"/>
    <w:rsid w:val="00261EEE"/>
    <w:rsid w:val="00264E15"/>
    <w:rsid w:val="00284E68"/>
    <w:rsid w:val="002A02C0"/>
    <w:rsid w:val="002A27B9"/>
    <w:rsid w:val="002A5429"/>
    <w:rsid w:val="002B10AD"/>
    <w:rsid w:val="002C5191"/>
    <w:rsid w:val="002D6143"/>
    <w:rsid w:val="002E0110"/>
    <w:rsid w:val="002E7088"/>
    <w:rsid w:val="002F4374"/>
    <w:rsid w:val="0030422B"/>
    <w:rsid w:val="00314364"/>
    <w:rsid w:val="00332820"/>
    <w:rsid w:val="00333187"/>
    <w:rsid w:val="003419B9"/>
    <w:rsid w:val="00347265"/>
    <w:rsid w:val="00350E5F"/>
    <w:rsid w:val="00360E50"/>
    <w:rsid w:val="003624E2"/>
    <w:rsid w:val="00367714"/>
    <w:rsid w:val="003765CC"/>
    <w:rsid w:val="00376A8E"/>
    <w:rsid w:val="003910F8"/>
    <w:rsid w:val="003978C9"/>
    <w:rsid w:val="003A2366"/>
    <w:rsid w:val="003A3A49"/>
    <w:rsid w:val="003A3C44"/>
    <w:rsid w:val="003B5AEF"/>
    <w:rsid w:val="003C610C"/>
    <w:rsid w:val="003C6F86"/>
    <w:rsid w:val="003D7C03"/>
    <w:rsid w:val="003F3420"/>
    <w:rsid w:val="003F4C33"/>
    <w:rsid w:val="003F5F33"/>
    <w:rsid w:val="00403F4D"/>
    <w:rsid w:val="00422159"/>
    <w:rsid w:val="00426B67"/>
    <w:rsid w:val="004302A7"/>
    <w:rsid w:val="0045441B"/>
    <w:rsid w:val="00460837"/>
    <w:rsid w:val="00465D55"/>
    <w:rsid w:val="00470284"/>
    <w:rsid w:val="00483678"/>
    <w:rsid w:val="004A157C"/>
    <w:rsid w:val="004B16CE"/>
    <w:rsid w:val="004B4A76"/>
    <w:rsid w:val="004B6965"/>
    <w:rsid w:val="004C5CF1"/>
    <w:rsid w:val="004C6D6E"/>
    <w:rsid w:val="004D0CF2"/>
    <w:rsid w:val="004D156F"/>
    <w:rsid w:val="004E53CC"/>
    <w:rsid w:val="004F429E"/>
    <w:rsid w:val="004F446D"/>
    <w:rsid w:val="004F723E"/>
    <w:rsid w:val="005273F2"/>
    <w:rsid w:val="005413BD"/>
    <w:rsid w:val="00546FE0"/>
    <w:rsid w:val="00563B41"/>
    <w:rsid w:val="005706E9"/>
    <w:rsid w:val="00593CA0"/>
    <w:rsid w:val="005B11C8"/>
    <w:rsid w:val="005D1A2E"/>
    <w:rsid w:val="005D22C6"/>
    <w:rsid w:val="005D555E"/>
    <w:rsid w:val="005E2B01"/>
    <w:rsid w:val="005E63A7"/>
    <w:rsid w:val="005F1D51"/>
    <w:rsid w:val="0061036A"/>
    <w:rsid w:val="006242CC"/>
    <w:rsid w:val="00627CB5"/>
    <w:rsid w:val="006406EC"/>
    <w:rsid w:val="0064097D"/>
    <w:rsid w:val="006449FE"/>
    <w:rsid w:val="006465DC"/>
    <w:rsid w:val="006528A6"/>
    <w:rsid w:val="00666DD5"/>
    <w:rsid w:val="00682244"/>
    <w:rsid w:val="006A006E"/>
    <w:rsid w:val="006A63E0"/>
    <w:rsid w:val="006B1838"/>
    <w:rsid w:val="006B5EB6"/>
    <w:rsid w:val="006F0B57"/>
    <w:rsid w:val="007221BF"/>
    <w:rsid w:val="007258AA"/>
    <w:rsid w:val="007639B4"/>
    <w:rsid w:val="007663CD"/>
    <w:rsid w:val="00783BFF"/>
    <w:rsid w:val="00791B7D"/>
    <w:rsid w:val="007A506C"/>
    <w:rsid w:val="007C5D56"/>
    <w:rsid w:val="007D159B"/>
    <w:rsid w:val="007E5415"/>
    <w:rsid w:val="007F000A"/>
    <w:rsid w:val="007F616A"/>
    <w:rsid w:val="0080028F"/>
    <w:rsid w:val="0081396B"/>
    <w:rsid w:val="00815B9D"/>
    <w:rsid w:val="00836C55"/>
    <w:rsid w:val="00842252"/>
    <w:rsid w:val="00842DD9"/>
    <w:rsid w:val="00846D60"/>
    <w:rsid w:val="00851283"/>
    <w:rsid w:val="008730E9"/>
    <w:rsid w:val="0088306B"/>
    <w:rsid w:val="0088600A"/>
    <w:rsid w:val="0088683F"/>
    <w:rsid w:val="00886A9B"/>
    <w:rsid w:val="00891B1A"/>
    <w:rsid w:val="008979AB"/>
    <w:rsid w:val="008A0B15"/>
    <w:rsid w:val="008A4A15"/>
    <w:rsid w:val="008B2109"/>
    <w:rsid w:val="008B6960"/>
    <w:rsid w:val="008E4E99"/>
    <w:rsid w:val="008F24D6"/>
    <w:rsid w:val="00910D6B"/>
    <w:rsid w:val="009122D3"/>
    <w:rsid w:val="009146C4"/>
    <w:rsid w:val="00930F8D"/>
    <w:rsid w:val="00931EDE"/>
    <w:rsid w:val="009512B2"/>
    <w:rsid w:val="00955BCB"/>
    <w:rsid w:val="00965E51"/>
    <w:rsid w:val="00983998"/>
    <w:rsid w:val="00990731"/>
    <w:rsid w:val="009B0401"/>
    <w:rsid w:val="009B255F"/>
    <w:rsid w:val="009C2C0F"/>
    <w:rsid w:val="009D4B21"/>
    <w:rsid w:val="009D63CC"/>
    <w:rsid w:val="009D649F"/>
    <w:rsid w:val="009F1689"/>
    <w:rsid w:val="00A02B17"/>
    <w:rsid w:val="00A1071C"/>
    <w:rsid w:val="00A118F1"/>
    <w:rsid w:val="00A14CA4"/>
    <w:rsid w:val="00A15E81"/>
    <w:rsid w:val="00A27D15"/>
    <w:rsid w:val="00A30B39"/>
    <w:rsid w:val="00A35808"/>
    <w:rsid w:val="00A572A6"/>
    <w:rsid w:val="00A578A4"/>
    <w:rsid w:val="00A641A6"/>
    <w:rsid w:val="00A7568E"/>
    <w:rsid w:val="00A94EDC"/>
    <w:rsid w:val="00A96912"/>
    <w:rsid w:val="00AA1E20"/>
    <w:rsid w:val="00AA3E07"/>
    <w:rsid w:val="00AD28B3"/>
    <w:rsid w:val="00AD31C9"/>
    <w:rsid w:val="00AD439B"/>
    <w:rsid w:val="00B065A0"/>
    <w:rsid w:val="00B1613E"/>
    <w:rsid w:val="00B17100"/>
    <w:rsid w:val="00B20D51"/>
    <w:rsid w:val="00B42ED3"/>
    <w:rsid w:val="00B45819"/>
    <w:rsid w:val="00B52B09"/>
    <w:rsid w:val="00B76727"/>
    <w:rsid w:val="00B76C4A"/>
    <w:rsid w:val="00BC63E5"/>
    <w:rsid w:val="00BD6430"/>
    <w:rsid w:val="00BF758B"/>
    <w:rsid w:val="00C0489A"/>
    <w:rsid w:val="00C06F2A"/>
    <w:rsid w:val="00C135D3"/>
    <w:rsid w:val="00C149E5"/>
    <w:rsid w:val="00C30F29"/>
    <w:rsid w:val="00C3218F"/>
    <w:rsid w:val="00C37C04"/>
    <w:rsid w:val="00C44439"/>
    <w:rsid w:val="00C47AC9"/>
    <w:rsid w:val="00C563AA"/>
    <w:rsid w:val="00C674C9"/>
    <w:rsid w:val="00C6777E"/>
    <w:rsid w:val="00C7586D"/>
    <w:rsid w:val="00C92452"/>
    <w:rsid w:val="00CA279F"/>
    <w:rsid w:val="00CA7B81"/>
    <w:rsid w:val="00CB436F"/>
    <w:rsid w:val="00CB5742"/>
    <w:rsid w:val="00CC605C"/>
    <w:rsid w:val="00CE4A76"/>
    <w:rsid w:val="00CF0FB7"/>
    <w:rsid w:val="00D078C8"/>
    <w:rsid w:val="00D17E86"/>
    <w:rsid w:val="00D256BB"/>
    <w:rsid w:val="00D32F62"/>
    <w:rsid w:val="00D349F1"/>
    <w:rsid w:val="00D35AFA"/>
    <w:rsid w:val="00D51EC8"/>
    <w:rsid w:val="00D524F5"/>
    <w:rsid w:val="00D637C9"/>
    <w:rsid w:val="00D64E13"/>
    <w:rsid w:val="00D67D55"/>
    <w:rsid w:val="00D72FEE"/>
    <w:rsid w:val="00D86150"/>
    <w:rsid w:val="00D9355E"/>
    <w:rsid w:val="00DA3BE7"/>
    <w:rsid w:val="00DB74CD"/>
    <w:rsid w:val="00DB7A14"/>
    <w:rsid w:val="00DC2FA3"/>
    <w:rsid w:val="00DD68AB"/>
    <w:rsid w:val="00DD72D6"/>
    <w:rsid w:val="00DE3CFC"/>
    <w:rsid w:val="00E26C07"/>
    <w:rsid w:val="00E42FF3"/>
    <w:rsid w:val="00E431F3"/>
    <w:rsid w:val="00E509DB"/>
    <w:rsid w:val="00E701AB"/>
    <w:rsid w:val="00E84900"/>
    <w:rsid w:val="00E86FA0"/>
    <w:rsid w:val="00EA58E0"/>
    <w:rsid w:val="00EB2FAB"/>
    <w:rsid w:val="00EB3E57"/>
    <w:rsid w:val="00EC2356"/>
    <w:rsid w:val="00EC6141"/>
    <w:rsid w:val="00ED6EDF"/>
    <w:rsid w:val="00EE4C36"/>
    <w:rsid w:val="00EE65EC"/>
    <w:rsid w:val="00EF03BE"/>
    <w:rsid w:val="00EF7097"/>
    <w:rsid w:val="00F00B40"/>
    <w:rsid w:val="00F00C05"/>
    <w:rsid w:val="00F03BF9"/>
    <w:rsid w:val="00F065F4"/>
    <w:rsid w:val="00F33540"/>
    <w:rsid w:val="00F466DA"/>
    <w:rsid w:val="00F47A64"/>
    <w:rsid w:val="00F54957"/>
    <w:rsid w:val="00F6320E"/>
    <w:rsid w:val="00F63F02"/>
    <w:rsid w:val="00F74527"/>
    <w:rsid w:val="00F802CE"/>
    <w:rsid w:val="00F900C8"/>
    <w:rsid w:val="00F9344C"/>
    <w:rsid w:val="00FB7080"/>
    <w:rsid w:val="00FC4A03"/>
    <w:rsid w:val="00FC53DC"/>
    <w:rsid w:val="00FD1AC9"/>
    <w:rsid w:val="00FD1CBD"/>
    <w:rsid w:val="00FE3D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41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27D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table" w:customStyle="1" w:styleId="Grilledutableau11">
    <w:name w:val="Grille du tableau11"/>
    <w:basedOn w:val="TableauNormal"/>
    <w:next w:val="Grilledutableau"/>
    <w:rsid w:val="00D256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A27D15"/>
    <w:rPr>
      <w:rFonts w:asciiTheme="majorHAnsi" w:eastAsiaTheme="majorEastAsia" w:hAnsiTheme="majorHAnsi" w:cstheme="majorBidi"/>
      <w:color w:val="2E74B5" w:themeColor="accent1" w:themeShade="BF"/>
      <w:sz w:val="26"/>
      <w:szCs w:val="26"/>
    </w:rPr>
  </w:style>
  <w:style w:type="paragraph" w:styleId="Corpsdetexte3">
    <w:name w:val="Body Text 3"/>
    <w:basedOn w:val="Normal"/>
    <w:link w:val="Corpsdetexte3Car"/>
    <w:uiPriority w:val="99"/>
    <w:unhideWhenUsed/>
    <w:rsid w:val="00B1613E"/>
    <w:pPr>
      <w:tabs>
        <w:tab w:val="center" w:pos="4536"/>
        <w:tab w:val="right" w:pos="9072"/>
      </w:tabs>
      <w:spacing w:after="120" w:line="360" w:lineRule="auto"/>
      <w:jc w:val="both"/>
    </w:pPr>
    <w:rPr>
      <w:rFonts w:ascii="Arial Narrow" w:hAnsi="Arial Narrow"/>
      <w:b/>
    </w:rPr>
  </w:style>
  <w:style w:type="character" w:customStyle="1" w:styleId="Corpsdetexte3Car">
    <w:name w:val="Corps de texte 3 Car"/>
    <w:basedOn w:val="Policepardfaut"/>
    <w:link w:val="Corpsdetexte3"/>
    <w:uiPriority w:val="99"/>
    <w:rsid w:val="00B1613E"/>
    <w:rPr>
      <w:rFonts w:ascii="Arial Narrow" w:hAnsi="Arial Narrow"/>
      <w:b/>
    </w:rPr>
  </w:style>
  <w:style w:type="paragraph" w:customStyle="1" w:styleId="titrebarregauchecouleur">
    <w:name w:val="titre_barre_gauche_couleur"/>
    <w:basedOn w:val="Normal"/>
    <w:link w:val="titrebarregauchecouleurCar"/>
    <w:rsid w:val="00955BCB"/>
    <w:pPr>
      <w:widowControl w:val="0"/>
      <w:pBdr>
        <w:left w:val="single" w:sz="8" w:space="15" w:color="000000"/>
      </w:pBdr>
      <w:suppressAutoHyphens/>
      <w:spacing w:before="60" w:after="0" w:line="240" w:lineRule="auto"/>
      <w:ind w:left="1701"/>
    </w:pPr>
    <w:rPr>
      <w:rFonts w:ascii="Arial" w:eastAsia="Times New Roman" w:hAnsi="Arial" w:cs="Times New Roman"/>
      <w:b/>
      <w:color w:val="44546A" w:themeColor="text2"/>
      <w:sz w:val="48"/>
      <w:szCs w:val="20"/>
      <w:lang w:eastAsia="ar-SA"/>
    </w:rPr>
  </w:style>
  <w:style w:type="character" w:customStyle="1" w:styleId="titrebarregauchecouleurCar">
    <w:name w:val="titre_barre_gauche_couleur Car"/>
    <w:basedOn w:val="Policepardfaut"/>
    <w:link w:val="titrebarregauchecouleur"/>
    <w:rsid w:val="00955BCB"/>
    <w:rPr>
      <w:rFonts w:ascii="Arial" w:eastAsia="Times New Roman" w:hAnsi="Arial" w:cs="Times New Roman"/>
      <w:b/>
      <w:color w:val="44546A" w:themeColor="text2"/>
      <w:sz w:val="4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04651">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15218944">
      <w:bodyDiv w:val="1"/>
      <w:marLeft w:val="0"/>
      <w:marRight w:val="0"/>
      <w:marTop w:val="0"/>
      <w:marBottom w:val="0"/>
      <w:divBdr>
        <w:top w:val="none" w:sz="0" w:space="0" w:color="auto"/>
        <w:left w:val="none" w:sz="0" w:space="0" w:color="auto"/>
        <w:bottom w:val="none" w:sz="0" w:space="0" w:color="auto"/>
        <w:right w:val="none" w:sz="0" w:space="0" w:color="auto"/>
      </w:divBdr>
    </w:div>
    <w:div w:id="20029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3189&amp;idArticle=LEGIARTI000023263965&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A25D8"/>
    <w:rsid w:val="003E79AE"/>
    <w:rsid w:val="00560A7D"/>
    <w:rsid w:val="005A3E7F"/>
    <w:rsid w:val="005B74AE"/>
    <w:rsid w:val="00850883"/>
    <w:rsid w:val="00864732"/>
    <w:rsid w:val="008C732C"/>
    <w:rsid w:val="009E2391"/>
    <w:rsid w:val="00AC31B5"/>
    <w:rsid w:val="00B14DD2"/>
    <w:rsid w:val="00B90D7C"/>
    <w:rsid w:val="00C04B36"/>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86DD4-FDF3-44AC-A0DC-167D17E5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3620</Words>
  <Characters>19914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17</cp:revision>
  <dcterms:created xsi:type="dcterms:W3CDTF">2024-12-04T13:37:00Z</dcterms:created>
  <dcterms:modified xsi:type="dcterms:W3CDTF">2024-12-06T13:00:00Z</dcterms:modified>
</cp:coreProperties>
</file>