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8700C" w14:textId="00C06660" w:rsidR="00275B99" w:rsidRPr="00916843" w:rsidRDefault="737F2133" w:rsidP="7C69FA12">
      <w:pPr>
        <w:spacing w:line="240" w:lineRule="atLeast"/>
        <w:rPr>
          <w:rFonts w:ascii="Univers Next Pro Condensed" w:hAnsi="Univers Next Pro Condensed"/>
        </w:rPr>
      </w:pPr>
      <w:r w:rsidRPr="00916843">
        <w:rPr>
          <w:rFonts w:ascii="Univers Next Pro Condensed" w:hAnsi="Univers Next Pro Condensed"/>
          <w:noProof/>
        </w:rPr>
        <w:drawing>
          <wp:inline distT="0" distB="0" distL="0" distR="0" wp14:anchorId="30DFF879" wp14:editId="0C740333">
            <wp:extent cx="1846299" cy="936882"/>
            <wp:effectExtent l="0" t="0" r="0" b="0"/>
            <wp:docPr id="2135548302" name="Image 2135548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299" cy="936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F6FD3" w14:textId="77777777" w:rsidR="00275B99" w:rsidRPr="00916843" w:rsidRDefault="00275B99" w:rsidP="00275B99">
      <w:pPr>
        <w:spacing w:line="240" w:lineRule="atLeast"/>
        <w:jc w:val="center"/>
        <w:rPr>
          <w:rFonts w:ascii="Univers Next Pro Condensed" w:hAnsi="Univers Next Pro Condensed"/>
          <w:snapToGrid w:val="0"/>
        </w:rPr>
      </w:pPr>
    </w:p>
    <w:p w14:paraId="1441C7F9" w14:textId="41F7A3E0" w:rsidR="00275B99" w:rsidRPr="00916843" w:rsidRDefault="00275B99" w:rsidP="00275B99">
      <w:pPr>
        <w:jc w:val="center"/>
        <w:rPr>
          <w:rFonts w:ascii="Univers Next Pro Condensed" w:hAnsi="Univers Next Pro Condensed"/>
          <w:bCs/>
          <w:i/>
          <w:iCs/>
        </w:rPr>
      </w:pPr>
      <w:r w:rsidRPr="00916843">
        <w:rPr>
          <w:rFonts w:ascii="Univers Next Pro Condensed" w:hAnsi="Univers Next Pro Condensed"/>
          <w:b/>
        </w:rPr>
        <w:t>REFERENCEMENT PAYANT POUR LES BESOINS DU CENTRE POMPIDOU</w:t>
      </w:r>
      <w:r w:rsidR="009D3748" w:rsidRPr="00916843">
        <w:rPr>
          <w:rFonts w:ascii="Univers Next Pro Condensed" w:hAnsi="Univers Next Pro Condensed"/>
          <w:b/>
        </w:rPr>
        <w:t xml:space="preserve"> – LOT 1 / SEA WEB</w:t>
      </w:r>
    </w:p>
    <w:p w14:paraId="3AA15886" w14:textId="77777777" w:rsidR="00275B99" w:rsidRPr="00916843" w:rsidRDefault="00275B99" w:rsidP="00275B99">
      <w:pPr>
        <w:rPr>
          <w:rFonts w:ascii="Univers Next Pro Condensed" w:hAnsi="Univers Next Pro Condensed"/>
          <w:b/>
        </w:rPr>
      </w:pPr>
    </w:p>
    <w:p w14:paraId="52E4EC1E" w14:textId="77777777" w:rsidR="00995072" w:rsidRPr="00916843" w:rsidRDefault="00995072" w:rsidP="00995072">
      <w:pPr>
        <w:jc w:val="both"/>
        <w:rPr>
          <w:rFonts w:ascii="Univers Next Pro Condensed" w:hAnsi="Univers Next Pro Condensed"/>
        </w:rPr>
      </w:pPr>
    </w:p>
    <w:p w14:paraId="12FB390D" w14:textId="0298F81E" w:rsidR="009D46DE" w:rsidRPr="00916843" w:rsidRDefault="00995072" w:rsidP="009D46DE">
      <w:pPr>
        <w:jc w:val="center"/>
        <w:rPr>
          <w:rFonts w:ascii="Univers Next Pro Condensed" w:hAnsi="Univers Next Pro Condensed"/>
        </w:rPr>
      </w:pPr>
      <w:r w:rsidRPr="00916843">
        <w:rPr>
          <w:rFonts w:ascii="Univers Next Pro Condensed" w:hAnsi="Univers Next Pro Condensed"/>
        </w:rPr>
        <w:t>Numéro de consultation :</w:t>
      </w:r>
      <w:bookmarkStart w:id="0" w:name="_Hlk179817622"/>
      <w:r w:rsidR="009D46DE" w:rsidRPr="00916843">
        <w:rPr>
          <w:rFonts w:ascii="Univers Next Pro Condensed" w:hAnsi="Univers Next Pro Condensed"/>
          <w:sz w:val="22"/>
          <w:szCs w:val="20"/>
        </w:rPr>
        <w:t xml:space="preserve"> </w:t>
      </w:r>
      <w:r w:rsidR="009D46DE" w:rsidRPr="00916843">
        <w:rPr>
          <w:rFonts w:ascii="Univers Next Pro Condensed" w:hAnsi="Univers Next Pro Condensed"/>
        </w:rPr>
        <w:t>24-CP05-084-AC</w:t>
      </w:r>
      <w:bookmarkEnd w:id="0"/>
    </w:p>
    <w:p w14:paraId="334324B3" w14:textId="77777777" w:rsidR="00995072" w:rsidRPr="00916843" w:rsidRDefault="00995072" w:rsidP="00995072">
      <w:pPr>
        <w:jc w:val="center"/>
        <w:rPr>
          <w:rFonts w:ascii="Univers Next Pro Condensed" w:hAnsi="Univers Next Pro Condensed"/>
          <w:color w:val="0000FF"/>
        </w:rPr>
      </w:pPr>
    </w:p>
    <w:p w14:paraId="066878FC" w14:textId="34DE4B67" w:rsidR="00995072" w:rsidRPr="00916843" w:rsidRDefault="00995072" w:rsidP="7C69FA12">
      <w:pPr>
        <w:spacing w:line="240" w:lineRule="atLeast"/>
        <w:jc w:val="center"/>
        <w:rPr>
          <w:rFonts w:ascii="Univers Next Pro Condensed" w:hAnsi="Univers Next Pro Condensed"/>
          <w:snapToGrid w:val="0"/>
          <w:color w:val="0000FF"/>
        </w:rPr>
      </w:pPr>
    </w:p>
    <w:p w14:paraId="29637999" w14:textId="77777777" w:rsidR="00995072" w:rsidRPr="00916843" w:rsidRDefault="00995072" w:rsidP="00995072">
      <w:pPr>
        <w:spacing w:line="240" w:lineRule="atLeast"/>
        <w:jc w:val="center"/>
        <w:rPr>
          <w:rFonts w:ascii="Univers Next Pro Condensed" w:hAnsi="Univers Next Pro Condensed"/>
          <w:snapToGrid w:val="0"/>
        </w:rPr>
      </w:pPr>
    </w:p>
    <w:p w14:paraId="683C9F0C" w14:textId="77777777" w:rsidR="00995072" w:rsidRPr="00916843" w:rsidRDefault="00995072" w:rsidP="00995072">
      <w:pPr>
        <w:pBdr>
          <w:top w:val="single" w:sz="4" w:space="1" w:color="E36C0A"/>
          <w:left w:val="single" w:sz="4" w:space="4" w:color="E36C0A"/>
          <w:bottom w:val="single" w:sz="4" w:space="1" w:color="E36C0A"/>
          <w:right w:val="single" w:sz="4" w:space="4" w:color="E36C0A"/>
        </w:pBdr>
        <w:jc w:val="center"/>
        <w:rPr>
          <w:rFonts w:ascii="Univers Next Pro Condensed" w:hAnsi="Univers Next Pro Condensed"/>
          <w:b/>
        </w:rPr>
      </w:pPr>
    </w:p>
    <w:p w14:paraId="78AE7F99" w14:textId="77777777" w:rsidR="00995072" w:rsidRPr="00916843" w:rsidRDefault="00995072" w:rsidP="00995072">
      <w:pPr>
        <w:pBdr>
          <w:top w:val="single" w:sz="4" w:space="1" w:color="E36C0A"/>
          <w:left w:val="single" w:sz="4" w:space="4" w:color="E36C0A"/>
          <w:bottom w:val="single" w:sz="4" w:space="1" w:color="E36C0A"/>
          <w:right w:val="single" w:sz="4" w:space="4" w:color="E36C0A"/>
        </w:pBdr>
        <w:jc w:val="center"/>
        <w:rPr>
          <w:rFonts w:ascii="Univers Next Pro Condensed" w:hAnsi="Univers Next Pro Condensed"/>
          <w:b/>
        </w:rPr>
      </w:pPr>
      <w:r w:rsidRPr="00916843">
        <w:rPr>
          <w:rFonts w:ascii="Univers Next Pro Condensed" w:hAnsi="Univers Next Pro Condensed"/>
          <w:b/>
        </w:rPr>
        <w:t xml:space="preserve">Cas pratique </w:t>
      </w:r>
    </w:p>
    <w:p w14:paraId="22BA7A4D" w14:textId="77777777" w:rsidR="00995072" w:rsidRPr="00916843" w:rsidRDefault="00995072" w:rsidP="00BB7D84">
      <w:pPr>
        <w:pBdr>
          <w:top w:val="single" w:sz="4" w:space="1" w:color="E36C0A"/>
          <w:left w:val="single" w:sz="4" w:space="4" w:color="E36C0A"/>
          <w:bottom w:val="single" w:sz="4" w:space="1" w:color="E36C0A"/>
          <w:right w:val="single" w:sz="4" w:space="4" w:color="E36C0A"/>
        </w:pBdr>
        <w:rPr>
          <w:rFonts w:ascii="Univers Next Pro Condensed" w:hAnsi="Univers Next Pro Condensed"/>
          <w:b/>
        </w:rPr>
      </w:pPr>
    </w:p>
    <w:p w14:paraId="66F2AE18" w14:textId="77777777" w:rsidR="00995072" w:rsidRPr="00916843" w:rsidRDefault="00995072" w:rsidP="00995072">
      <w:pPr>
        <w:jc w:val="center"/>
        <w:rPr>
          <w:rFonts w:ascii="Univers Next Pro Condensed" w:hAnsi="Univers Next Pro Condensed"/>
        </w:rPr>
      </w:pPr>
    </w:p>
    <w:p w14:paraId="5ACDE7F1" w14:textId="77777777" w:rsidR="00275B99" w:rsidRPr="00916843" w:rsidRDefault="00275B99" w:rsidP="00275B99">
      <w:pPr>
        <w:rPr>
          <w:rFonts w:ascii="Univers Next Pro Condensed" w:hAnsi="Univers Next Pro Condensed"/>
          <w:b/>
        </w:rPr>
      </w:pPr>
    </w:p>
    <w:p w14:paraId="2847EB88" w14:textId="33C6E172" w:rsidR="00275B99" w:rsidRPr="00916843" w:rsidRDefault="00275B99" w:rsidP="7B6980F5">
      <w:pPr>
        <w:jc w:val="center"/>
        <w:rPr>
          <w:rFonts w:ascii="Univers Next Pro Condensed" w:hAnsi="Univers Next Pro Condensed"/>
          <w:b/>
          <w:bCs/>
        </w:rPr>
      </w:pPr>
      <w:r w:rsidRPr="00916843">
        <w:rPr>
          <w:rFonts w:ascii="Univers Next Pro Condensed" w:hAnsi="Univers Next Pro Condensed"/>
          <w:b/>
          <w:bCs/>
        </w:rPr>
        <w:t>Annexe 1 au règlement de la consultation</w:t>
      </w:r>
      <w:r w:rsidR="60E7849C" w:rsidRPr="00916843">
        <w:rPr>
          <w:rFonts w:ascii="Univers Next Pro Condensed" w:hAnsi="Univers Next Pro Condensed"/>
          <w:b/>
          <w:bCs/>
        </w:rPr>
        <w:t xml:space="preserve"> </w:t>
      </w:r>
      <w:r w:rsidR="746C131C" w:rsidRPr="00916843">
        <w:rPr>
          <w:rFonts w:ascii="Univers Next Pro Condensed" w:hAnsi="Univers Next Pro Condensed"/>
          <w:b/>
          <w:bCs/>
        </w:rPr>
        <w:t xml:space="preserve">- </w:t>
      </w:r>
      <w:r w:rsidR="60E7849C" w:rsidRPr="00916843">
        <w:rPr>
          <w:rFonts w:ascii="Univers Next Pro Condensed" w:hAnsi="Univers Next Pro Condensed"/>
          <w:b/>
          <w:bCs/>
        </w:rPr>
        <w:t>Lot 1</w:t>
      </w:r>
    </w:p>
    <w:p w14:paraId="6A239838" w14:textId="2A73BB19" w:rsidR="00275B99" w:rsidRPr="00916843" w:rsidRDefault="00275B99" w:rsidP="00275B99">
      <w:pPr>
        <w:rPr>
          <w:rFonts w:ascii="Univers Next Pro Condensed" w:hAnsi="Univers Next Pro Condensed"/>
          <w:b/>
        </w:rPr>
      </w:pPr>
    </w:p>
    <w:p w14:paraId="68BA86A7" w14:textId="23BD9FD9" w:rsidR="00995072" w:rsidRPr="00916843" w:rsidRDefault="00995072" w:rsidP="00995072">
      <w:pPr>
        <w:pStyle w:val="Standard"/>
        <w:spacing w:before="0"/>
        <w:rPr>
          <w:rFonts w:ascii="Univers Next Pro Condensed" w:hAnsi="Univers Next Pro Condensed"/>
          <w:sz w:val="24"/>
          <w:szCs w:val="24"/>
        </w:rPr>
      </w:pPr>
      <w:r w:rsidRPr="00916843">
        <w:rPr>
          <w:rFonts w:ascii="Univers Next Pro Condensed" w:hAnsi="Univers Next Pro Condensed"/>
          <w:sz w:val="24"/>
          <w:szCs w:val="24"/>
        </w:rPr>
        <w:t>Le présent exercice constitue un cas pratique sur la base duquel seront analysées les offres techniques en fonction du sous-critère « Qualité de la réponse au cas pratique » énoncé dans le Règlement de la Consultation.</w:t>
      </w:r>
    </w:p>
    <w:p w14:paraId="34DD7650" w14:textId="2F10B8CD" w:rsidR="00995072" w:rsidRPr="00916843" w:rsidRDefault="00995072" w:rsidP="00275B99">
      <w:pPr>
        <w:rPr>
          <w:rFonts w:ascii="Univers Next Pro Condensed" w:hAnsi="Univers Next Pro Condensed"/>
          <w:b/>
        </w:rPr>
      </w:pPr>
    </w:p>
    <w:p w14:paraId="08233CCE" w14:textId="48A89CE2" w:rsidR="00275B99" w:rsidRPr="00916843" w:rsidRDefault="7C1BF097" w:rsidP="7C69FA12">
      <w:pPr>
        <w:spacing w:before="240" w:after="240"/>
        <w:jc w:val="both"/>
        <w:rPr>
          <w:rFonts w:ascii="Univers Next Pro Condensed" w:eastAsia="CGP" w:hAnsi="Univers Next Pro Condensed" w:cs="CGP"/>
        </w:rPr>
      </w:pPr>
      <w:r w:rsidRPr="00916843">
        <w:rPr>
          <w:rFonts w:ascii="Univers Next Pro Condensed" w:eastAsia="CGP" w:hAnsi="Univers Next Pro Condensed" w:cs="CGP"/>
        </w:rPr>
        <w:t xml:space="preserve">Proposition : </w:t>
      </w:r>
    </w:p>
    <w:p w14:paraId="4BE17890" w14:textId="2BC2DC32" w:rsidR="00275B99" w:rsidRPr="00916843" w:rsidRDefault="7C1BF097" w:rsidP="7C69FA12">
      <w:pPr>
        <w:spacing w:line="260" w:lineRule="atLeast"/>
        <w:jc w:val="both"/>
        <w:rPr>
          <w:rFonts w:ascii="Univers Next Pro Condensed" w:eastAsia="CGP" w:hAnsi="Univers Next Pro Condensed" w:cs="CGP"/>
        </w:rPr>
      </w:pPr>
      <w:r w:rsidRPr="00916843">
        <w:rPr>
          <w:rFonts w:ascii="Univers Next Pro Condensed" w:eastAsia="CGP" w:hAnsi="Univers Next Pro Condensed" w:cs="CGP"/>
          <w:u w:val="single"/>
        </w:rPr>
        <w:t>Contexte :</w:t>
      </w:r>
      <w:r w:rsidRPr="00916843">
        <w:rPr>
          <w:rFonts w:ascii="Univers Next Pro Condensed" w:eastAsia="CGP" w:hAnsi="Univers Next Pro Condensed" w:cs="CGP"/>
        </w:rPr>
        <w:t xml:space="preserve"> </w:t>
      </w:r>
    </w:p>
    <w:p w14:paraId="2B95E3A2" w14:textId="311500AE" w:rsidR="00275B99" w:rsidRPr="00916843" w:rsidRDefault="688AA100" w:rsidP="7C69FA12">
      <w:pPr>
        <w:spacing w:line="260" w:lineRule="atLeast"/>
        <w:jc w:val="both"/>
        <w:rPr>
          <w:rFonts w:ascii="Univers Next Pro Condensed" w:eastAsia="CGP" w:hAnsi="Univers Next Pro Condensed" w:cs="CGP"/>
        </w:rPr>
      </w:pPr>
      <w:r w:rsidRPr="00916843">
        <w:rPr>
          <w:rFonts w:ascii="Univers Next Pro Condensed" w:eastAsiaTheme="minorEastAsia" w:hAnsi="Univers Next Pro Condensed" w:cstheme="minorBidi"/>
        </w:rPr>
        <w:t xml:space="preserve">A partir de septembre 2025, le Centre Pompidou entamera une </w:t>
      </w:r>
      <w:hyperlink r:id="rId6">
        <w:r w:rsidRPr="00916843">
          <w:rPr>
            <w:rStyle w:val="Lienhypertexte"/>
            <w:rFonts w:ascii="Univers Next Pro Condensed" w:eastAsiaTheme="minorEastAsia" w:hAnsi="Univers Next Pro Condensed" w:cstheme="minorBidi"/>
          </w:rPr>
          <w:t>rénovation d’une durée de cinq ans</w:t>
        </w:r>
      </w:hyperlink>
      <w:r w:rsidRPr="00916843">
        <w:rPr>
          <w:rFonts w:ascii="Univers Next Pro Condensed" w:eastAsiaTheme="minorEastAsia" w:hAnsi="Univers Next Pro Condensed" w:cstheme="minorBidi"/>
        </w:rPr>
        <w:t xml:space="preserve"> entraînant la fermeture de son bâtiment. Durant cette période, l'esprit et l'énergie du Centre Pompidou continueront de rayonner bien au-delà de ses murs. Les plus grandes institutions culturelles, en France et à l'international, accueilleront sa collection ainsi que sa programmation pluridisciplinaire. </w:t>
      </w:r>
    </w:p>
    <w:p w14:paraId="2E76D409" w14:textId="59A2FBD1" w:rsidR="00275B99" w:rsidRPr="00916843" w:rsidRDefault="7C1BF097" w:rsidP="7C69FA12">
      <w:pPr>
        <w:spacing w:before="240" w:after="240"/>
        <w:jc w:val="both"/>
        <w:rPr>
          <w:rFonts w:ascii="Univers Next Pro Condensed" w:eastAsia="CGP" w:hAnsi="Univers Next Pro Condensed" w:cs="CGP"/>
        </w:rPr>
      </w:pPr>
      <w:r w:rsidRPr="00916843">
        <w:rPr>
          <w:rFonts w:ascii="Univers Next Pro Condensed" w:eastAsia="CGP" w:hAnsi="Univers Next Pro Condensed" w:cs="CGP"/>
        </w:rPr>
        <w:t xml:space="preserve">Le Centre Pompidou souhaite réaffirmer sa présence durant </w:t>
      </w:r>
      <w:r w:rsidR="57E76559" w:rsidRPr="00916843">
        <w:rPr>
          <w:rFonts w:ascii="Univers Next Pro Condensed" w:eastAsia="CGP" w:hAnsi="Univers Next Pro Condensed" w:cs="CGP"/>
        </w:rPr>
        <w:t>cette période</w:t>
      </w:r>
      <w:r w:rsidR="6F3803BC" w:rsidRPr="00916843">
        <w:rPr>
          <w:rFonts w:ascii="Univers Next Pro Condensed" w:eastAsia="CGP" w:hAnsi="Univers Next Pro Condensed" w:cs="CGP"/>
        </w:rPr>
        <w:t>, notamment</w:t>
      </w:r>
      <w:r w:rsidR="45C29672" w:rsidRPr="00916843">
        <w:rPr>
          <w:rFonts w:ascii="Univers Next Pro Condensed" w:eastAsia="CGP" w:hAnsi="Univers Next Pro Condensed" w:cs="CGP"/>
        </w:rPr>
        <w:t xml:space="preserve"> au cours de</w:t>
      </w:r>
      <w:r w:rsidRPr="00916843">
        <w:rPr>
          <w:rFonts w:ascii="Univers Next Pro Condensed" w:eastAsia="CGP" w:hAnsi="Univers Next Pro Condensed" w:cs="CGP"/>
        </w:rPr>
        <w:t xml:space="preserve"> </w:t>
      </w:r>
      <w:r w:rsidR="0466FF59" w:rsidRPr="00916843">
        <w:rPr>
          <w:rFonts w:ascii="Univers Next Pro Condensed" w:eastAsia="CGP" w:hAnsi="Univers Next Pro Condensed" w:cs="CGP"/>
        </w:rPr>
        <w:t xml:space="preserve">son </w:t>
      </w:r>
      <w:r w:rsidRPr="00916843">
        <w:rPr>
          <w:rFonts w:ascii="Univers Next Pro Condensed" w:eastAsia="CGP" w:hAnsi="Univers Next Pro Condensed" w:cs="CGP"/>
        </w:rPr>
        <w:t xml:space="preserve">exposition “Niki de Saint Phalle, Jean Tinguely, Pontus </w:t>
      </w:r>
      <w:proofErr w:type="spellStart"/>
      <w:r w:rsidRPr="00916843">
        <w:rPr>
          <w:rFonts w:ascii="Univers Next Pro Condensed" w:eastAsia="CGP" w:hAnsi="Univers Next Pro Condensed" w:cs="CGP"/>
        </w:rPr>
        <w:t>Hultén</w:t>
      </w:r>
      <w:proofErr w:type="spellEnd"/>
      <w:r w:rsidRPr="00916843">
        <w:rPr>
          <w:rFonts w:ascii="Univers Next Pro Condensed" w:eastAsia="CGP" w:hAnsi="Univers Next Pro Condensed" w:cs="CGP"/>
        </w:rPr>
        <w:t xml:space="preserve">”, </w:t>
      </w:r>
      <w:r w:rsidR="2DD57CE7" w:rsidRPr="00916843">
        <w:rPr>
          <w:rFonts w:ascii="Univers Next Pro Condensed" w:eastAsia="CGP" w:hAnsi="Univers Next Pro Condensed" w:cs="CGP"/>
        </w:rPr>
        <w:t xml:space="preserve">présentée </w:t>
      </w:r>
      <w:r w:rsidR="155B4044" w:rsidRPr="00916843">
        <w:rPr>
          <w:rFonts w:ascii="Univers Next Pro Condensed" w:eastAsia="CGP" w:hAnsi="Univers Next Pro Condensed" w:cs="CGP"/>
        </w:rPr>
        <w:t xml:space="preserve">du 6 juin 2025 au 4 janvier 2026 au Grand Palais. </w:t>
      </w:r>
      <w:r w:rsidR="3CA9A845" w:rsidRPr="00916843">
        <w:rPr>
          <w:rFonts w:ascii="Univers Next Pro Condensed" w:eastAsia="CGP" w:hAnsi="Univers Next Pro Condensed" w:cs="CGP"/>
        </w:rPr>
        <w:t>I</w:t>
      </w:r>
      <w:r w:rsidRPr="00916843">
        <w:rPr>
          <w:rFonts w:ascii="Univers Next Pro Condensed" w:eastAsia="CGP" w:hAnsi="Univers Next Pro Condensed" w:cs="CGP"/>
        </w:rPr>
        <w:t>l souhaite s’appuyer sur une campagne de référencement payant pour favoriser la conversion vers l’achat de billet</w:t>
      </w:r>
      <w:r w:rsidR="797D4F62" w:rsidRPr="00916843">
        <w:rPr>
          <w:rFonts w:ascii="Univers Next Pro Condensed" w:eastAsia="CGP" w:hAnsi="Univers Next Pro Condensed" w:cs="CGP"/>
        </w:rPr>
        <w:t xml:space="preserve"> sur la billetterie en ligne du Centre Pompidou.</w:t>
      </w:r>
      <w:r w:rsidRPr="00916843">
        <w:rPr>
          <w:rFonts w:ascii="Univers Next Pro Condensed" w:eastAsia="CGP" w:hAnsi="Univers Next Pro Condensed" w:cs="CGP"/>
        </w:rPr>
        <w:t xml:space="preserve"> </w:t>
      </w:r>
    </w:p>
    <w:p w14:paraId="3A4A6F0B" w14:textId="76E31FA9" w:rsidR="00275B99" w:rsidRPr="00916843" w:rsidRDefault="7C1BF097" w:rsidP="7C69FA12">
      <w:pPr>
        <w:jc w:val="both"/>
        <w:rPr>
          <w:rFonts w:ascii="Univers Next Pro Condensed" w:hAnsi="Univers Next Pro Condensed"/>
        </w:rPr>
      </w:pPr>
      <w:r w:rsidRPr="00916843">
        <w:rPr>
          <w:rFonts w:ascii="Univers Next Pro Condensed" w:eastAsia="CGP" w:hAnsi="Univers Next Pro Condensed" w:cs="CGP"/>
          <w:u w:val="single"/>
        </w:rPr>
        <w:t>Objectifs :</w:t>
      </w:r>
      <w:r w:rsidRPr="00916843">
        <w:rPr>
          <w:rFonts w:ascii="Univers Next Pro Condensed" w:eastAsia="CGP" w:hAnsi="Univers Next Pro Condensed" w:cs="CGP"/>
        </w:rPr>
        <w:t xml:space="preserve"> </w:t>
      </w:r>
    </w:p>
    <w:p w14:paraId="5C332E4A" w14:textId="0F8013EF" w:rsidR="00275B99" w:rsidRPr="00916843" w:rsidRDefault="5747B3E5" w:rsidP="7C69FA12">
      <w:pPr>
        <w:pStyle w:val="Paragraphedeliste"/>
        <w:numPr>
          <w:ilvl w:val="0"/>
          <w:numId w:val="1"/>
        </w:numPr>
        <w:jc w:val="both"/>
        <w:rPr>
          <w:rFonts w:ascii="Univers Next Pro Condensed" w:eastAsia="CGP" w:hAnsi="Univers Next Pro Condensed" w:cs="CGP"/>
        </w:rPr>
      </w:pPr>
      <w:r w:rsidRPr="00916843">
        <w:rPr>
          <w:rFonts w:ascii="Univers Next Pro Condensed" w:eastAsia="CGP" w:hAnsi="Univers Next Pro Condensed" w:cs="CGP"/>
        </w:rPr>
        <w:t>Limiter la baisse de trafic sur le site internet du Centre Pompidou pendant la période de travaux.</w:t>
      </w:r>
    </w:p>
    <w:p w14:paraId="1B98B923" w14:textId="710EBB21" w:rsidR="00275B99" w:rsidRPr="00916843" w:rsidRDefault="7B8B7F66" w:rsidP="7C69FA12">
      <w:pPr>
        <w:pStyle w:val="Paragraphedeliste"/>
        <w:numPr>
          <w:ilvl w:val="0"/>
          <w:numId w:val="1"/>
        </w:numPr>
        <w:jc w:val="both"/>
        <w:rPr>
          <w:rFonts w:ascii="Univers Next Pro Condensed" w:hAnsi="Univers Next Pro Condensed"/>
        </w:rPr>
      </w:pPr>
      <w:r w:rsidRPr="00916843">
        <w:rPr>
          <w:rFonts w:ascii="Univers Next Pro Condensed" w:hAnsi="Univers Next Pro Condensed"/>
        </w:rPr>
        <w:t>Augmenter les conversions sur la billetterie en ligne du Centre Pompidou, malgré le fait que la programmation soit hébergée chez un partenaire disposant de sa propre billetterie.</w:t>
      </w:r>
    </w:p>
    <w:p w14:paraId="33704EA5" w14:textId="32A5E0EA" w:rsidR="00275B99" w:rsidRPr="00916843" w:rsidRDefault="7FAA6CEA" w:rsidP="7C69FA12">
      <w:pPr>
        <w:jc w:val="both"/>
        <w:rPr>
          <w:rFonts w:ascii="Univers Next Pro Condensed" w:hAnsi="Univers Next Pro Condensed"/>
        </w:rPr>
      </w:pPr>
      <w:r w:rsidRPr="00916843">
        <w:rPr>
          <w:rFonts w:ascii="Univers Next Pro Condensed" w:hAnsi="Univers Next Pro Condensed"/>
        </w:rPr>
        <w:br/>
      </w:r>
      <w:r w:rsidR="7C1BF097" w:rsidRPr="00916843">
        <w:rPr>
          <w:rFonts w:ascii="Univers Next Pro Condensed" w:hAnsi="Univers Next Pro Condensed"/>
        </w:rPr>
        <w:t>Le Centre Pompidou sollicite donc le titulaire pour concevoir une campagne de promotion en ligne à cet effet.</w:t>
      </w:r>
    </w:p>
    <w:p w14:paraId="1BF537F1" w14:textId="642CE23C" w:rsidR="00275B99" w:rsidRPr="00916843" w:rsidRDefault="00275B99" w:rsidP="7C69FA12">
      <w:pPr>
        <w:jc w:val="both"/>
        <w:rPr>
          <w:rFonts w:ascii="Univers Next Pro Condensed" w:hAnsi="Univers Next Pro Condensed"/>
        </w:rPr>
      </w:pPr>
    </w:p>
    <w:p w14:paraId="6FFAFA27" w14:textId="6577AA82" w:rsidR="00275B99" w:rsidRPr="00916843" w:rsidRDefault="7C1BF097" w:rsidP="7C69FA12">
      <w:pPr>
        <w:jc w:val="both"/>
        <w:rPr>
          <w:rFonts w:ascii="Univers Next Pro Condensed" w:hAnsi="Univers Next Pro Condensed"/>
        </w:rPr>
      </w:pPr>
      <w:r w:rsidRPr="00916843">
        <w:rPr>
          <w:rFonts w:ascii="Univers Next Pro Condensed" w:hAnsi="Univers Next Pro Condensed"/>
        </w:rPr>
        <w:t>Budget achat mots-clés : 5 000 €</w:t>
      </w:r>
    </w:p>
    <w:p w14:paraId="130E8693" w14:textId="1F096D8C" w:rsidR="00275B99" w:rsidRPr="00916843" w:rsidRDefault="00275B99" w:rsidP="7C69FA12">
      <w:pPr>
        <w:jc w:val="both"/>
        <w:rPr>
          <w:rFonts w:ascii="Univers Next Pro Condensed" w:hAnsi="Univers Next Pro Condensed"/>
        </w:rPr>
      </w:pPr>
    </w:p>
    <w:p w14:paraId="41FF13B6" w14:textId="5E39099A" w:rsidR="00275B99" w:rsidRPr="00916843" w:rsidRDefault="00275B99" w:rsidP="7C69FA12">
      <w:pPr>
        <w:jc w:val="both"/>
        <w:rPr>
          <w:rFonts w:ascii="Univers Next Pro Condensed" w:hAnsi="Univers Next Pro Condensed"/>
        </w:rPr>
      </w:pPr>
    </w:p>
    <w:p w14:paraId="1C9D7EB2" w14:textId="6EA5CFDF" w:rsidR="00275B99" w:rsidRPr="00916843" w:rsidRDefault="00275B99" w:rsidP="7C69FA12">
      <w:pPr>
        <w:jc w:val="both"/>
        <w:rPr>
          <w:rFonts w:ascii="Univers Next Pro Condensed" w:hAnsi="Univers Next Pro Condensed"/>
        </w:rPr>
      </w:pPr>
    </w:p>
    <w:p w14:paraId="47A9BD3C" w14:textId="0A560366" w:rsidR="00275B99" w:rsidRPr="00916843" w:rsidRDefault="00275B99" w:rsidP="7C69FA12">
      <w:pPr>
        <w:rPr>
          <w:rFonts w:ascii="Univers Next Pro Condensed" w:hAnsi="Univers Next Pro Condensed"/>
          <w:b/>
          <w:bCs/>
        </w:rPr>
      </w:pPr>
    </w:p>
    <w:p w14:paraId="0C5D9177" w14:textId="1A9AA6E7" w:rsidR="7C69FA12" w:rsidRPr="00916843" w:rsidRDefault="7C69FA12" w:rsidP="7C69FA12">
      <w:pPr>
        <w:jc w:val="both"/>
        <w:rPr>
          <w:rFonts w:ascii="Univers Next Pro Condensed" w:hAnsi="Univers Next Pro Condensed"/>
          <w:u w:val="single"/>
        </w:rPr>
      </w:pPr>
    </w:p>
    <w:p w14:paraId="51FD3D3D" w14:textId="6E756ED3" w:rsidR="7C69FA12" w:rsidRPr="00916843" w:rsidRDefault="7C69FA12" w:rsidP="7C69FA12">
      <w:pPr>
        <w:jc w:val="both"/>
        <w:rPr>
          <w:rFonts w:ascii="Univers Next Pro Condensed" w:hAnsi="Univers Next Pro Condensed"/>
        </w:rPr>
      </w:pPr>
    </w:p>
    <w:p w14:paraId="34F7411F" w14:textId="1A36BCE4" w:rsidR="7C69FA12" w:rsidRPr="00916843" w:rsidRDefault="7C69FA12" w:rsidP="7C69FA12">
      <w:pPr>
        <w:spacing w:before="240" w:after="240"/>
        <w:jc w:val="both"/>
        <w:rPr>
          <w:rFonts w:ascii="Univers Next Pro Condensed" w:eastAsia="CGP" w:hAnsi="Univers Next Pro Condensed" w:cs="CGP"/>
        </w:rPr>
      </w:pPr>
    </w:p>
    <w:p w14:paraId="1F904F25" w14:textId="77777777" w:rsidR="00275B99" w:rsidRPr="00916843" w:rsidRDefault="00275B99" w:rsidP="00275B99">
      <w:pPr>
        <w:rPr>
          <w:rFonts w:ascii="Univers Next Pro Condensed" w:hAnsi="Univers Next Pro Condensed"/>
          <w:u w:val="single"/>
        </w:rPr>
      </w:pPr>
    </w:p>
    <w:p w14:paraId="7E390519" w14:textId="77777777" w:rsidR="00275B99" w:rsidRPr="00916843" w:rsidRDefault="00275B99" w:rsidP="00275B99">
      <w:pPr>
        <w:rPr>
          <w:rFonts w:ascii="Univers Next Pro Condensed" w:hAnsi="Univers Next Pro Condensed"/>
          <w:u w:val="single"/>
        </w:rPr>
      </w:pPr>
    </w:p>
    <w:tbl>
      <w:tblPr>
        <w:tblW w:w="100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275B99" w:rsidRPr="00916843" w14:paraId="32171CBF" w14:textId="77777777" w:rsidTr="291B5584">
        <w:trPr>
          <w:trHeight w:val="1807"/>
        </w:trPr>
        <w:tc>
          <w:tcPr>
            <w:tcW w:w="10080" w:type="dxa"/>
            <w:shd w:val="clear" w:color="auto" w:fill="C0C0C0"/>
          </w:tcPr>
          <w:p w14:paraId="6C85806F" w14:textId="77777777" w:rsidR="00275B99" w:rsidRPr="00916843" w:rsidRDefault="00275B99" w:rsidP="00447543">
            <w:pPr>
              <w:ind w:left="360"/>
              <w:rPr>
                <w:rFonts w:ascii="Univers Next Pro Condensed" w:hAnsi="Univers Next Pro Condensed"/>
                <w:u w:val="single"/>
              </w:rPr>
            </w:pPr>
            <w:bookmarkStart w:id="1" w:name="_Hlk36735952"/>
          </w:p>
          <w:p w14:paraId="589D1D95" w14:textId="77777777" w:rsidR="00275B99" w:rsidRPr="00916843" w:rsidRDefault="00275B99" w:rsidP="00447543">
            <w:pPr>
              <w:ind w:left="360"/>
              <w:rPr>
                <w:rFonts w:ascii="Univers Next Pro Condensed" w:hAnsi="Univers Next Pro Condensed"/>
                <w:b/>
                <w:u w:val="single"/>
              </w:rPr>
            </w:pPr>
            <w:r w:rsidRPr="00916843">
              <w:rPr>
                <w:rFonts w:ascii="Univers Next Pro Condensed" w:hAnsi="Univers Next Pro Condensed"/>
                <w:b/>
                <w:u w:val="single"/>
              </w:rPr>
              <w:t>Cas pratique à remettre par le candidat</w:t>
            </w:r>
          </w:p>
          <w:p w14:paraId="1E84AF54" w14:textId="77777777" w:rsidR="00275B99" w:rsidRPr="00916843" w:rsidRDefault="00275B99" w:rsidP="00447543">
            <w:pPr>
              <w:ind w:left="360"/>
              <w:rPr>
                <w:rFonts w:ascii="Univers Next Pro Condensed" w:hAnsi="Univers Next Pro Condensed"/>
              </w:rPr>
            </w:pPr>
          </w:p>
          <w:p w14:paraId="521D988B" w14:textId="2EDEEC2F" w:rsidR="00275B99" w:rsidRPr="00916843" w:rsidRDefault="00275B99" w:rsidP="00B91BFF">
            <w:pPr>
              <w:ind w:left="360"/>
              <w:jc w:val="both"/>
              <w:rPr>
                <w:rFonts w:ascii="Univers Next Pro Condensed" w:hAnsi="Univers Next Pro Condensed"/>
              </w:rPr>
            </w:pPr>
            <w:r w:rsidRPr="00916843">
              <w:rPr>
                <w:rFonts w:ascii="Univers Next Pro Condensed" w:hAnsi="Univers Next Pro Condensed"/>
              </w:rPr>
              <w:t>Le candidat remet au Centre Pompidou une proposition indiquant et décrivant le périmètre de la campagne en détaillant</w:t>
            </w:r>
            <w:r w:rsidR="217C79E3" w:rsidRPr="00916843">
              <w:rPr>
                <w:rFonts w:ascii="Univers Next Pro Condensed" w:hAnsi="Univers Next Pro Condensed"/>
              </w:rPr>
              <w:t xml:space="preserve"> </w:t>
            </w:r>
            <w:r w:rsidRPr="00916843">
              <w:rPr>
                <w:rFonts w:ascii="Univers Next Pro Condensed" w:hAnsi="Univers Next Pro Condensed"/>
              </w:rPr>
              <w:t xml:space="preserve">: stratégie retenue, leviers utilisés, durée de la campagne, </w:t>
            </w:r>
            <w:r w:rsidR="1B040A33" w:rsidRPr="00916843">
              <w:rPr>
                <w:rFonts w:ascii="Univers Next Pro Condensed" w:hAnsi="Univers Next Pro Condensed"/>
              </w:rPr>
              <w:t>méthodologie et KPIs de suivi</w:t>
            </w:r>
            <w:r w:rsidR="006F611D" w:rsidRPr="00916843">
              <w:rPr>
                <w:rFonts w:ascii="Univers Next Pro Condensed" w:hAnsi="Univers Next Pro Condensed"/>
              </w:rPr>
              <w:t>.</w:t>
            </w:r>
          </w:p>
          <w:p w14:paraId="005693E8" w14:textId="4E8B9CBF" w:rsidR="00275B99" w:rsidRPr="00916843" w:rsidRDefault="00275B99" w:rsidP="7B6980F5">
            <w:pPr>
              <w:ind w:left="360"/>
              <w:rPr>
                <w:rFonts w:ascii="Univers Next Pro Condensed" w:hAnsi="Univers Next Pro Condensed"/>
              </w:rPr>
            </w:pPr>
          </w:p>
          <w:p w14:paraId="7C1C1786" w14:textId="77777777" w:rsidR="00275B99" w:rsidRDefault="1B040A33" w:rsidP="7B6980F5">
            <w:pPr>
              <w:ind w:left="360"/>
              <w:rPr>
                <w:rFonts w:ascii="Univers Next Pro Condensed" w:hAnsi="Univers Next Pro Condensed"/>
              </w:rPr>
            </w:pPr>
            <w:r w:rsidRPr="00916843">
              <w:rPr>
                <w:rFonts w:ascii="Univers Next Pro Condensed" w:hAnsi="Univers Next Pro Condensed"/>
              </w:rPr>
              <w:t xml:space="preserve">Pas de restriction sur le </w:t>
            </w:r>
            <w:r w:rsidR="009D3748" w:rsidRPr="00916843">
              <w:rPr>
                <w:rFonts w:ascii="Univers Next Pro Condensed" w:hAnsi="Univers Next Pro Condensed"/>
              </w:rPr>
              <w:t xml:space="preserve">type de </w:t>
            </w:r>
            <w:r w:rsidRPr="00916843">
              <w:rPr>
                <w:rFonts w:ascii="Univers Next Pro Condensed" w:hAnsi="Univers Next Pro Condensed"/>
              </w:rPr>
              <w:t>support (</w:t>
            </w:r>
            <w:proofErr w:type="spellStart"/>
            <w:r w:rsidRPr="00916843">
              <w:rPr>
                <w:rFonts w:ascii="Univers Next Pro Condensed" w:hAnsi="Univers Next Pro Condensed"/>
              </w:rPr>
              <w:t>ppt</w:t>
            </w:r>
            <w:proofErr w:type="spellEnd"/>
            <w:r w:rsidRPr="00916843">
              <w:rPr>
                <w:rFonts w:ascii="Univers Next Pro Condensed" w:hAnsi="Univers Next Pro Condensed"/>
              </w:rPr>
              <w:t xml:space="preserve">, </w:t>
            </w:r>
            <w:proofErr w:type="spellStart"/>
            <w:r w:rsidRPr="00916843">
              <w:rPr>
                <w:rFonts w:ascii="Univers Next Pro Condensed" w:hAnsi="Univers Next Pro Condensed"/>
              </w:rPr>
              <w:t>pdf</w:t>
            </w:r>
            <w:proofErr w:type="spellEnd"/>
            <w:r w:rsidRPr="00916843">
              <w:rPr>
                <w:rFonts w:ascii="Univers Next Pro Condensed" w:hAnsi="Univers Next Pro Condensed"/>
              </w:rPr>
              <w:t>, présentation online</w:t>
            </w:r>
            <w:r w:rsidR="1CF70AFF" w:rsidRPr="00916843">
              <w:rPr>
                <w:rFonts w:ascii="Univers Next Pro Condensed" w:hAnsi="Univers Next Pro Condensed"/>
              </w:rPr>
              <w:t>, etc.</w:t>
            </w:r>
            <w:r w:rsidRPr="00916843">
              <w:rPr>
                <w:rFonts w:ascii="Univers Next Pro Condensed" w:hAnsi="Univers Next Pro Condensed"/>
              </w:rPr>
              <w:t>)</w:t>
            </w:r>
            <w:r w:rsidR="0C48908B" w:rsidRPr="00916843">
              <w:rPr>
                <w:rFonts w:ascii="Univers Next Pro Condensed" w:hAnsi="Univers Next Pro Condensed"/>
              </w:rPr>
              <w:t>.</w:t>
            </w:r>
          </w:p>
          <w:p w14:paraId="6346E6F4" w14:textId="41733745" w:rsidR="00BB7D84" w:rsidRPr="00916843" w:rsidRDefault="00BB7D84" w:rsidP="7B6980F5">
            <w:pPr>
              <w:ind w:left="360"/>
              <w:rPr>
                <w:rFonts w:ascii="Univers Next Pro Condensed" w:hAnsi="Univers Next Pro Condensed"/>
              </w:rPr>
            </w:pPr>
            <w:bookmarkStart w:id="2" w:name="_GoBack"/>
            <w:bookmarkEnd w:id="2"/>
          </w:p>
        </w:tc>
      </w:tr>
      <w:bookmarkEnd w:id="1"/>
    </w:tbl>
    <w:p w14:paraId="3BB699C3" w14:textId="77777777" w:rsidR="00275B99" w:rsidRPr="00916843" w:rsidRDefault="00275B99" w:rsidP="00275B99">
      <w:pPr>
        <w:rPr>
          <w:rFonts w:ascii="Univers Next Pro Condensed" w:hAnsi="Univers Next Pro Condensed"/>
        </w:rPr>
      </w:pPr>
    </w:p>
    <w:p w14:paraId="7AA43624" w14:textId="77777777" w:rsidR="00C938C5" w:rsidRPr="00916843" w:rsidRDefault="00C938C5">
      <w:pPr>
        <w:rPr>
          <w:rFonts w:ascii="Univers Next Pro Condensed" w:hAnsi="Univers Next Pro Condensed"/>
        </w:rPr>
      </w:pPr>
    </w:p>
    <w:p w14:paraId="06B50D57" w14:textId="49081452" w:rsidR="7B6980F5" w:rsidRPr="00916843" w:rsidRDefault="7B6980F5" w:rsidP="7B6980F5">
      <w:pPr>
        <w:rPr>
          <w:rFonts w:ascii="Univers Next Pro Condensed" w:hAnsi="Univers Next Pro Condensed"/>
        </w:rPr>
      </w:pPr>
    </w:p>
    <w:p w14:paraId="718B8AF4" w14:textId="45B78898" w:rsidR="7B6980F5" w:rsidRPr="00916843" w:rsidRDefault="7B6980F5" w:rsidP="7B6980F5">
      <w:pPr>
        <w:rPr>
          <w:rFonts w:ascii="Univers Next Pro Condensed" w:hAnsi="Univers Next Pro Condensed"/>
        </w:rPr>
      </w:pPr>
    </w:p>
    <w:p w14:paraId="3B04D290" w14:textId="4F289DF9" w:rsidR="7B6980F5" w:rsidRPr="00916843" w:rsidRDefault="7B6980F5" w:rsidP="7B6980F5">
      <w:pPr>
        <w:rPr>
          <w:rFonts w:ascii="Univers Next Pro Condensed" w:hAnsi="Univers Next Pro Condensed"/>
        </w:rPr>
      </w:pPr>
    </w:p>
    <w:p w14:paraId="7C9CFBFA" w14:textId="1C923E3C" w:rsidR="7B6980F5" w:rsidRPr="00916843" w:rsidRDefault="7B6980F5" w:rsidP="7B6980F5">
      <w:pPr>
        <w:rPr>
          <w:rFonts w:ascii="Univers Next Pro Condensed" w:hAnsi="Univers Next Pro Condensed"/>
        </w:rPr>
      </w:pPr>
    </w:p>
    <w:p w14:paraId="12721970" w14:textId="475B6ABB" w:rsidR="7B6980F5" w:rsidRPr="00916843" w:rsidRDefault="7B6980F5" w:rsidP="7B6980F5">
      <w:pPr>
        <w:rPr>
          <w:rFonts w:ascii="Univers Next Pro Condensed" w:hAnsi="Univers Next Pro Condensed"/>
        </w:rPr>
      </w:pPr>
    </w:p>
    <w:p w14:paraId="563CFBCB" w14:textId="098C0DB7" w:rsidR="7B6980F5" w:rsidRPr="00916843" w:rsidRDefault="7B6980F5" w:rsidP="7B6980F5">
      <w:pPr>
        <w:rPr>
          <w:rFonts w:ascii="Univers Next Pro Condensed" w:hAnsi="Univers Next Pro Condensed"/>
        </w:rPr>
      </w:pPr>
    </w:p>
    <w:p w14:paraId="5D551756" w14:textId="21BF9706" w:rsidR="7B6980F5" w:rsidRPr="00916843" w:rsidRDefault="7B6980F5" w:rsidP="7B6980F5">
      <w:pPr>
        <w:rPr>
          <w:rFonts w:ascii="Univers Next Pro Condensed" w:hAnsi="Univers Next Pro Condensed"/>
        </w:rPr>
      </w:pPr>
    </w:p>
    <w:p w14:paraId="480214A4" w14:textId="5AD62073" w:rsidR="7B6980F5" w:rsidRPr="00916843" w:rsidRDefault="7B6980F5" w:rsidP="7B6980F5">
      <w:pPr>
        <w:rPr>
          <w:rFonts w:ascii="Univers Next Pro Condensed" w:hAnsi="Univers Next Pro Condensed"/>
        </w:rPr>
      </w:pPr>
    </w:p>
    <w:p w14:paraId="3697C7D4" w14:textId="1AE4B650" w:rsidR="7B6980F5" w:rsidRPr="00916843" w:rsidRDefault="7B6980F5" w:rsidP="7B6980F5">
      <w:pPr>
        <w:rPr>
          <w:rFonts w:ascii="Univers Next Pro Condensed" w:hAnsi="Univers Next Pro Condensed"/>
        </w:rPr>
      </w:pPr>
    </w:p>
    <w:p w14:paraId="0E6D16E6" w14:textId="4943B77D" w:rsidR="7B6980F5" w:rsidRPr="00916843" w:rsidRDefault="7B6980F5" w:rsidP="7B6980F5">
      <w:pPr>
        <w:rPr>
          <w:rFonts w:ascii="Univers Next Pro Condensed" w:hAnsi="Univers Next Pro Condensed"/>
        </w:rPr>
      </w:pPr>
    </w:p>
    <w:p w14:paraId="12599924" w14:textId="581DE446" w:rsidR="7B6980F5" w:rsidRPr="00916843" w:rsidRDefault="7B6980F5" w:rsidP="7B6980F5">
      <w:pPr>
        <w:rPr>
          <w:rFonts w:ascii="Univers Next Pro Condensed" w:hAnsi="Univers Next Pro Condensed"/>
        </w:rPr>
      </w:pPr>
    </w:p>
    <w:p w14:paraId="0D0F7CCC" w14:textId="6B71B4C3" w:rsidR="7B6980F5" w:rsidRPr="00916843" w:rsidRDefault="7B6980F5" w:rsidP="7B6980F5">
      <w:pPr>
        <w:rPr>
          <w:rFonts w:ascii="Univers Next Pro Condensed" w:hAnsi="Univers Next Pro Condensed"/>
        </w:rPr>
      </w:pPr>
    </w:p>
    <w:p w14:paraId="16E0A977" w14:textId="08C2C079" w:rsidR="7B6980F5" w:rsidRPr="00916843" w:rsidRDefault="7B6980F5" w:rsidP="7B6980F5">
      <w:pPr>
        <w:rPr>
          <w:rFonts w:ascii="Univers Next Pro Condensed" w:hAnsi="Univers Next Pro Condensed"/>
        </w:rPr>
      </w:pPr>
    </w:p>
    <w:p w14:paraId="4DBB09BB" w14:textId="43E7B13F" w:rsidR="7B6980F5" w:rsidRPr="00916843" w:rsidRDefault="7B6980F5" w:rsidP="7B6980F5">
      <w:pPr>
        <w:rPr>
          <w:rFonts w:ascii="Univers Next Pro Condensed" w:hAnsi="Univers Next Pro Condensed"/>
        </w:rPr>
      </w:pPr>
    </w:p>
    <w:p w14:paraId="1ABB3E9F" w14:textId="4EA2F310" w:rsidR="7B6980F5" w:rsidRPr="00916843" w:rsidRDefault="7B6980F5" w:rsidP="7B6980F5">
      <w:pPr>
        <w:rPr>
          <w:rFonts w:ascii="Univers Next Pro Condensed" w:hAnsi="Univers Next Pro Condensed"/>
        </w:rPr>
      </w:pPr>
    </w:p>
    <w:sectPr w:rsidR="7B6980F5" w:rsidRPr="00916843" w:rsidSect="00262756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5AFB2"/>
    <w:multiLevelType w:val="hybridMultilevel"/>
    <w:tmpl w:val="393C3A66"/>
    <w:lvl w:ilvl="0" w:tplc="C8FE59A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5944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8E8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4A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58C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E61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810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52C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6A"/>
    <w:rsid w:val="000746AF"/>
    <w:rsid w:val="00087918"/>
    <w:rsid w:val="00275B99"/>
    <w:rsid w:val="002C2A48"/>
    <w:rsid w:val="003C3DA9"/>
    <w:rsid w:val="003E464C"/>
    <w:rsid w:val="00453081"/>
    <w:rsid w:val="004764D7"/>
    <w:rsid w:val="00487AB5"/>
    <w:rsid w:val="006F611D"/>
    <w:rsid w:val="00705016"/>
    <w:rsid w:val="00743200"/>
    <w:rsid w:val="007C2142"/>
    <w:rsid w:val="007D55AB"/>
    <w:rsid w:val="008859CE"/>
    <w:rsid w:val="008C4117"/>
    <w:rsid w:val="00916843"/>
    <w:rsid w:val="009556D2"/>
    <w:rsid w:val="00995072"/>
    <w:rsid w:val="009D3748"/>
    <w:rsid w:val="009D46DE"/>
    <w:rsid w:val="00A04964"/>
    <w:rsid w:val="00B91BFF"/>
    <w:rsid w:val="00BB7D84"/>
    <w:rsid w:val="00BD796A"/>
    <w:rsid w:val="00C10AC7"/>
    <w:rsid w:val="00C2692D"/>
    <w:rsid w:val="00C938C5"/>
    <w:rsid w:val="00D17E79"/>
    <w:rsid w:val="00D30247"/>
    <w:rsid w:val="00E76AA7"/>
    <w:rsid w:val="00F0697F"/>
    <w:rsid w:val="0290F539"/>
    <w:rsid w:val="03661FA4"/>
    <w:rsid w:val="0466FF59"/>
    <w:rsid w:val="05B2CCF8"/>
    <w:rsid w:val="072A0F1F"/>
    <w:rsid w:val="074B7376"/>
    <w:rsid w:val="08D91945"/>
    <w:rsid w:val="092B0AD0"/>
    <w:rsid w:val="094E22C7"/>
    <w:rsid w:val="0A4AFC06"/>
    <w:rsid w:val="0BAA4EC0"/>
    <w:rsid w:val="0C48908B"/>
    <w:rsid w:val="0C4F664C"/>
    <w:rsid w:val="0EFF9992"/>
    <w:rsid w:val="0F4D02ED"/>
    <w:rsid w:val="0F8E6D8F"/>
    <w:rsid w:val="0FD2F1D0"/>
    <w:rsid w:val="118CD2FC"/>
    <w:rsid w:val="11AE7845"/>
    <w:rsid w:val="122C6DDB"/>
    <w:rsid w:val="155B4044"/>
    <w:rsid w:val="1593B416"/>
    <w:rsid w:val="16F9C017"/>
    <w:rsid w:val="1B040A33"/>
    <w:rsid w:val="1B9B1EE4"/>
    <w:rsid w:val="1CB49F34"/>
    <w:rsid w:val="1CF70AFF"/>
    <w:rsid w:val="1DA6A007"/>
    <w:rsid w:val="1E09179A"/>
    <w:rsid w:val="1FED814D"/>
    <w:rsid w:val="1FF4E75C"/>
    <w:rsid w:val="2158BC69"/>
    <w:rsid w:val="217C79E3"/>
    <w:rsid w:val="235F0F0D"/>
    <w:rsid w:val="252C584B"/>
    <w:rsid w:val="25713036"/>
    <w:rsid w:val="270FA358"/>
    <w:rsid w:val="27892BE1"/>
    <w:rsid w:val="291B5584"/>
    <w:rsid w:val="29E7E967"/>
    <w:rsid w:val="2BA67101"/>
    <w:rsid w:val="2CD05621"/>
    <w:rsid w:val="2D46EA69"/>
    <w:rsid w:val="2DD57CE7"/>
    <w:rsid w:val="2E02C141"/>
    <w:rsid w:val="2E213C7E"/>
    <w:rsid w:val="2E368700"/>
    <w:rsid w:val="2FA9778E"/>
    <w:rsid w:val="2FC9A782"/>
    <w:rsid w:val="30952618"/>
    <w:rsid w:val="30E163CC"/>
    <w:rsid w:val="3129ACD4"/>
    <w:rsid w:val="3576FE14"/>
    <w:rsid w:val="3625BAEB"/>
    <w:rsid w:val="36E0CAA6"/>
    <w:rsid w:val="36E9E0EB"/>
    <w:rsid w:val="3AA86AC6"/>
    <w:rsid w:val="3AD67C23"/>
    <w:rsid w:val="3C5F9BB8"/>
    <w:rsid w:val="3CA9A845"/>
    <w:rsid w:val="3F20F72A"/>
    <w:rsid w:val="3FF7B6DF"/>
    <w:rsid w:val="401C8AB6"/>
    <w:rsid w:val="422DF5D7"/>
    <w:rsid w:val="4378BA32"/>
    <w:rsid w:val="439102AB"/>
    <w:rsid w:val="44EE2B72"/>
    <w:rsid w:val="45AD16E8"/>
    <w:rsid w:val="45C29672"/>
    <w:rsid w:val="4633CAD8"/>
    <w:rsid w:val="4646CE2D"/>
    <w:rsid w:val="46603E81"/>
    <w:rsid w:val="4688A4D7"/>
    <w:rsid w:val="476EB0AD"/>
    <w:rsid w:val="478435C5"/>
    <w:rsid w:val="48E0182B"/>
    <w:rsid w:val="4A4C7A06"/>
    <w:rsid w:val="4AB5736F"/>
    <w:rsid w:val="4D52AD2F"/>
    <w:rsid w:val="4EE276F8"/>
    <w:rsid w:val="503ADC93"/>
    <w:rsid w:val="50E472C5"/>
    <w:rsid w:val="522426A3"/>
    <w:rsid w:val="53164EA3"/>
    <w:rsid w:val="5400E020"/>
    <w:rsid w:val="54309FF1"/>
    <w:rsid w:val="54364E4C"/>
    <w:rsid w:val="54BC462A"/>
    <w:rsid w:val="54C5CCD6"/>
    <w:rsid w:val="56A198E1"/>
    <w:rsid w:val="56FC7233"/>
    <w:rsid w:val="574621C5"/>
    <w:rsid w:val="5747B3E5"/>
    <w:rsid w:val="57E76559"/>
    <w:rsid w:val="5860A19D"/>
    <w:rsid w:val="58938064"/>
    <w:rsid w:val="5A286916"/>
    <w:rsid w:val="5AEF34F9"/>
    <w:rsid w:val="5B8322B7"/>
    <w:rsid w:val="5C8BC6F3"/>
    <w:rsid w:val="5C9627B7"/>
    <w:rsid w:val="5D12845C"/>
    <w:rsid w:val="5D8BDCB1"/>
    <w:rsid w:val="60E7849C"/>
    <w:rsid w:val="61EF3F07"/>
    <w:rsid w:val="63265B0D"/>
    <w:rsid w:val="6552326E"/>
    <w:rsid w:val="6648553B"/>
    <w:rsid w:val="682A385D"/>
    <w:rsid w:val="688AA100"/>
    <w:rsid w:val="6961197F"/>
    <w:rsid w:val="6AC9C25B"/>
    <w:rsid w:val="6BFF53A9"/>
    <w:rsid w:val="6C5B73F1"/>
    <w:rsid w:val="6F0C4F2E"/>
    <w:rsid w:val="6F3803BC"/>
    <w:rsid w:val="6FA72ADB"/>
    <w:rsid w:val="6FE351D7"/>
    <w:rsid w:val="72769C34"/>
    <w:rsid w:val="7289B34B"/>
    <w:rsid w:val="72A6A878"/>
    <w:rsid w:val="737F2133"/>
    <w:rsid w:val="738CAC92"/>
    <w:rsid w:val="73E9B739"/>
    <w:rsid w:val="7417F8F4"/>
    <w:rsid w:val="74508CB5"/>
    <w:rsid w:val="746C131C"/>
    <w:rsid w:val="78C00737"/>
    <w:rsid w:val="797D4F62"/>
    <w:rsid w:val="7AB3F8B9"/>
    <w:rsid w:val="7AC5C0B1"/>
    <w:rsid w:val="7ADE471B"/>
    <w:rsid w:val="7B56E582"/>
    <w:rsid w:val="7B6980F5"/>
    <w:rsid w:val="7B8B7F66"/>
    <w:rsid w:val="7B9FDAE1"/>
    <w:rsid w:val="7BDC7EC1"/>
    <w:rsid w:val="7BDF6601"/>
    <w:rsid w:val="7C1BF097"/>
    <w:rsid w:val="7C48289B"/>
    <w:rsid w:val="7C69FA12"/>
    <w:rsid w:val="7D1DF012"/>
    <w:rsid w:val="7DA48208"/>
    <w:rsid w:val="7DFDFAA3"/>
    <w:rsid w:val="7E36E8A8"/>
    <w:rsid w:val="7EF2A1C2"/>
    <w:rsid w:val="7F7DDF05"/>
    <w:rsid w:val="7FAA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D751B"/>
  <w15:chartTrackingRefBased/>
  <w15:docId w15:val="{DA8F2294-8CE8-4028-9497-E1ADD42F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859CE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859CE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432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320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320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32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320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320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3200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Standard">
    <w:name w:val="Standard"/>
    <w:basedOn w:val="Normal"/>
    <w:uiPriority w:val="99"/>
    <w:rsid w:val="00995072"/>
    <w:pPr>
      <w:spacing w:before="240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D46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D46D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ntrepompidou.fr/fr/fermeture-provisoire-pour-travaux/la-programmation-pendant-la-fermetur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IMMARIGEON Antoine</dc:creator>
  <cp:keywords/>
  <dc:description/>
  <cp:lastModifiedBy>HERBAUX Sabrina</cp:lastModifiedBy>
  <cp:revision>12</cp:revision>
  <dcterms:created xsi:type="dcterms:W3CDTF">2020-05-15T07:48:00Z</dcterms:created>
  <dcterms:modified xsi:type="dcterms:W3CDTF">2024-12-04T17:58:00Z</dcterms:modified>
</cp:coreProperties>
</file>