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195" w:rsidRDefault="004A6946" w:rsidP="00001255">
      <w:pPr>
        <w:ind w:left="3420" w:right="6220"/>
        <w:rPr>
          <w:sz w:val="2"/>
        </w:rPr>
      </w:pPr>
      <w:r>
        <w:rPr>
          <w:noProof/>
          <w:sz w:val="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209925" cy="571500"/>
            <wp:effectExtent l="0" t="0" r="9525" b="0"/>
            <wp:wrapTight wrapText="bothSides">
              <wp:wrapPolygon edited="0">
                <wp:start x="1410" y="0"/>
                <wp:lineTo x="0" y="3600"/>
                <wp:lineTo x="0" y="14400"/>
                <wp:lineTo x="769" y="20880"/>
                <wp:lineTo x="1154" y="20880"/>
                <wp:lineTo x="20382" y="20880"/>
                <wp:lineTo x="20767" y="20880"/>
                <wp:lineTo x="21536" y="14400"/>
                <wp:lineTo x="21536" y="7200"/>
                <wp:lineTo x="20895" y="2160"/>
                <wp:lineTo x="20126" y="0"/>
                <wp:lineTo x="141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ci_AUR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2291">
        <w:rPr>
          <w:sz w:val="2"/>
        </w:rPr>
        <w:br/>
      </w: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EA2291" w:rsidRDefault="00EA2291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657195" w:rsidRDefault="00657195" w:rsidP="00001255">
      <w:pPr>
        <w:ind w:left="3420" w:right="6220"/>
        <w:rPr>
          <w:sz w:val="2"/>
        </w:rPr>
      </w:pPr>
    </w:p>
    <w:p w:rsidR="007020A9" w:rsidRDefault="007020A9" w:rsidP="00001255">
      <w:pPr>
        <w:ind w:left="3420" w:right="6220"/>
        <w:rPr>
          <w:sz w:val="2"/>
        </w:rPr>
      </w:pPr>
    </w:p>
    <w:p w:rsidR="007020A9" w:rsidRDefault="007020A9" w:rsidP="00001255">
      <w:pPr>
        <w:ind w:left="3420" w:right="6220"/>
        <w:rPr>
          <w:sz w:val="2"/>
        </w:rPr>
      </w:pPr>
    </w:p>
    <w:p w:rsidR="00EA2291" w:rsidRDefault="007020A9" w:rsidP="00C643DD">
      <w:pPr>
        <w:ind w:left="3420" w:right="6220"/>
        <w:rPr>
          <w:sz w:val="2"/>
        </w:rPr>
      </w:pPr>
      <w:r>
        <w:rPr>
          <w:sz w:val="2"/>
        </w:rPr>
        <w:t xml:space="preserve">           </w:t>
      </w: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4E0007" w:rsidRDefault="004E0007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6D2B2F" w:rsidRPr="006D2B2F" w:rsidRDefault="006D2B2F" w:rsidP="0096085B">
      <w:pPr>
        <w:ind w:right="6220"/>
        <w:rPr>
          <w:sz w:val="12"/>
          <w:szCs w:val="12"/>
        </w:rPr>
      </w:pPr>
    </w:p>
    <w:p w:rsidR="006D2B2F" w:rsidRPr="006D2B2F" w:rsidRDefault="006D2B2F" w:rsidP="00C643DD">
      <w:pPr>
        <w:ind w:left="3420" w:right="6220"/>
        <w:rPr>
          <w:sz w:val="12"/>
          <w:szCs w:val="12"/>
        </w:rPr>
      </w:pPr>
    </w:p>
    <w:p w:rsidR="006D2B2F" w:rsidRDefault="006D2B2F" w:rsidP="00C643DD">
      <w:pPr>
        <w:ind w:left="3420" w:right="6220"/>
        <w:rPr>
          <w:sz w:val="2"/>
        </w:rPr>
      </w:pPr>
    </w:p>
    <w:p w:rsidR="006D2B2F" w:rsidRDefault="006D2B2F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p w:rsidR="00EA2291" w:rsidRDefault="00EA2291" w:rsidP="00C643DD">
      <w:pPr>
        <w:ind w:left="3420" w:right="6220"/>
        <w:rPr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Tr="006408B8">
        <w:tc>
          <w:tcPr>
            <w:tcW w:w="15006" w:type="dxa"/>
            <w:shd w:val="clear" w:color="auto" w:fill="44546A" w:themeFill="text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EA2291" w:rsidRDefault="00EA2291" w:rsidP="006D0EE9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r w:rsidRPr="00EA2291"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CADRE DE REPONSE TECHNIQUE</w:t>
            </w:r>
          </w:p>
        </w:tc>
      </w:tr>
    </w:tbl>
    <w:p w:rsidR="00EA2291" w:rsidRDefault="00EA2291" w:rsidP="00EA2291">
      <w:pPr>
        <w:spacing w:line="240" w:lineRule="exact"/>
      </w:pPr>
      <w:r>
        <w:t xml:space="preserve"> </w:t>
      </w:r>
    </w:p>
    <w:p w:rsidR="00360FB3" w:rsidRDefault="00360FB3" w:rsidP="00360FB3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6"/>
        </w:rPr>
      </w:pPr>
      <w:bookmarkStart w:id="0" w:name="_Hlk140663342"/>
      <w:r w:rsidRPr="00C0391F">
        <w:rPr>
          <w:rFonts w:ascii="DejaVu Sans" w:eastAsia="DejaVu Sans" w:hAnsi="DejaVu Sans" w:cs="DejaVu Sans"/>
          <w:b/>
          <w:color w:val="000000"/>
          <w:sz w:val="26"/>
        </w:rPr>
        <w:t>ACCORD-CADRE DE FOURNITURES COURANTES ET DE SERVICES</w:t>
      </w:r>
    </w:p>
    <w:p w:rsidR="00360FB3" w:rsidRPr="00C0391F" w:rsidRDefault="00360FB3" w:rsidP="00360FB3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6"/>
        </w:rPr>
      </w:pPr>
    </w:p>
    <w:bookmarkEnd w:id="0"/>
    <w:p w:rsidR="006408B8" w:rsidRDefault="006408B8" w:rsidP="006408B8">
      <w:pPr>
        <w:jc w:val="center"/>
        <w:rPr>
          <w:rFonts w:ascii="DejaVu Sans" w:eastAsia="DejaVu Sans" w:hAnsi="DejaVu Sans" w:cs="DejaVu Sans"/>
          <w:b/>
          <w:color w:val="000000"/>
        </w:rPr>
      </w:pPr>
    </w:p>
    <w:p w:rsidR="00AC0590" w:rsidRPr="00AC0590" w:rsidRDefault="00AC0590" w:rsidP="00AC0590">
      <w:pPr>
        <w:ind w:left="20" w:right="20"/>
        <w:jc w:val="center"/>
        <w:rPr>
          <w:rFonts w:ascii="DejaVu Sans" w:eastAsia="DejaVu Sans" w:hAnsi="DejaVu Sans" w:cs="DejaVu Sans"/>
          <w:color w:val="000000"/>
          <w:sz w:val="22"/>
          <w:szCs w:val="22"/>
        </w:rPr>
      </w:pPr>
      <w:r w:rsidRPr="00AC0590">
        <w:rPr>
          <w:rFonts w:ascii="DejaVu Sans" w:eastAsia="DejaVu Sans" w:hAnsi="DejaVu Sans" w:cs="DejaVu Sans"/>
          <w:color w:val="000000"/>
          <w:sz w:val="22"/>
          <w:szCs w:val="22"/>
        </w:rPr>
        <w:t>Procédure adaptée ouverte</w:t>
      </w:r>
    </w:p>
    <w:p w:rsidR="00AC0590" w:rsidRPr="00AC0590" w:rsidRDefault="00AC0590" w:rsidP="00AC0590">
      <w:pPr>
        <w:ind w:left="20" w:right="20"/>
        <w:jc w:val="center"/>
        <w:rPr>
          <w:rFonts w:ascii="DejaVu Sans" w:eastAsia="DejaVu Sans" w:hAnsi="DejaVu Sans" w:cs="DejaVu Sans"/>
          <w:color w:val="000000"/>
          <w:sz w:val="22"/>
          <w:szCs w:val="22"/>
        </w:rPr>
      </w:pPr>
      <w:r w:rsidRPr="00AC0590">
        <w:rPr>
          <w:rFonts w:ascii="DejaVu Sans" w:eastAsia="DejaVu Sans" w:hAnsi="DejaVu Sans" w:cs="DejaVu Sans"/>
          <w:color w:val="000000"/>
          <w:sz w:val="22"/>
          <w:szCs w:val="22"/>
        </w:rPr>
        <w:t>Articles L. 2123-1 et R. 2123-1 3° du Code de la Commande Publique</w:t>
      </w:r>
    </w:p>
    <w:p w:rsidR="00B30656" w:rsidRDefault="00B30656" w:rsidP="00B30656">
      <w:pPr>
        <w:spacing w:line="240" w:lineRule="exact"/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A35BBC" w:rsidTr="00AC0590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4A6946" w:rsidRDefault="004A6946" w:rsidP="004A6946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2469R08MP</w:t>
            </w:r>
          </w:p>
          <w:p w:rsidR="00AC0590" w:rsidRDefault="00AC0590" w:rsidP="004E0007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:rsidR="004A6946" w:rsidRDefault="004A6946" w:rsidP="004A6946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ACCORD-CADRE DE PRESTATION DE RECOUVREMENT DES CREANCES </w:t>
            </w:r>
          </w:p>
          <w:p w:rsidR="001A0972" w:rsidRPr="004A6946" w:rsidRDefault="004A6946" w:rsidP="004A6946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POUR LE COMPTE DES CCI DE LA REGION AUVERGNE-RHONE-ALPES</w:t>
            </w:r>
          </w:p>
        </w:tc>
      </w:tr>
    </w:tbl>
    <w:p w:rsidR="00001255" w:rsidRPr="00A35BBC" w:rsidRDefault="00001255" w:rsidP="00001255">
      <w:pPr>
        <w:spacing w:line="240" w:lineRule="exact"/>
        <w:rPr>
          <w:lang w:val="en-US"/>
        </w:rPr>
      </w:pPr>
    </w:p>
    <w:p w:rsidR="00A95C4B" w:rsidRPr="00A95C4B" w:rsidRDefault="00A35BBC" w:rsidP="00A35BBC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  <w:r w:rsidRPr="00B670A5">
        <w:rPr>
          <w:rFonts w:ascii="DejaVu Sans" w:eastAsia="DejaVu Sans" w:hAnsi="DejaVu Sans" w:cs="DejaVu Sans"/>
          <w:b/>
          <w:color w:val="C00000"/>
          <w:sz w:val="22"/>
          <w:szCs w:val="22"/>
          <w:highlight w:val="yellow"/>
        </w:rPr>
        <w:t>Le candidat doit obligatoirement compléter le cadre de réponse joint sans renvoi vers un mémoire technique.</w:t>
      </w:r>
    </w:p>
    <w:p w:rsidR="00B30656" w:rsidRPr="002060A1" w:rsidRDefault="00B30656" w:rsidP="00B30656">
      <w:pPr>
        <w:pStyle w:val="Corpsdetexte"/>
        <w:rPr>
          <w:rFonts w:ascii="DejaVu Sans" w:hAnsi="DejaVu Sans" w:cs="DejaVu Sans"/>
          <w:sz w:val="22"/>
          <w:szCs w:val="22"/>
          <w:u w:val="single"/>
        </w:rPr>
      </w:pPr>
    </w:p>
    <w:p w:rsidR="00B670A5" w:rsidRDefault="00B30656" w:rsidP="00B30656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:rsidR="00B30656" w:rsidRDefault="00B30656" w:rsidP="00B30656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:rsidR="00B30656" w:rsidRDefault="00B30656" w:rsidP="00B30656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:rsidR="002A0D58" w:rsidRDefault="002A0D58" w:rsidP="00B30656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2060A1" w:rsidRDefault="00B30656" w:rsidP="00B30656">
      <w:pPr>
        <w:pStyle w:val="Corpsdetexte"/>
        <w:rPr>
          <w:rFonts w:ascii="DejaVu Sans" w:hAnsi="DejaVu Sans" w:cs="DejaVu Sans"/>
          <w:b w:val="0"/>
          <w:sz w:val="22"/>
          <w:szCs w:val="22"/>
          <w:u w:val="single"/>
        </w:rPr>
      </w:pPr>
      <w:r>
        <w:rPr>
          <w:rFonts w:ascii="DejaVu Sans" w:hAnsi="DejaVu Sans" w:cs="DejaVu Sans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:rsidR="002060A1" w:rsidRDefault="002060A1">
      <w:pPr>
        <w:widowControl/>
        <w:autoSpaceDE/>
        <w:autoSpaceDN/>
        <w:adjustRightInd/>
        <w:rPr>
          <w:rFonts w:ascii="DejaVu Sans" w:hAnsi="DejaVu Sans" w:cs="DejaVu Sans"/>
          <w:bCs/>
          <w:sz w:val="22"/>
          <w:szCs w:val="22"/>
          <w:u w:val="single"/>
        </w:rPr>
      </w:pPr>
      <w:r>
        <w:rPr>
          <w:rFonts w:ascii="DejaVu Sans" w:hAnsi="DejaVu Sans" w:cs="DejaVu Sans"/>
          <w:b/>
          <w:sz w:val="22"/>
          <w:szCs w:val="22"/>
          <w:u w:val="single"/>
        </w:rPr>
        <w:br w:type="page"/>
      </w:r>
    </w:p>
    <w:p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lastRenderedPageBreak/>
        <w:t>échéa</w:t>
      </w:r>
    </w:p>
    <w:p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:rsidR="004B5C9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:rsidR="00683BC9" w:rsidRPr="00EB6239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EB6239">
        <w:rPr>
          <w:rFonts w:ascii="DejaVu Sans" w:hAnsi="DejaVu Sans" w:cs="DejaVu Sans"/>
          <w:sz w:val="22"/>
          <w:szCs w:val="22"/>
        </w:rPr>
        <w:t xml:space="preserve">Raison ou dénomination sociale : </w:t>
      </w:r>
    </w:p>
    <w:p w:rsidR="00683BC9" w:rsidRPr="00EB6239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2"/>
          <w:szCs w:val="22"/>
        </w:rPr>
      </w:pPr>
      <w:r w:rsidRPr="00EB6239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EB6239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EB6239">
        <w:rPr>
          <w:rFonts w:ascii="DejaVu Sans" w:hAnsi="DejaVu Sans" w:cs="DejaVu Sans"/>
          <w:sz w:val="22"/>
          <w:szCs w:val="22"/>
        </w:rPr>
        <w:t>Adresse</w:t>
      </w:r>
    </w:p>
    <w:p w:rsidR="00683BC9" w:rsidRPr="00EB623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EB6239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EB6239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EB6239">
        <w:rPr>
          <w:rFonts w:ascii="DejaVu Sans" w:hAnsi="DejaVu Sans" w:cs="DejaVu Sans"/>
          <w:sz w:val="22"/>
          <w:szCs w:val="22"/>
        </w:rPr>
        <w:t>Téléphone</w:t>
      </w:r>
    </w:p>
    <w:p w:rsidR="00683BC9" w:rsidRPr="00EB623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EB6239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EB6239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EB6239">
        <w:rPr>
          <w:rFonts w:ascii="DejaVu Sans" w:hAnsi="DejaVu Sans" w:cs="DejaVu Sans"/>
          <w:sz w:val="22"/>
          <w:szCs w:val="22"/>
        </w:rPr>
        <w:t>Courriel</w:t>
      </w:r>
    </w:p>
    <w:p w:rsidR="00683BC9" w:rsidRPr="00EB623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EB6239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EB6239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EB6239">
        <w:rPr>
          <w:rFonts w:ascii="DejaVu Sans" w:hAnsi="DejaVu Sans" w:cs="DejaVu Sans"/>
          <w:sz w:val="22"/>
          <w:szCs w:val="22"/>
        </w:rPr>
        <w:t xml:space="preserve">Personne à contacter pour toutes questions sur l’offre du candidat : </w:t>
      </w:r>
    </w:p>
    <w:p w:rsidR="00683BC9" w:rsidRPr="00001255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5661FA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DejaVu Sans" w:hAnsi="DejaVu Sans" w:cs="DejaVu Sans"/>
          <w:sz w:val="20"/>
          <w:szCs w:val="20"/>
        </w:rPr>
      </w:pPr>
    </w:p>
    <w:p w:rsidR="00683BC9" w:rsidRDefault="00552E00" w:rsidP="00683BC9">
      <w:pPr>
        <w:widowControl/>
        <w:rPr>
          <w:rFonts w:ascii="DejaVu Sans" w:hAnsi="DejaVu Sans" w:cs="DejaVu San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3FBD8" wp14:editId="3FE18CC6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E00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DejaVu Sans" w:hAnsi="DejaVu Sans" w:cs="DejaVu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3FBD8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">
                <v:textbox>
                  <w:txbxContent>
                    <w:p w:rsidR="00552E00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DejaVu Sans" w:hAnsi="DejaVu Sans" w:cs="DejaVu Sans"/>
                          <w:sz w:val="22"/>
                          <w:szCs w:val="22"/>
                        </w:rPr>
                      </w:pP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B5C9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:rsidR="002D3DCB" w:rsidRPr="004950A8" w:rsidRDefault="004B5C93" w:rsidP="004950A8">
      <w:r>
        <w:br w:type="page"/>
      </w:r>
    </w:p>
    <w:p w:rsidR="003B7461" w:rsidRPr="004B5C93" w:rsidRDefault="003B7461" w:rsidP="003B7461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60FB3">
        <w:rPr>
          <w:rFonts w:ascii="DejaVu Sans" w:hAnsi="DejaVu Sans" w:cs="DejaVu Sans"/>
          <w:b/>
          <w:bCs/>
          <w:caps/>
          <w:color w:val="FFFFFF"/>
        </w:rPr>
        <w:lastRenderedPageBreak/>
        <w:t xml:space="preserve">Moyens </w:t>
      </w:r>
      <w:r w:rsidR="005733FD">
        <w:rPr>
          <w:rFonts w:ascii="DejaVu Sans" w:hAnsi="DejaVu Sans" w:cs="DejaVu Sans"/>
          <w:b/>
          <w:bCs/>
          <w:caps/>
          <w:color w:val="FFFFFF"/>
        </w:rPr>
        <w:t xml:space="preserve">AFFECTES A LA PRESTATION </w:t>
      </w:r>
    </w:p>
    <w:p w:rsidR="003E5C6C" w:rsidRDefault="003E5C6C" w:rsidP="004B5C93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5382"/>
        <w:gridCol w:w="9214"/>
      </w:tblGrid>
      <w:tr w:rsidR="00DE3E90" w:rsidRPr="003B1A67" w:rsidTr="00FE0BBC">
        <w:trPr>
          <w:trHeight w:val="358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:rsidR="00670723" w:rsidRDefault="00FE0BBC" w:rsidP="00FE0BBC">
            <w:pPr>
              <w:rPr>
                <w:b/>
                <w:color w:val="44546A" w:themeColor="text2"/>
                <w:sz w:val="28"/>
                <w:szCs w:val="28"/>
              </w:rPr>
            </w:pPr>
            <w:r w:rsidRPr="005733FD">
              <w:rPr>
                <w:b/>
                <w:color w:val="44546A" w:themeColor="text2"/>
                <w:sz w:val="28"/>
                <w:szCs w:val="28"/>
              </w:rPr>
              <w:t>2 – VALEUR TECHNIQUE</w:t>
            </w:r>
            <w:r w:rsidR="007441AF">
              <w:rPr>
                <w:b/>
                <w:color w:val="44546A" w:themeColor="text2"/>
                <w:sz w:val="28"/>
                <w:szCs w:val="28"/>
              </w:rPr>
              <w:t xml:space="preserve"> – 35 points</w:t>
            </w:r>
          </w:p>
          <w:p w:rsidR="00DE3E90" w:rsidRPr="00FE0BBC" w:rsidRDefault="00670723" w:rsidP="00FE0BBC">
            <w:pPr>
              <w:rPr>
                <w:b/>
                <w:sz w:val="28"/>
                <w:szCs w:val="28"/>
              </w:rPr>
            </w:pPr>
            <w:r w:rsidRPr="003413FD">
              <w:rPr>
                <w:rFonts w:ascii="Calibri" w:eastAsia="Calibri" w:hAnsi="Calibri" w:cs="Calibri"/>
                <w:b/>
                <w:color w:val="000000"/>
              </w:rPr>
              <w:t>Pertinence de la méthodologie et des outils prévus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 </w:t>
            </w:r>
            <w:r w:rsidR="00FE0BBC" w:rsidRPr="005733FD">
              <w:rPr>
                <w:b/>
                <w:color w:val="44546A" w:themeColor="text2"/>
                <w:sz w:val="28"/>
                <w:szCs w:val="28"/>
                <w:shd w:val="clear" w:color="auto" w:fill="FFFF00"/>
              </w:rPr>
              <w:t xml:space="preserve"> </w:t>
            </w:r>
          </w:p>
        </w:tc>
      </w:tr>
      <w:tr w:rsidR="00136202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670723" w:rsidRPr="00C74081" w:rsidRDefault="00670723" w:rsidP="00136202">
            <w:pPr>
              <w:spacing w:before="120" w:after="40"/>
              <w:ind w:left="680" w:right="80"/>
              <w:rPr>
                <w:rFonts w:ascii="Calibri" w:eastAsia="Calibri" w:hAnsi="Calibri" w:cs="Calibri"/>
                <w:b/>
                <w:i/>
                <w:color w:val="000000"/>
              </w:rPr>
            </w:pP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>2.1</w:t>
            </w:r>
            <w:r w:rsidR="00197181" w:rsidRPr="00C74081">
              <w:rPr>
                <w:rFonts w:ascii="Calibri" w:eastAsia="Calibri" w:hAnsi="Calibri" w:cs="Calibri"/>
                <w:b/>
                <w:i/>
                <w:color w:val="000000"/>
              </w:rPr>
              <w:t xml:space="preserve"> </w:t>
            </w: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>-</w:t>
            </w:r>
            <w:r w:rsidR="00197181" w:rsidRPr="00C74081">
              <w:rPr>
                <w:rFonts w:ascii="Calibri" w:eastAsia="Calibri" w:hAnsi="Calibri" w:cs="Calibri"/>
                <w:b/>
                <w:i/>
                <w:color w:val="000000"/>
              </w:rPr>
              <w:t xml:space="preserve"> </w:t>
            </w: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 xml:space="preserve">Méthodologie détaillée pour la procédure de recouvrement de créances en phase amiable, en phase contentieuse. Capacités d’adaptation au contexte </w:t>
            </w:r>
          </w:p>
          <w:p w:rsidR="00136202" w:rsidRPr="00C74081" w:rsidRDefault="00670723" w:rsidP="00136202">
            <w:pPr>
              <w:spacing w:before="120" w:after="40"/>
              <w:ind w:left="680" w:right="80"/>
              <w:rPr>
                <w:rFonts w:ascii="DejaVu Sans" w:eastAsia="DejaVu Sans" w:hAnsi="DejaVu Sans" w:cs="DejaVu Sans"/>
                <w:b/>
                <w:i/>
                <w:color w:val="000000"/>
                <w:sz w:val="20"/>
              </w:rPr>
            </w:pP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 xml:space="preserve"> (10 points)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136202" w:rsidRDefault="00136202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FE0BBC" w:rsidRDefault="00FE0BBC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FE0BBC" w:rsidRDefault="00FE0BBC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FE0BBC" w:rsidRDefault="00FE0BBC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FE0BBC" w:rsidRDefault="00FE0BBC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C21329" w:rsidRDefault="00C21329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C21329" w:rsidRDefault="00C21329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FE0BBC" w:rsidRDefault="00FE0BBC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C74081" w:rsidRPr="003B1A67" w:rsidTr="005D7D26">
        <w:trPr>
          <w:trHeight w:val="1459"/>
        </w:trPr>
        <w:tc>
          <w:tcPr>
            <w:tcW w:w="5382" w:type="dxa"/>
            <w:shd w:val="clear" w:color="auto" w:fill="auto"/>
            <w:vAlign w:val="center"/>
          </w:tcPr>
          <w:p w:rsidR="005D7D26" w:rsidRDefault="00C74081" w:rsidP="00C74081">
            <w:pPr>
              <w:spacing w:line="293" w:lineRule="exact"/>
              <w:ind w:left="680" w:right="80"/>
              <w:rPr>
                <w:rFonts w:ascii="Calibri" w:eastAsia="Calibri" w:hAnsi="Calibri" w:cs="Calibri"/>
                <w:b/>
                <w:i/>
                <w:color w:val="000000"/>
              </w:rPr>
            </w:pP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 xml:space="preserve">2.2 - Présentation du portail client pour le suivi et le </w:t>
            </w:r>
            <w:proofErr w:type="spellStart"/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>reporting</w:t>
            </w:r>
            <w:proofErr w:type="spellEnd"/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> </w:t>
            </w:r>
          </w:p>
          <w:p w:rsidR="005D7D26" w:rsidRPr="005D7D26" w:rsidRDefault="005D7D26" w:rsidP="00C74081">
            <w:pPr>
              <w:spacing w:line="293" w:lineRule="exact"/>
              <w:ind w:left="680" w:right="80"/>
              <w:rPr>
                <w:rFonts w:ascii="Calibri" w:eastAsia="Calibri" w:hAnsi="Calibri" w:cs="Calibri"/>
                <w:b/>
                <w:i/>
                <w:color w:val="000000"/>
                <w:sz w:val="12"/>
                <w:szCs w:val="12"/>
              </w:rPr>
            </w:pPr>
          </w:p>
          <w:p w:rsidR="00C74081" w:rsidRPr="00C74081" w:rsidRDefault="00C74081" w:rsidP="005D7D26">
            <w:pPr>
              <w:tabs>
                <w:tab w:val="left" w:pos="1335"/>
              </w:tabs>
              <w:spacing w:line="293" w:lineRule="exact"/>
              <w:ind w:left="680" w:right="80"/>
              <w:rPr>
                <w:rFonts w:ascii="Calibri" w:eastAsia="Calibri" w:hAnsi="Calibri" w:cs="Calibri"/>
                <w:b/>
                <w:i/>
                <w:color w:val="000000"/>
              </w:rPr>
            </w:pP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>(15 points)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C74081" w:rsidRDefault="00C74081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C74081" w:rsidRDefault="00C74081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C74081" w:rsidRDefault="00C74081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C74081" w:rsidRDefault="00C74081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C74081" w:rsidRPr="007E2794" w:rsidRDefault="00C74081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C74081" w:rsidRPr="003B1A67" w:rsidTr="001455D3">
        <w:trPr>
          <w:trHeight w:val="1050"/>
        </w:trPr>
        <w:tc>
          <w:tcPr>
            <w:tcW w:w="5382" w:type="dxa"/>
            <w:shd w:val="clear" w:color="auto" w:fill="auto"/>
            <w:vAlign w:val="center"/>
          </w:tcPr>
          <w:p w:rsidR="00C74081" w:rsidRPr="00C74081" w:rsidRDefault="00C74081" w:rsidP="00C74081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i/>
                <w:color w:val="000000"/>
              </w:rPr>
            </w:pPr>
            <w:r w:rsidRPr="00C74081">
              <w:rPr>
                <w:rFonts w:ascii="Calibri" w:eastAsia="Calibri" w:hAnsi="Calibri" w:cs="Calibri"/>
                <w:i/>
                <w:color w:val="000000"/>
              </w:rPr>
              <w:t xml:space="preserve">Arborescence CCIT/CCIR, avec confidentialité par CCI et vue consolidée au niveau régional  </w:t>
            </w:r>
          </w:p>
          <w:p w:rsidR="00C74081" w:rsidRPr="00C74081" w:rsidRDefault="00C74081" w:rsidP="00670723">
            <w:pPr>
              <w:spacing w:line="293" w:lineRule="exact"/>
              <w:ind w:left="680" w:right="80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  <w:tc>
          <w:tcPr>
            <w:tcW w:w="9214" w:type="dxa"/>
            <w:shd w:val="clear" w:color="auto" w:fill="auto"/>
            <w:vAlign w:val="center"/>
          </w:tcPr>
          <w:p w:rsidR="00C74081" w:rsidRDefault="00C74081" w:rsidP="00136202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37166D">
        <w:trPr>
          <w:trHeight w:val="1023"/>
        </w:trPr>
        <w:tc>
          <w:tcPr>
            <w:tcW w:w="5382" w:type="dxa"/>
            <w:shd w:val="clear" w:color="auto" w:fill="auto"/>
            <w:vAlign w:val="center"/>
          </w:tcPr>
          <w:p w:rsidR="000E6230" w:rsidRPr="000E6230" w:rsidRDefault="000E6230" w:rsidP="000E6230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i/>
                <w:color w:val="000000"/>
              </w:rPr>
            </w:pPr>
            <w:r w:rsidRPr="003413FD">
              <w:rPr>
                <w:rFonts w:ascii="Calibri" w:eastAsia="Calibri" w:hAnsi="Calibri" w:cs="Calibri"/>
                <w:i/>
                <w:color w:val="000000"/>
              </w:rPr>
              <w:t>Mandats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Pr="000E6230" w:rsidRDefault="000E6230" w:rsidP="000E6230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i/>
                <w:color w:val="000000"/>
              </w:rPr>
            </w:pPr>
            <w:r w:rsidRPr="003413FD">
              <w:rPr>
                <w:rFonts w:ascii="Calibri" w:eastAsia="Calibri" w:hAnsi="Calibri" w:cs="Calibri"/>
                <w:i/>
                <w:color w:val="000000"/>
              </w:rPr>
              <w:t xml:space="preserve">Import en masse des dossiers via matrice </w:t>
            </w:r>
            <w:proofErr w:type="spellStart"/>
            <w:r w:rsidRPr="003413FD">
              <w:rPr>
                <w:rFonts w:ascii="Calibri" w:eastAsia="Calibri" w:hAnsi="Calibri" w:cs="Calibri"/>
                <w:i/>
                <w:color w:val="000000"/>
              </w:rPr>
              <w:t>excel</w:t>
            </w:r>
            <w:proofErr w:type="spellEnd"/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Pr="00670723" w:rsidRDefault="000E6230" w:rsidP="0037166D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b/>
                <w:i/>
                <w:color w:val="000000"/>
              </w:rPr>
            </w:pPr>
            <w:r w:rsidRPr="003413FD">
              <w:rPr>
                <w:rFonts w:ascii="Calibri" w:eastAsia="Calibri" w:hAnsi="Calibri" w:cs="Calibri"/>
                <w:i/>
                <w:color w:val="000000"/>
              </w:rPr>
              <w:t>Dossier client : accès en flux réel au suivi, montant des sommes recouvrées du dossier, suivi des actions réalisées, promesses de paiement, suivi des encaissements, échéancier de paiement, suivi des procédures judiciaires,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Pr="0037166D" w:rsidRDefault="000E6230" w:rsidP="0037166D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i/>
                <w:color w:val="000000"/>
              </w:rPr>
            </w:pPr>
            <w:r w:rsidRPr="003413FD">
              <w:rPr>
                <w:rFonts w:ascii="Calibri" w:eastAsia="Calibri" w:hAnsi="Calibri" w:cs="Calibri"/>
                <w:i/>
                <w:color w:val="000000"/>
              </w:rPr>
              <w:lastRenderedPageBreak/>
              <w:t>Qualification du référentiel des messages (procédure en cours – soldé - payé) et possibilité de personnalisation</w:t>
            </w:r>
            <w:r w:rsidR="0037166D">
              <w:rPr>
                <w:rFonts w:ascii="Calibri" w:eastAsia="Calibri" w:hAnsi="Calibri" w:cs="Calibri"/>
                <w:i/>
                <w:color w:val="000000"/>
              </w:rPr>
              <w:t>,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Pr="0037166D" w:rsidRDefault="0037166D" w:rsidP="0037166D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i/>
                <w:color w:val="000000"/>
              </w:rPr>
            </w:pPr>
            <w:r w:rsidRPr="003413FD">
              <w:rPr>
                <w:rFonts w:ascii="Calibri" w:eastAsia="Calibri" w:hAnsi="Calibri" w:cs="Calibri"/>
                <w:i/>
                <w:color w:val="000000"/>
              </w:rPr>
              <w:t>Messagerie CCI/Gestionnaire,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Pr="0037166D" w:rsidRDefault="0037166D" w:rsidP="0037166D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i/>
                <w:color w:val="000000"/>
              </w:rPr>
            </w:pPr>
            <w:proofErr w:type="spellStart"/>
            <w:r w:rsidRPr="003413FD">
              <w:rPr>
                <w:rFonts w:ascii="Calibri" w:eastAsia="Calibri" w:hAnsi="Calibri" w:cs="Calibri"/>
                <w:i/>
                <w:color w:val="000000"/>
              </w:rPr>
              <w:t>Reporting</w:t>
            </w:r>
            <w:proofErr w:type="spellEnd"/>
            <w:r w:rsidRPr="003413FD">
              <w:rPr>
                <w:rFonts w:ascii="Calibri" w:eastAsia="Calibri" w:hAnsi="Calibri" w:cs="Calibri"/>
                <w:i/>
                <w:color w:val="000000"/>
              </w:rPr>
              <w:t> standard : principaux états standards, tableaux de bord, indicateurs exportables avec graphiques,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Pr="0037166D" w:rsidRDefault="0037166D" w:rsidP="0037166D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i/>
                <w:color w:val="000000"/>
              </w:rPr>
            </w:pPr>
            <w:proofErr w:type="spellStart"/>
            <w:r w:rsidRPr="003413FD">
              <w:rPr>
                <w:rFonts w:ascii="Calibri" w:eastAsia="Calibri" w:hAnsi="Calibri" w:cs="Calibri"/>
                <w:i/>
                <w:color w:val="000000"/>
              </w:rPr>
              <w:t>Reporting</w:t>
            </w:r>
            <w:proofErr w:type="spellEnd"/>
            <w:r w:rsidRPr="003413FD">
              <w:rPr>
                <w:rFonts w:ascii="Calibri" w:eastAsia="Calibri" w:hAnsi="Calibri" w:cs="Calibri"/>
                <w:i/>
                <w:color w:val="000000"/>
              </w:rPr>
              <w:t xml:space="preserve"> personnalisé : possibilité de paramétrage d’un </w:t>
            </w:r>
            <w:proofErr w:type="spellStart"/>
            <w:r w:rsidRPr="003413FD">
              <w:rPr>
                <w:rFonts w:ascii="Calibri" w:eastAsia="Calibri" w:hAnsi="Calibri" w:cs="Calibri"/>
                <w:i/>
                <w:color w:val="000000"/>
              </w:rPr>
              <w:t>reporting</w:t>
            </w:r>
            <w:proofErr w:type="spellEnd"/>
            <w:r w:rsidRPr="003413FD">
              <w:rPr>
                <w:rFonts w:ascii="Calibri" w:eastAsia="Calibri" w:hAnsi="Calibri" w:cs="Calibri"/>
                <w:i/>
                <w:color w:val="000000"/>
              </w:rPr>
              <w:t xml:space="preserve"> dynamique selon modèle en annexe, avec la synthèse des dossiers suivis et leur statut. Possibilité d’automatiser un envoi mensuel sur boite mail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Pr="0037166D" w:rsidRDefault="0037166D" w:rsidP="0037166D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i/>
                <w:color w:val="000000"/>
              </w:rPr>
            </w:pPr>
            <w:r w:rsidRPr="003413FD">
              <w:rPr>
                <w:rFonts w:ascii="Calibri" w:eastAsia="Calibri" w:hAnsi="Calibri" w:cs="Calibri"/>
                <w:i/>
                <w:color w:val="000000"/>
              </w:rPr>
              <w:t>Moteur de recherche de dossiers par critères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Pr="009D4934" w:rsidRDefault="0037166D" w:rsidP="0037166D">
            <w:pPr>
              <w:pStyle w:val="Paragraphedeliste"/>
              <w:widowControl/>
              <w:numPr>
                <w:ilvl w:val="0"/>
                <w:numId w:val="33"/>
              </w:numPr>
              <w:autoSpaceDE/>
              <w:autoSpaceDN/>
              <w:adjustRightInd/>
              <w:spacing w:after="200" w:line="293" w:lineRule="exact"/>
              <w:ind w:right="80"/>
              <w:contextualSpacing/>
              <w:rPr>
                <w:rFonts w:ascii="Calibri" w:eastAsia="Calibri" w:hAnsi="Calibri" w:cs="Calibri"/>
                <w:i/>
                <w:color w:val="000000"/>
              </w:rPr>
            </w:pPr>
            <w:r w:rsidRPr="00670723">
              <w:rPr>
                <w:rFonts w:ascii="Calibri" w:eastAsia="Calibri" w:hAnsi="Calibri" w:cs="Calibri"/>
                <w:i/>
                <w:color w:val="000000"/>
              </w:rPr>
              <w:t>Exports des données sous format Excel : Export des dossiers, statut, historiques et commentaires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Default="000E6230" w:rsidP="000E6230">
            <w:pPr>
              <w:spacing w:before="120" w:after="40"/>
              <w:ind w:left="680" w:right="80"/>
              <w:rPr>
                <w:rFonts w:ascii="Calibri" w:eastAsia="Calibri" w:hAnsi="Calibri" w:cs="Calibri"/>
                <w:i/>
                <w:color w:val="000000"/>
              </w:rPr>
            </w:pP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>2.3</w:t>
            </w:r>
            <w:r>
              <w:rPr>
                <w:rFonts w:ascii="Calibri" w:eastAsia="Calibri" w:hAnsi="Calibri" w:cs="Calibri"/>
                <w:i/>
                <w:color w:val="000000"/>
              </w:rPr>
              <w:t xml:space="preserve"> -</w:t>
            </w:r>
            <w:r w:rsidRPr="0037166D">
              <w:rPr>
                <w:rFonts w:ascii="Calibri" w:eastAsia="Calibri" w:hAnsi="Calibri" w:cs="Calibri"/>
                <w:b/>
                <w:i/>
                <w:color w:val="000000"/>
              </w:rPr>
              <w:t xml:space="preserve"> Compréhension des enjeux et du contexte, plan de progrès </w:t>
            </w:r>
          </w:p>
          <w:p w:rsidR="000E6230" w:rsidRPr="005D7D26" w:rsidRDefault="000E6230" w:rsidP="005D7D26">
            <w:pPr>
              <w:widowControl/>
              <w:autoSpaceDE/>
              <w:autoSpaceDN/>
              <w:adjustRightInd/>
              <w:spacing w:after="200" w:line="293" w:lineRule="exact"/>
              <w:ind w:right="80" w:firstLine="1298"/>
              <w:contextualSpacing/>
              <w:rPr>
                <w:rFonts w:ascii="DejaVu Sans" w:eastAsia="DejaVu Sans" w:hAnsi="DejaVu Sans" w:cs="DejaVu Sans"/>
                <w:i/>
                <w:color w:val="000000"/>
                <w:sz w:val="20"/>
              </w:rPr>
            </w:pPr>
            <w:bookmarkStart w:id="1" w:name="_GoBack"/>
            <w:bookmarkEnd w:id="1"/>
            <w:r w:rsidRPr="005D7D26">
              <w:rPr>
                <w:rFonts w:ascii="Calibri" w:eastAsia="Calibri" w:hAnsi="Calibri" w:cs="Calibri"/>
                <w:b/>
                <w:i/>
                <w:color w:val="000000"/>
              </w:rPr>
              <w:t>(5 points)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E6230" w:rsidRDefault="000E6230" w:rsidP="000E6230">
            <w:pPr>
              <w:spacing w:before="120" w:after="40"/>
              <w:ind w:left="680" w:right="80"/>
              <w:rPr>
                <w:rFonts w:ascii="Calibri" w:eastAsia="Calibri" w:hAnsi="Calibri" w:cs="Calibri"/>
                <w:i/>
                <w:color w:val="000000"/>
              </w:rPr>
            </w:pP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lastRenderedPageBreak/>
              <w:t>2.</w:t>
            </w:r>
            <w:r w:rsidR="0037166D" w:rsidRPr="00C74081">
              <w:rPr>
                <w:rFonts w:ascii="Calibri" w:eastAsia="Calibri" w:hAnsi="Calibri" w:cs="Calibri"/>
                <w:b/>
                <w:i/>
                <w:color w:val="000000"/>
              </w:rPr>
              <w:t>4</w:t>
            </w: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 xml:space="preserve"> -</w:t>
            </w:r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r w:rsidRPr="0037166D">
              <w:rPr>
                <w:rFonts w:ascii="Calibri" w:eastAsia="Calibri" w:hAnsi="Calibri" w:cs="Calibri"/>
                <w:b/>
                <w:i/>
                <w:color w:val="000000"/>
              </w:rPr>
              <w:t>Délais de prise en charge de la prestation</w:t>
            </w:r>
            <w:r w:rsidRPr="00A13F51">
              <w:rPr>
                <w:rFonts w:ascii="Calibri" w:eastAsia="Calibri" w:hAnsi="Calibri" w:cs="Calibri"/>
                <w:i/>
                <w:color w:val="000000"/>
              </w:rPr>
              <w:t xml:space="preserve">  </w:t>
            </w:r>
          </w:p>
          <w:p w:rsidR="000E6230" w:rsidRDefault="000E6230" w:rsidP="000E6230">
            <w:pPr>
              <w:spacing w:before="120" w:after="40"/>
              <w:ind w:right="80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                       (</w:t>
            </w:r>
            <w:r w:rsidRPr="00670723">
              <w:rPr>
                <w:rFonts w:ascii="Calibri" w:eastAsia="Calibri" w:hAnsi="Calibri" w:cs="Calibri"/>
                <w:b/>
                <w:i/>
                <w:color w:val="000000"/>
              </w:rPr>
              <w:t>5 points)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Calibri" w:eastAsia="Calibri" w:hAnsi="Calibri" w:cs="Calibri"/>
                <w:color w:val="000000"/>
              </w:rPr>
            </w:pPr>
            <w:r w:rsidRPr="00D001DA">
              <w:rPr>
                <w:rFonts w:ascii="Calibri" w:eastAsia="Calibri" w:hAnsi="Calibri" w:cs="Calibri"/>
                <w:color w:val="000000"/>
              </w:rPr>
              <w:t>Prise en charge du dossier sur le portail client</w:t>
            </w:r>
            <w:r>
              <w:rPr>
                <w:rFonts w:ascii="Calibri" w:eastAsia="Calibri" w:hAnsi="Calibri" w:cs="Calibri"/>
                <w:color w:val="000000"/>
              </w:rPr>
              <w:t xml:space="preserve"> (24h attendu - jours ouvrés) : 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Calibri" w:eastAsia="Calibri" w:hAnsi="Calibri" w:cs="Calibri"/>
                <w:color w:val="000000"/>
              </w:rPr>
            </w:pPr>
            <w:r w:rsidRPr="00D001DA">
              <w:rPr>
                <w:rFonts w:ascii="Calibri" w:eastAsia="Calibri" w:hAnsi="Calibri" w:cs="Calibri"/>
                <w:color w:val="000000"/>
              </w:rPr>
              <w:t>Premier retour des actions effectuées</w:t>
            </w:r>
            <w:r>
              <w:rPr>
                <w:rFonts w:ascii="Calibri" w:eastAsia="Calibri" w:hAnsi="Calibri" w:cs="Calibri"/>
                <w:color w:val="000000"/>
              </w:rPr>
              <w:t xml:space="preserve"> (48h attendues - jours ouvrés) 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0E6230" w:rsidRPr="00D001DA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E55918">
        <w:trPr>
          <w:trHeight w:val="1142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670723">
              <w:rPr>
                <w:b/>
                <w:color w:val="44546A" w:themeColor="text2"/>
                <w:sz w:val="28"/>
                <w:szCs w:val="28"/>
              </w:rPr>
              <w:t>3</w:t>
            </w:r>
            <w:r>
              <w:rPr>
                <w:b/>
                <w:color w:val="44546A" w:themeColor="text2"/>
                <w:sz w:val="28"/>
                <w:szCs w:val="28"/>
              </w:rPr>
              <w:t xml:space="preserve"> </w:t>
            </w:r>
            <w:r w:rsidRPr="00670723">
              <w:rPr>
                <w:b/>
                <w:color w:val="44546A" w:themeColor="text2"/>
                <w:sz w:val="28"/>
                <w:szCs w:val="28"/>
              </w:rPr>
              <w:t>-</w:t>
            </w:r>
            <w:r>
              <w:rPr>
                <w:b/>
                <w:color w:val="44546A" w:themeColor="text2"/>
                <w:sz w:val="28"/>
                <w:szCs w:val="28"/>
              </w:rPr>
              <w:t xml:space="preserve"> </w:t>
            </w:r>
            <w:r w:rsidRPr="00670723">
              <w:rPr>
                <w:b/>
                <w:color w:val="44546A" w:themeColor="text2"/>
                <w:sz w:val="28"/>
                <w:szCs w:val="28"/>
              </w:rPr>
              <w:t xml:space="preserve">QUALITE ET ORGANISATION DE L'EQUIPE DEDIEE AUX PRESTATIONS EN FRANCE, ETENDUE DES RESEAUX DE CORRESPONDANTS A </w:t>
            </w:r>
            <w:r w:rsidRPr="00A6300E">
              <w:rPr>
                <w:b/>
                <w:color w:val="44546A" w:themeColor="text2"/>
                <w:sz w:val="28"/>
                <w:szCs w:val="28"/>
              </w:rPr>
              <w:t xml:space="preserve">L'ETRANGER – </w:t>
            </w:r>
            <w:r w:rsidR="005D7D26">
              <w:rPr>
                <w:b/>
                <w:color w:val="44546A" w:themeColor="text2"/>
                <w:sz w:val="28"/>
                <w:szCs w:val="28"/>
              </w:rPr>
              <w:t>20</w:t>
            </w:r>
            <w:r w:rsidRPr="00A6300E">
              <w:rPr>
                <w:b/>
                <w:color w:val="44546A" w:themeColor="text2"/>
                <w:sz w:val="28"/>
                <w:szCs w:val="28"/>
              </w:rPr>
              <w:t xml:space="preserve"> points</w:t>
            </w:r>
          </w:p>
        </w:tc>
      </w:tr>
      <w:tr w:rsidR="000E6230" w:rsidRPr="003B1A67" w:rsidTr="005716D5">
        <w:trPr>
          <w:trHeight w:val="1663"/>
        </w:trPr>
        <w:tc>
          <w:tcPr>
            <w:tcW w:w="5382" w:type="dxa"/>
            <w:shd w:val="clear" w:color="auto" w:fill="auto"/>
            <w:vAlign w:val="center"/>
          </w:tcPr>
          <w:p w:rsidR="005D7D26" w:rsidRPr="005D7D26" w:rsidRDefault="000E6230" w:rsidP="005D7D26">
            <w:pPr>
              <w:spacing w:before="120" w:after="40"/>
              <w:ind w:left="731" w:right="80"/>
              <w:rPr>
                <w:rFonts w:ascii="Calibri" w:eastAsia="Calibri" w:hAnsi="Calibri" w:cs="Calibri"/>
                <w:b/>
                <w:i/>
                <w:color w:val="000000"/>
              </w:rPr>
            </w:pP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>3.1 - Qualité et organisation de l'équipe dédiée aux prestations en France, étendue des réseaux de correspondants à l'étranger</w:t>
            </w:r>
          </w:p>
          <w:p w:rsidR="005D7D26" w:rsidRPr="00C74081" w:rsidRDefault="005D7D26" w:rsidP="005D7D26">
            <w:pPr>
              <w:spacing w:before="120" w:after="40"/>
              <w:ind w:right="80" w:firstLine="1298"/>
              <w:rPr>
                <w:rFonts w:ascii="DejaVu Sans" w:eastAsia="DejaVu Sans" w:hAnsi="DejaVu Sans" w:cs="DejaVu Sans"/>
                <w:b/>
                <w:i/>
                <w:color w:val="000000"/>
                <w:sz w:val="20"/>
              </w:rPr>
            </w:pPr>
            <w:r w:rsidRPr="005D7D26">
              <w:rPr>
                <w:rFonts w:ascii="Calibri" w:eastAsia="Calibri" w:hAnsi="Calibri" w:cs="Calibri"/>
                <w:b/>
                <w:i/>
                <w:color w:val="000000"/>
              </w:rPr>
              <w:t>(15 points)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0E6230" w:rsidRPr="003B1A67" w:rsidTr="005716D5">
        <w:trPr>
          <w:trHeight w:val="2410"/>
        </w:trPr>
        <w:tc>
          <w:tcPr>
            <w:tcW w:w="5382" w:type="dxa"/>
            <w:shd w:val="clear" w:color="auto" w:fill="auto"/>
            <w:vAlign w:val="center"/>
          </w:tcPr>
          <w:p w:rsidR="000E6230" w:rsidRDefault="000E6230" w:rsidP="000E6230">
            <w:pPr>
              <w:spacing w:before="120" w:after="40"/>
              <w:ind w:left="680" w:right="80"/>
              <w:rPr>
                <w:rFonts w:ascii="Calibri" w:eastAsia="Calibri" w:hAnsi="Calibri" w:cs="Calibri"/>
                <w:b/>
                <w:i/>
                <w:color w:val="000000"/>
              </w:rPr>
            </w:pPr>
            <w:r w:rsidRPr="00C74081">
              <w:rPr>
                <w:rFonts w:ascii="Calibri" w:eastAsia="Calibri" w:hAnsi="Calibri" w:cs="Calibri"/>
                <w:b/>
                <w:i/>
                <w:color w:val="000000"/>
              </w:rPr>
              <w:t>3.2 - Etendue des réseaux de correspondants et localisation (indiquer le nombre de correspondants et les pays) en charge de l'exécution des prestations à l'étranger, pour les zones 2 et 3.</w:t>
            </w:r>
          </w:p>
          <w:p w:rsidR="005D7D26" w:rsidRPr="00C74081" w:rsidRDefault="005D7D26" w:rsidP="005D7D26">
            <w:pPr>
              <w:spacing w:before="120" w:after="40"/>
              <w:ind w:right="80" w:firstLine="1298"/>
              <w:rPr>
                <w:rFonts w:ascii="DejaVu Sans" w:eastAsia="DejaVu Sans" w:hAnsi="DejaVu Sans" w:cs="DejaVu Sans"/>
                <w:b/>
                <w:i/>
                <w:color w:val="000000"/>
                <w:sz w:val="20"/>
              </w:rPr>
            </w:pPr>
            <w:r w:rsidRPr="005D7D26">
              <w:rPr>
                <w:rFonts w:ascii="Calibri" w:eastAsia="Calibri" w:hAnsi="Calibri" w:cs="Calibri"/>
                <w:b/>
                <w:i/>
                <w:color w:val="000000"/>
              </w:rPr>
              <w:t>(5 points)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E6230" w:rsidRDefault="000E6230" w:rsidP="000E6230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:rsidR="00C234C2" w:rsidRDefault="00C234C2" w:rsidP="00C234C2"/>
    <w:p w:rsidR="001F1709" w:rsidRDefault="001F1709">
      <w:pPr>
        <w:widowControl/>
        <w:autoSpaceDE/>
        <w:autoSpaceDN/>
        <w:adjustRightInd/>
      </w:pPr>
      <w:r>
        <w:br w:type="page"/>
      </w:r>
    </w:p>
    <w:p w:rsidR="00670EF6" w:rsidRDefault="00670EF6" w:rsidP="00C234C2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7650"/>
        <w:gridCol w:w="6946"/>
      </w:tblGrid>
      <w:tr w:rsidR="00C234C2" w:rsidRPr="003B1A67" w:rsidTr="001F07B5">
        <w:trPr>
          <w:trHeight w:val="995"/>
        </w:trPr>
        <w:tc>
          <w:tcPr>
            <w:tcW w:w="14596" w:type="dxa"/>
            <w:gridSpan w:val="2"/>
            <w:shd w:val="clear" w:color="auto" w:fill="DEEAF6" w:themeFill="accent1" w:themeFillTint="33"/>
            <w:vAlign w:val="center"/>
          </w:tcPr>
          <w:p w:rsidR="00C234C2" w:rsidRPr="007E2794" w:rsidRDefault="00C234C2" w:rsidP="00B1545A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PRESENTATION LIBRE PERMETTANT D’APPORTER DES COMPLEMENTS</w:t>
            </w:r>
          </w:p>
        </w:tc>
      </w:tr>
      <w:tr w:rsidR="00C234C2" w:rsidRPr="003B1A67" w:rsidTr="00A839E5">
        <w:trPr>
          <w:trHeight w:val="1126"/>
        </w:trPr>
        <w:tc>
          <w:tcPr>
            <w:tcW w:w="7650" w:type="dxa"/>
            <w:shd w:val="clear" w:color="auto" w:fill="auto"/>
            <w:vAlign w:val="center"/>
          </w:tcPr>
          <w:p w:rsidR="00C234C2" w:rsidRPr="007E2794" w:rsidRDefault="00C234C2" w:rsidP="00B1545A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234C2" w:rsidRPr="007E2794" w:rsidRDefault="00C234C2" w:rsidP="00B1545A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C234C2" w:rsidRPr="003B1A67" w:rsidTr="00A839E5">
        <w:trPr>
          <w:trHeight w:val="1126"/>
        </w:trPr>
        <w:tc>
          <w:tcPr>
            <w:tcW w:w="7650" w:type="dxa"/>
            <w:shd w:val="clear" w:color="auto" w:fill="auto"/>
            <w:vAlign w:val="center"/>
          </w:tcPr>
          <w:p w:rsidR="00C234C2" w:rsidRPr="007E2794" w:rsidRDefault="00C234C2" w:rsidP="00B1545A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234C2" w:rsidRPr="007E2794" w:rsidRDefault="00C234C2" w:rsidP="00B1545A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C234C2" w:rsidRPr="003B1A67" w:rsidTr="00A839E5">
        <w:trPr>
          <w:trHeight w:val="1126"/>
        </w:trPr>
        <w:tc>
          <w:tcPr>
            <w:tcW w:w="7650" w:type="dxa"/>
            <w:shd w:val="clear" w:color="auto" w:fill="auto"/>
            <w:vAlign w:val="center"/>
          </w:tcPr>
          <w:p w:rsidR="00C234C2" w:rsidRDefault="00C234C2" w:rsidP="00B1545A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234C2" w:rsidRPr="007E2794" w:rsidRDefault="00C234C2" w:rsidP="00B1545A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:rsidR="00C234C2" w:rsidRDefault="00C234C2" w:rsidP="00C234C2"/>
    <w:p w:rsidR="00C234C2" w:rsidRDefault="00C234C2" w:rsidP="00C234C2"/>
    <w:p w:rsidR="00C234C2" w:rsidRDefault="00C234C2" w:rsidP="00C234C2"/>
    <w:p w:rsidR="00C234C2" w:rsidRDefault="00C234C2" w:rsidP="00324352">
      <w:pPr>
        <w:pStyle w:val="NormalWeb"/>
        <w:spacing w:before="0" w:beforeAutospacing="0" w:after="200" w:afterAutospacing="0"/>
      </w:pPr>
    </w:p>
    <w:sectPr w:rsidR="00C234C2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3F5" w:rsidRDefault="002843F5">
      <w:r>
        <w:separator/>
      </w:r>
    </w:p>
  </w:endnote>
  <w:endnote w:type="continuationSeparator" w:id="0">
    <w:p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F07B5" w:rsidRPr="009C3C42" w:rsidRDefault="00D5632B" w:rsidP="001F07B5">
          <w:pPr>
            <w:spacing w:line="326" w:lineRule="exact"/>
            <w:jc w:val="cent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9C3C42">
            <w:rPr>
              <w:rFonts w:asciiTheme="minorHAnsi" w:hAnsiTheme="minorHAnsi" w:cstheme="minorHAnsi"/>
              <w:color w:val="000000"/>
              <w:sz w:val="18"/>
              <w:szCs w:val="18"/>
            </w:rPr>
            <w:t>Consultation n°</w:t>
          </w:r>
          <w:r w:rsidR="001F07B5" w:rsidRPr="009C3C42">
            <w:rPr>
              <w:rFonts w:asciiTheme="minorHAnsi" w:hAnsiTheme="minorHAnsi" w:cstheme="minorHAnsi"/>
              <w:color w:val="000000"/>
              <w:sz w:val="18"/>
              <w:szCs w:val="18"/>
            </w:rPr>
            <w:t xml:space="preserve"> 2469R08MP</w:t>
          </w:r>
        </w:p>
        <w:p w:rsidR="00D5632B" w:rsidRDefault="00D5632B" w:rsidP="00657195">
          <w:pPr>
            <w:pStyle w:val="PiedDePage0"/>
            <w:rPr>
              <w:color w:val="000000"/>
              <w:lang w:val="fr-FR"/>
            </w:rPr>
          </w:pP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3F5" w:rsidRDefault="002843F5">
      <w:r>
        <w:separator/>
      </w:r>
    </w:p>
  </w:footnote>
  <w:footnote w:type="continuationSeparator" w:id="0">
    <w:p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3.6pt;height:13.6pt" o:bullet="t">
        <v:imagedata r:id="rId1" o:title=""/>
      </v:shape>
    </w:pict>
  </w:numPicBullet>
  <w:numPicBullet w:numPicBulletId="1">
    <w:pict>
      <v:shape id="_x0000_i1029" type="#_x0000_t75" style="width:13.6pt;height:8.15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33D9"/>
    <w:multiLevelType w:val="hybridMultilevel"/>
    <w:tmpl w:val="71B6DD6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5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9709A"/>
    <w:multiLevelType w:val="hybridMultilevel"/>
    <w:tmpl w:val="CBDA15DC"/>
    <w:lvl w:ilvl="0" w:tplc="22465FAC">
      <w:start w:val="5"/>
      <w:numFmt w:val="bullet"/>
      <w:lvlText w:val="-"/>
      <w:lvlJc w:val="left"/>
      <w:pPr>
        <w:ind w:left="1040" w:hanging="360"/>
      </w:pPr>
      <w:rPr>
        <w:rFonts w:ascii="DejaVu Sans" w:eastAsia="DejaVu Sans" w:hAnsi="DejaVu Sans" w:cs="DejaVu Sans" w:hint="default"/>
        <w:b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0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4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2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5"/>
  </w:num>
  <w:num w:numId="5">
    <w:abstractNumId w:val="16"/>
  </w:num>
  <w:num w:numId="6">
    <w:abstractNumId w:val="17"/>
  </w:num>
  <w:num w:numId="7">
    <w:abstractNumId w:val="29"/>
  </w:num>
  <w:num w:numId="8">
    <w:abstractNumId w:val="26"/>
  </w:num>
  <w:num w:numId="9">
    <w:abstractNumId w:val="23"/>
  </w:num>
  <w:num w:numId="10">
    <w:abstractNumId w:val="15"/>
  </w:num>
  <w:num w:numId="11">
    <w:abstractNumId w:val="27"/>
  </w:num>
  <w:num w:numId="12">
    <w:abstractNumId w:val="9"/>
  </w:num>
  <w:num w:numId="13">
    <w:abstractNumId w:val="32"/>
  </w:num>
  <w:num w:numId="14">
    <w:abstractNumId w:val="20"/>
  </w:num>
  <w:num w:numId="15">
    <w:abstractNumId w:val="13"/>
  </w:num>
  <w:num w:numId="16">
    <w:abstractNumId w:val="22"/>
  </w:num>
  <w:num w:numId="17">
    <w:abstractNumId w:val="11"/>
  </w:num>
  <w:num w:numId="18">
    <w:abstractNumId w:val="10"/>
  </w:num>
  <w:num w:numId="19">
    <w:abstractNumId w:val="2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4"/>
  </w:num>
  <w:num w:numId="23">
    <w:abstractNumId w:val="14"/>
  </w:num>
  <w:num w:numId="24">
    <w:abstractNumId w:val="7"/>
  </w:num>
  <w:num w:numId="25">
    <w:abstractNumId w:val="8"/>
  </w:num>
  <w:num w:numId="26">
    <w:abstractNumId w:val="24"/>
  </w:num>
  <w:num w:numId="27">
    <w:abstractNumId w:val="30"/>
  </w:num>
  <w:num w:numId="28">
    <w:abstractNumId w:val="21"/>
  </w:num>
  <w:num w:numId="29">
    <w:abstractNumId w:val="3"/>
  </w:num>
  <w:num w:numId="30">
    <w:abstractNumId w:val="12"/>
  </w:num>
  <w:num w:numId="31">
    <w:abstractNumId w:val="28"/>
  </w:num>
  <w:num w:numId="32">
    <w:abstractNumId w:val="18"/>
  </w:num>
  <w:num w:numId="33">
    <w:abstractNumId w:val="1"/>
  </w:num>
  <w:num w:numId="34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230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97181"/>
    <w:rsid w:val="001A0853"/>
    <w:rsid w:val="001A0972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07B5"/>
    <w:rsid w:val="001F1709"/>
    <w:rsid w:val="001F1A00"/>
    <w:rsid w:val="001F2CEB"/>
    <w:rsid w:val="001F62AB"/>
    <w:rsid w:val="001F6639"/>
    <w:rsid w:val="00200CD4"/>
    <w:rsid w:val="0020327E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166D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429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963BE"/>
    <w:rsid w:val="004A203A"/>
    <w:rsid w:val="004A6946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16D5"/>
    <w:rsid w:val="005733FD"/>
    <w:rsid w:val="005741DB"/>
    <w:rsid w:val="00583107"/>
    <w:rsid w:val="00587143"/>
    <w:rsid w:val="005955B2"/>
    <w:rsid w:val="00596056"/>
    <w:rsid w:val="00596F99"/>
    <w:rsid w:val="005A1D26"/>
    <w:rsid w:val="005C239C"/>
    <w:rsid w:val="005C3D2E"/>
    <w:rsid w:val="005D4CE0"/>
    <w:rsid w:val="005D7BF2"/>
    <w:rsid w:val="005D7D26"/>
    <w:rsid w:val="005E04F7"/>
    <w:rsid w:val="005F25CC"/>
    <w:rsid w:val="005F5769"/>
    <w:rsid w:val="005F696B"/>
    <w:rsid w:val="00601A7B"/>
    <w:rsid w:val="0060333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0723"/>
    <w:rsid w:val="00670EF6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1AF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2522"/>
    <w:rsid w:val="007A3FC2"/>
    <w:rsid w:val="007A57DF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4685"/>
    <w:rsid w:val="009B6749"/>
    <w:rsid w:val="009C0535"/>
    <w:rsid w:val="009C1F3B"/>
    <w:rsid w:val="009C3C42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300E"/>
    <w:rsid w:val="00A67AF5"/>
    <w:rsid w:val="00A67EFD"/>
    <w:rsid w:val="00A701AE"/>
    <w:rsid w:val="00A703BF"/>
    <w:rsid w:val="00A82D9A"/>
    <w:rsid w:val="00A837B9"/>
    <w:rsid w:val="00A839E5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84E8D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5440"/>
    <w:rsid w:val="00C61243"/>
    <w:rsid w:val="00C643DD"/>
    <w:rsid w:val="00C72E0B"/>
    <w:rsid w:val="00C74081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01DA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105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5591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EF5B8A"/>
    <w:rsid w:val="00F0166E"/>
    <w:rsid w:val="00F0572D"/>
    <w:rsid w:val="00F06682"/>
    <w:rsid w:val="00F11045"/>
    <w:rsid w:val="00F12225"/>
    <w:rsid w:val="00F13266"/>
    <w:rsid w:val="00F13E2F"/>
    <w:rsid w:val="00F15D5F"/>
    <w:rsid w:val="00F160D6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60CC"/>
    <w:rsid w:val="00F60951"/>
    <w:rsid w:val="00F63467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24F1AC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444AC-A6A7-41DE-94A7-7627A312E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505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SAMON Mireille</cp:lastModifiedBy>
  <cp:revision>42</cp:revision>
  <cp:lastPrinted>2014-04-07T07:00:00Z</cp:lastPrinted>
  <dcterms:created xsi:type="dcterms:W3CDTF">2024-10-08T14:24:00Z</dcterms:created>
  <dcterms:modified xsi:type="dcterms:W3CDTF">2024-12-13T09:36:00Z</dcterms:modified>
</cp:coreProperties>
</file>