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A2C23" w14:textId="77777777" w:rsidR="00B72582" w:rsidRDefault="00B72582" w:rsidP="00B72582">
      <w:pPr>
        <w:pStyle w:val="Titre1"/>
        <w:numPr>
          <w:ilvl w:val="0"/>
          <w:numId w:val="0"/>
        </w:numPr>
        <w:spacing w:before="0"/>
        <w:jc w:val="center"/>
      </w:pPr>
      <w:bookmarkStart w:id="0" w:name="_Toc102639480"/>
      <w:r w:rsidRPr="000A338C">
        <w:t>Trame du mémoire technique</w:t>
      </w:r>
      <w:bookmarkEnd w:id="0"/>
    </w:p>
    <w:p w14:paraId="1E6C24BE" w14:textId="77777777" w:rsidR="00B72582" w:rsidRPr="000A338C" w:rsidRDefault="00B72582" w:rsidP="00B72582">
      <w:pPr>
        <w:rPr>
          <w:lang w:eastAsia="fr-FR"/>
        </w:rPr>
      </w:pPr>
    </w:p>
    <w:p w14:paraId="35CA4153" w14:textId="77777777" w:rsidR="00B72582" w:rsidRPr="000A338C" w:rsidRDefault="00DC096F" w:rsidP="00B72582">
      <w:pPr>
        <w:keepNext/>
        <w:keepLines/>
        <w:numPr>
          <w:ilvl w:val="2"/>
          <w:numId w:val="8"/>
        </w:numPr>
        <w:spacing w:before="240" w:after="120" w:line="276" w:lineRule="auto"/>
        <w:ind w:left="993" w:hanging="709"/>
        <w:jc w:val="left"/>
        <w:outlineLvl w:val="2"/>
        <w:rPr>
          <w:rFonts w:eastAsia="Times New Roman" w:cs="Calibri"/>
          <w:b/>
          <w:bCs/>
          <w:sz w:val="18"/>
          <w:szCs w:val="18"/>
          <w:lang w:eastAsia="fr-FR"/>
        </w:rPr>
      </w:pPr>
      <w:bookmarkStart w:id="1" w:name="_Toc102639481"/>
      <w:r>
        <w:rPr>
          <w:rFonts w:eastAsia="Times New Roman" w:cs="Calibri"/>
          <w:b/>
          <w:bCs/>
          <w:sz w:val="18"/>
          <w:szCs w:val="18"/>
          <w:lang w:eastAsia="fr-FR"/>
        </w:rPr>
        <w:t>Organisation</w:t>
      </w:r>
      <w:r w:rsidR="00642837">
        <w:rPr>
          <w:rFonts w:eastAsia="Times New Roman" w:cs="Calibri"/>
          <w:b/>
          <w:bCs/>
          <w:sz w:val="18"/>
          <w:szCs w:val="18"/>
          <w:lang w:eastAsia="fr-FR"/>
        </w:rPr>
        <w:t xml:space="preserve"> de l’entreprise et </w:t>
      </w:r>
      <w:r>
        <w:rPr>
          <w:rFonts w:eastAsia="Times New Roman" w:cs="Calibri"/>
          <w:b/>
          <w:bCs/>
          <w:sz w:val="18"/>
          <w:szCs w:val="18"/>
          <w:lang w:eastAsia="fr-FR"/>
        </w:rPr>
        <w:t>moyens humains mis en œuvre dans le cadre du présent marché</w:t>
      </w:r>
      <w:r w:rsidR="00B72582" w:rsidRPr="000A338C">
        <w:rPr>
          <w:rFonts w:eastAsia="Times New Roman" w:cs="Calibri"/>
          <w:b/>
          <w:bCs/>
          <w:sz w:val="18"/>
          <w:szCs w:val="18"/>
          <w:lang w:eastAsia="fr-FR"/>
        </w:rPr>
        <w:t xml:space="preserve"> </w:t>
      </w:r>
      <w:r w:rsidR="00642837">
        <w:rPr>
          <w:rFonts w:eastAsia="Times New Roman" w:cs="Calibri"/>
          <w:b/>
          <w:bCs/>
          <w:color w:val="0070C0"/>
          <w:sz w:val="18"/>
          <w:szCs w:val="18"/>
          <w:lang w:eastAsia="fr-FR"/>
        </w:rPr>
        <w:t>(5</w:t>
      </w:r>
      <w:r w:rsidR="00B72582" w:rsidRPr="000A338C">
        <w:rPr>
          <w:rFonts w:eastAsia="Times New Roman" w:cs="Calibri"/>
          <w:b/>
          <w:bCs/>
          <w:color w:val="0070C0"/>
          <w:sz w:val="18"/>
          <w:szCs w:val="18"/>
          <w:lang w:eastAsia="fr-FR"/>
        </w:rPr>
        <w:t xml:space="preserve"> points)</w:t>
      </w:r>
      <w:bookmarkEnd w:id="1"/>
    </w:p>
    <w:p w14:paraId="2B38DEC0" w14:textId="77777777" w:rsidR="00BD1D99" w:rsidRDefault="00B72582" w:rsidP="00BD1D99">
      <w:pPr>
        <w:spacing w:after="0" w:line="276" w:lineRule="auto"/>
        <w:ind w:left="308" w:hanging="24"/>
        <w:jc w:val="left"/>
        <w:rPr>
          <w:rFonts w:eastAsia="Times New Roman"/>
          <w:sz w:val="18"/>
          <w:szCs w:val="18"/>
          <w:lang w:eastAsia="fr-FR"/>
        </w:rPr>
      </w:pPr>
      <w:r w:rsidRPr="000A338C">
        <w:rPr>
          <w:rFonts w:eastAsia="Times New Roman"/>
          <w:sz w:val="18"/>
          <w:szCs w:val="18"/>
          <w:lang w:eastAsia="fr-FR"/>
        </w:rPr>
        <w:t xml:space="preserve">- </w:t>
      </w:r>
      <w:r w:rsidR="00DC096F">
        <w:rPr>
          <w:rFonts w:eastAsia="Times New Roman"/>
          <w:sz w:val="18"/>
          <w:szCs w:val="18"/>
          <w:lang w:eastAsia="fr-FR"/>
        </w:rPr>
        <w:t>O</w:t>
      </w:r>
      <w:r w:rsidR="00642837">
        <w:rPr>
          <w:rFonts w:eastAsia="Times New Roman"/>
          <w:sz w:val="18"/>
          <w:szCs w:val="18"/>
          <w:lang w:eastAsia="fr-FR"/>
        </w:rPr>
        <w:t>rganisation de l’entreprise pour la réalisation de</w:t>
      </w:r>
      <w:r w:rsidR="00DC096F">
        <w:rPr>
          <w:rFonts w:eastAsia="Times New Roman"/>
          <w:sz w:val="18"/>
          <w:szCs w:val="18"/>
          <w:lang w:eastAsia="fr-FR"/>
        </w:rPr>
        <w:t>s</w:t>
      </w:r>
      <w:r w:rsidR="00642837">
        <w:rPr>
          <w:rFonts w:eastAsia="Times New Roman"/>
          <w:sz w:val="18"/>
          <w:szCs w:val="18"/>
          <w:lang w:eastAsia="fr-FR"/>
        </w:rPr>
        <w:t xml:space="preserve"> </w:t>
      </w:r>
      <w:r w:rsidR="00BD1D99">
        <w:rPr>
          <w:rFonts w:eastAsia="Times New Roman"/>
          <w:sz w:val="18"/>
          <w:szCs w:val="18"/>
          <w:lang w:eastAsia="fr-FR"/>
        </w:rPr>
        <w:t xml:space="preserve">prestations dans les départements 36 et </w:t>
      </w:r>
      <w:r w:rsidR="00642837">
        <w:rPr>
          <w:rFonts w:eastAsia="Times New Roman"/>
          <w:sz w:val="18"/>
          <w:szCs w:val="18"/>
          <w:lang w:eastAsia="fr-FR"/>
        </w:rPr>
        <w:t>18 (</w:t>
      </w:r>
      <w:r w:rsidR="00BB24FE">
        <w:rPr>
          <w:rFonts w:eastAsia="Times New Roman"/>
          <w:sz w:val="18"/>
          <w:szCs w:val="18"/>
          <w:lang w:eastAsia="fr-FR"/>
        </w:rPr>
        <w:t>point de contact dédié</w:t>
      </w:r>
      <w:r w:rsidR="00642837">
        <w:rPr>
          <w:rFonts w:eastAsia="Times New Roman"/>
          <w:sz w:val="18"/>
          <w:szCs w:val="18"/>
          <w:lang w:eastAsia="fr-FR"/>
        </w:rPr>
        <w:t>, équipe secteur de techniciens, …)</w:t>
      </w:r>
      <w:r w:rsidR="00BD1D99">
        <w:rPr>
          <w:rFonts w:ascii="Calibri" w:eastAsia="Times New Roman" w:hAnsi="Calibri" w:cs="Calibri"/>
          <w:sz w:val="18"/>
          <w:szCs w:val="18"/>
          <w:lang w:eastAsia="fr-FR"/>
        </w:rPr>
        <w:t> </w:t>
      </w:r>
      <w:r w:rsidR="009B53B8" w:rsidRPr="00DC096F">
        <w:rPr>
          <w:rFonts w:eastAsia="Times New Roman"/>
          <w:b/>
          <w:sz w:val="18"/>
          <w:szCs w:val="18"/>
          <w:lang w:eastAsia="fr-FR"/>
        </w:rPr>
        <w:t>2 pts</w:t>
      </w:r>
    </w:p>
    <w:p w14:paraId="3FC63E2C" w14:textId="77777777" w:rsidR="00642837" w:rsidRDefault="00BD1D99" w:rsidP="00BD1D99">
      <w:pPr>
        <w:spacing w:after="0" w:line="276" w:lineRule="auto"/>
        <w:ind w:left="308" w:hanging="24"/>
        <w:jc w:val="left"/>
        <w:rPr>
          <w:rFonts w:eastAsia="Times New Roman"/>
          <w:sz w:val="18"/>
          <w:szCs w:val="18"/>
          <w:lang w:eastAsia="fr-FR"/>
        </w:rPr>
      </w:pPr>
      <w:r>
        <w:rPr>
          <w:rFonts w:eastAsia="Times New Roman"/>
          <w:sz w:val="18"/>
          <w:szCs w:val="18"/>
          <w:lang w:eastAsia="fr-FR"/>
        </w:rPr>
        <w:t xml:space="preserve">- Qualifications et compétences minimales des techniciens en charge des interventions dans le cadre </w:t>
      </w:r>
      <w:r w:rsidR="00BB24FE">
        <w:rPr>
          <w:rFonts w:eastAsia="Times New Roman"/>
          <w:sz w:val="18"/>
          <w:szCs w:val="18"/>
          <w:lang w:eastAsia="fr-FR"/>
        </w:rPr>
        <w:t>du présent marché</w:t>
      </w:r>
      <w:r w:rsidR="00DC096F">
        <w:rPr>
          <w:rFonts w:eastAsia="Times New Roman"/>
          <w:sz w:val="18"/>
          <w:szCs w:val="18"/>
          <w:lang w:eastAsia="fr-FR"/>
        </w:rPr>
        <w:t>, avec mention des titres d’études</w:t>
      </w:r>
      <w:r>
        <w:rPr>
          <w:rFonts w:ascii="Calibri" w:eastAsia="Times New Roman" w:hAnsi="Calibri" w:cs="Calibri"/>
          <w:sz w:val="18"/>
          <w:szCs w:val="18"/>
          <w:lang w:eastAsia="fr-FR"/>
        </w:rPr>
        <w:t> </w:t>
      </w:r>
      <w:r w:rsidR="009B53B8" w:rsidRPr="00DC096F">
        <w:rPr>
          <w:rFonts w:eastAsia="Times New Roman"/>
          <w:b/>
          <w:sz w:val="18"/>
          <w:szCs w:val="18"/>
          <w:lang w:eastAsia="fr-FR"/>
        </w:rPr>
        <w:t>3 pts</w:t>
      </w:r>
    </w:p>
    <w:p w14:paraId="334BF055" w14:textId="77777777" w:rsidR="00B72582" w:rsidRPr="000A338C" w:rsidRDefault="00DC096F" w:rsidP="00B72582">
      <w:pPr>
        <w:keepNext/>
        <w:keepLines/>
        <w:numPr>
          <w:ilvl w:val="2"/>
          <w:numId w:val="8"/>
        </w:numPr>
        <w:spacing w:before="240" w:after="120" w:line="276" w:lineRule="auto"/>
        <w:ind w:left="993" w:hanging="709"/>
        <w:jc w:val="left"/>
        <w:outlineLvl w:val="2"/>
        <w:rPr>
          <w:rFonts w:eastAsia="Times New Roman" w:cs="Calibri"/>
          <w:b/>
          <w:bCs/>
          <w:noProof/>
          <w:sz w:val="18"/>
          <w:szCs w:val="18"/>
          <w:lang w:eastAsia="fr-FR"/>
        </w:rPr>
      </w:pPr>
      <w:bookmarkStart w:id="2" w:name="_Toc102639482"/>
      <w:r>
        <w:rPr>
          <w:rFonts w:eastAsia="Times New Roman" w:cs="Calibri"/>
          <w:b/>
          <w:bCs/>
          <w:sz w:val="18"/>
          <w:szCs w:val="18"/>
          <w:lang w:eastAsia="fr-FR"/>
        </w:rPr>
        <w:t>Moyens</w:t>
      </w:r>
      <w:r w:rsidR="00BD1D99">
        <w:rPr>
          <w:rFonts w:eastAsia="Times New Roman" w:cs="Calibri"/>
          <w:b/>
          <w:bCs/>
          <w:sz w:val="18"/>
          <w:szCs w:val="18"/>
          <w:lang w:eastAsia="fr-FR"/>
        </w:rPr>
        <w:t xml:space="preserve"> mises en œuvre pour assurer les opérations de maintenance préventive</w:t>
      </w:r>
      <w:r w:rsidR="00256D3C" w:rsidRPr="000A338C">
        <w:rPr>
          <w:rFonts w:eastAsia="Times New Roman" w:cs="Calibri"/>
          <w:b/>
          <w:bCs/>
          <w:noProof/>
          <w:color w:val="0070C0"/>
          <w:sz w:val="18"/>
          <w:szCs w:val="18"/>
          <w:lang w:eastAsia="fr-FR"/>
        </w:rPr>
        <w:t xml:space="preserve"> </w:t>
      </w:r>
      <w:r w:rsidR="00202B70">
        <w:rPr>
          <w:rFonts w:eastAsia="Times New Roman" w:cs="Calibri"/>
          <w:b/>
          <w:bCs/>
          <w:noProof/>
          <w:color w:val="0070C0"/>
          <w:sz w:val="18"/>
          <w:szCs w:val="18"/>
          <w:lang w:eastAsia="fr-FR"/>
        </w:rPr>
        <w:t>(5</w:t>
      </w:r>
      <w:r w:rsidR="00B72582" w:rsidRPr="000A338C">
        <w:rPr>
          <w:rFonts w:eastAsia="Times New Roman" w:cs="Calibri"/>
          <w:b/>
          <w:bCs/>
          <w:noProof/>
          <w:color w:val="0070C0"/>
          <w:sz w:val="18"/>
          <w:szCs w:val="18"/>
          <w:lang w:eastAsia="fr-FR"/>
        </w:rPr>
        <w:t xml:space="preserve"> points)</w:t>
      </w:r>
      <w:bookmarkEnd w:id="2"/>
    </w:p>
    <w:p w14:paraId="034FB843" w14:textId="77777777" w:rsidR="00BD1D99" w:rsidRDefault="00BD1D99" w:rsidP="00BD1D99">
      <w:pPr>
        <w:spacing w:after="0" w:line="276" w:lineRule="auto"/>
        <w:ind w:left="308" w:hanging="24"/>
        <w:jc w:val="left"/>
        <w:rPr>
          <w:rFonts w:eastAsia="Times New Roman"/>
          <w:sz w:val="18"/>
          <w:szCs w:val="18"/>
          <w:lang w:eastAsia="fr-FR"/>
        </w:rPr>
      </w:pPr>
      <w:r>
        <w:rPr>
          <w:rFonts w:eastAsia="Times New Roman"/>
          <w:sz w:val="18"/>
          <w:szCs w:val="18"/>
          <w:lang w:eastAsia="fr-FR"/>
        </w:rPr>
        <w:t xml:space="preserve">- Volume d’heures dédiées à la prestation de maintenance préventive annuelle </w:t>
      </w:r>
      <w:r w:rsidR="00BB24FE" w:rsidRPr="00BB24FE">
        <w:rPr>
          <w:rFonts w:eastAsia="Times New Roman"/>
          <w:sz w:val="18"/>
          <w:szCs w:val="18"/>
          <w:u w:val="single"/>
          <w:lang w:eastAsia="fr-FR"/>
        </w:rPr>
        <w:t xml:space="preserve">détaillé </w:t>
      </w:r>
      <w:r w:rsidRPr="00BB24FE">
        <w:rPr>
          <w:rFonts w:eastAsia="Times New Roman"/>
          <w:sz w:val="18"/>
          <w:szCs w:val="18"/>
          <w:u w:val="single"/>
          <w:lang w:eastAsia="fr-FR"/>
        </w:rPr>
        <w:t>par site</w:t>
      </w:r>
      <w:r w:rsidR="00DC096F">
        <w:rPr>
          <w:rFonts w:ascii="Calibri" w:eastAsia="Times New Roman" w:hAnsi="Calibri" w:cs="Calibri"/>
          <w:sz w:val="18"/>
          <w:szCs w:val="18"/>
          <w:lang w:eastAsia="fr-FR"/>
        </w:rPr>
        <w:t> </w:t>
      </w:r>
      <w:r w:rsidR="00DC096F">
        <w:rPr>
          <w:rFonts w:eastAsia="Times New Roman"/>
          <w:sz w:val="18"/>
          <w:szCs w:val="18"/>
          <w:lang w:eastAsia="fr-FR"/>
        </w:rPr>
        <w:t>: le volume horaire</w:t>
      </w:r>
      <w:bookmarkStart w:id="3" w:name="_GoBack"/>
      <w:bookmarkEnd w:id="3"/>
      <w:r w:rsidR="006615C1">
        <w:rPr>
          <w:rFonts w:eastAsia="Times New Roman"/>
          <w:sz w:val="18"/>
          <w:szCs w:val="18"/>
          <w:lang w:eastAsia="fr-FR"/>
        </w:rPr>
        <w:t xml:space="preserve"> (exprimé en heures d’ETP)</w:t>
      </w:r>
      <w:r w:rsidR="00DC096F">
        <w:rPr>
          <w:rFonts w:eastAsia="Times New Roman"/>
          <w:sz w:val="18"/>
          <w:szCs w:val="18"/>
          <w:lang w:eastAsia="fr-FR"/>
        </w:rPr>
        <w:t xml:space="preserve"> doit correspondre aux prestations prévues à l’article 2 du CCTP et comprend les prestations réalisées par des sous-traitants</w:t>
      </w:r>
      <w:r w:rsidR="00C6006A">
        <w:rPr>
          <w:rFonts w:eastAsia="Times New Roman"/>
          <w:sz w:val="18"/>
          <w:szCs w:val="18"/>
          <w:lang w:eastAsia="fr-FR"/>
        </w:rPr>
        <w:t xml:space="preserve"> éventuels</w:t>
      </w:r>
      <w:r w:rsidR="00DC096F">
        <w:rPr>
          <w:rFonts w:eastAsia="Times New Roman"/>
          <w:sz w:val="18"/>
          <w:szCs w:val="18"/>
          <w:lang w:eastAsia="fr-FR"/>
        </w:rPr>
        <w:t xml:space="preserve">. </w:t>
      </w:r>
      <w:r w:rsidR="009B53B8" w:rsidRPr="00DC096F">
        <w:rPr>
          <w:rFonts w:eastAsia="Times New Roman"/>
          <w:b/>
          <w:sz w:val="18"/>
          <w:szCs w:val="18"/>
          <w:lang w:eastAsia="fr-FR"/>
        </w:rPr>
        <w:t>3 pts</w:t>
      </w:r>
    </w:p>
    <w:p w14:paraId="245C8B7A" w14:textId="77777777" w:rsidR="00BD1D99" w:rsidRDefault="00BD1D99" w:rsidP="00BD1D99">
      <w:pPr>
        <w:spacing w:after="0" w:line="276" w:lineRule="auto"/>
        <w:ind w:left="308" w:hanging="24"/>
        <w:jc w:val="left"/>
        <w:rPr>
          <w:rFonts w:eastAsia="Times New Roman"/>
          <w:sz w:val="18"/>
          <w:szCs w:val="18"/>
          <w:lang w:eastAsia="fr-FR"/>
        </w:rPr>
      </w:pPr>
      <w:r>
        <w:rPr>
          <w:rFonts w:eastAsia="Times New Roman"/>
          <w:sz w:val="18"/>
          <w:szCs w:val="18"/>
          <w:lang w:eastAsia="fr-FR"/>
        </w:rPr>
        <w:t xml:space="preserve">- Capacité de l’entreprise à intervenir sur des installations de marques </w:t>
      </w:r>
      <w:r w:rsidR="00DC096F">
        <w:rPr>
          <w:rFonts w:eastAsia="Times New Roman"/>
          <w:sz w:val="18"/>
          <w:szCs w:val="18"/>
          <w:lang w:eastAsia="fr-FR"/>
        </w:rPr>
        <w:t xml:space="preserve">différentes </w:t>
      </w:r>
      <w:r>
        <w:rPr>
          <w:rFonts w:eastAsia="Times New Roman"/>
          <w:sz w:val="18"/>
          <w:szCs w:val="18"/>
          <w:lang w:eastAsia="fr-FR"/>
        </w:rPr>
        <w:t>(cf. monographie)</w:t>
      </w:r>
      <w:r>
        <w:rPr>
          <w:rFonts w:ascii="Calibri" w:eastAsia="Times New Roman" w:hAnsi="Calibri" w:cs="Calibri"/>
          <w:sz w:val="18"/>
          <w:szCs w:val="18"/>
          <w:lang w:eastAsia="fr-FR"/>
        </w:rPr>
        <w:t> </w:t>
      </w:r>
      <w:r w:rsidR="009B53B8" w:rsidRPr="00DC096F">
        <w:rPr>
          <w:rFonts w:eastAsia="Times New Roman"/>
          <w:b/>
          <w:sz w:val="18"/>
          <w:szCs w:val="18"/>
          <w:lang w:eastAsia="fr-FR"/>
        </w:rPr>
        <w:t>1 pt</w:t>
      </w:r>
    </w:p>
    <w:p w14:paraId="0D5F9673" w14:textId="77777777" w:rsidR="00B93D45" w:rsidRDefault="00B93D45" w:rsidP="00BD1D99">
      <w:pPr>
        <w:spacing w:after="0" w:line="276" w:lineRule="auto"/>
        <w:ind w:left="308" w:hanging="24"/>
        <w:jc w:val="left"/>
        <w:rPr>
          <w:rFonts w:eastAsia="Times New Roman"/>
          <w:sz w:val="18"/>
          <w:szCs w:val="18"/>
          <w:lang w:eastAsia="fr-FR"/>
        </w:rPr>
      </w:pPr>
      <w:r>
        <w:rPr>
          <w:rFonts w:eastAsia="Times New Roman"/>
          <w:sz w:val="18"/>
          <w:szCs w:val="18"/>
          <w:lang w:eastAsia="fr-FR"/>
        </w:rPr>
        <w:t xml:space="preserve">- Moyens mis en œuvre </w:t>
      </w:r>
      <w:r w:rsidR="00DC096F">
        <w:rPr>
          <w:rFonts w:eastAsia="Times New Roman"/>
          <w:sz w:val="18"/>
          <w:szCs w:val="18"/>
          <w:lang w:eastAsia="fr-FR"/>
        </w:rPr>
        <w:t>par le titulaire</w:t>
      </w:r>
      <w:r>
        <w:rPr>
          <w:rFonts w:eastAsia="Times New Roman"/>
          <w:sz w:val="18"/>
          <w:szCs w:val="18"/>
          <w:lang w:eastAsia="fr-FR"/>
        </w:rPr>
        <w:t xml:space="preserve"> pour assurer la veille réglementaire dans le domaine objet du présent marché</w:t>
      </w:r>
      <w:r>
        <w:rPr>
          <w:rFonts w:ascii="Calibri" w:eastAsia="Times New Roman" w:hAnsi="Calibri" w:cs="Calibri"/>
          <w:sz w:val="18"/>
          <w:szCs w:val="18"/>
          <w:lang w:eastAsia="fr-FR"/>
        </w:rPr>
        <w:t> </w:t>
      </w:r>
      <w:r w:rsidR="009B53B8" w:rsidRPr="00DC096F">
        <w:rPr>
          <w:rFonts w:eastAsia="Times New Roman"/>
          <w:b/>
          <w:sz w:val="18"/>
          <w:szCs w:val="18"/>
          <w:lang w:eastAsia="fr-FR"/>
        </w:rPr>
        <w:t>1 pt</w:t>
      </w:r>
    </w:p>
    <w:p w14:paraId="271B7D11" w14:textId="77777777" w:rsidR="00B72582" w:rsidRPr="000A338C" w:rsidRDefault="00C6006A" w:rsidP="00B72582">
      <w:pPr>
        <w:keepNext/>
        <w:keepLines/>
        <w:numPr>
          <w:ilvl w:val="2"/>
          <w:numId w:val="8"/>
        </w:numPr>
        <w:spacing w:before="240" w:after="120" w:line="276" w:lineRule="auto"/>
        <w:ind w:left="993" w:hanging="709"/>
        <w:jc w:val="left"/>
        <w:outlineLvl w:val="2"/>
        <w:rPr>
          <w:rFonts w:eastAsia="Times New Roman" w:cs="Calibri"/>
          <w:b/>
          <w:bCs/>
          <w:noProof/>
          <w:sz w:val="18"/>
          <w:szCs w:val="18"/>
          <w:lang w:eastAsia="fr-FR"/>
        </w:rPr>
      </w:pPr>
      <w:bookmarkStart w:id="4" w:name="_Toc102639483"/>
      <w:r>
        <w:rPr>
          <w:rFonts w:eastAsia="Times New Roman" w:cs="Calibri"/>
          <w:b/>
          <w:bCs/>
          <w:noProof/>
          <w:sz w:val="18"/>
          <w:szCs w:val="18"/>
          <w:lang w:eastAsia="fr-FR"/>
        </w:rPr>
        <w:t>Méthodologie mise</w:t>
      </w:r>
      <w:r w:rsidR="00BD1D99">
        <w:rPr>
          <w:rFonts w:eastAsia="Times New Roman" w:cs="Calibri"/>
          <w:b/>
          <w:bCs/>
          <w:noProof/>
          <w:sz w:val="18"/>
          <w:szCs w:val="18"/>
          <w:lang w:eastAsia="fr-FR"/>
        </w:rPr>
        <w:t xml:space="preserve"> en œuvre pour assurer les opérations de maintenance corrective</w:t>
      </w:r>
      <w:r w:rsidR="00642837" w:rsidRPr="00642837">
        <w:rPr>
          <w:rFonts w:eastAsia="Times New Roman" w:cs="Calibri"/>
          <w:b/>
          <w:bCs/>
          <w:noProof/>
          <w:sz w:val="18"/>
          <w:szCs w:val="18"/>
          <w:lang w:eastAsia="fr-FR"/>
        </w:rPr>
        <w:t xml:space="preserve"> </w:t>
      </w:r>
      <w:r w:rsidR="00B93D45">
        <w:rPr>
          <w:rFonts w:eastAsia="Times New Roman" w:cs="Calibri"/>
          <w:b/>
          <w:bCs/>
          <w:noProof/>
          <w:color w:val="0070C0"/>
          <w:sz w:val="18"/>
          <w:szCs w:val="18"/>
          <w:lang w:eastAsia="fr-FR"/>
        </w:rPr>
        <w:t>(5</w:t>
      </w:r>
      <w:r w:rsidR="00B72582" w:rsidRPr="000A338C">
        <w:rPr>
          <w:rFonts w:eastAsia="Times New Roman" w:cs="Calibri"/>
          <w:b/>
          <w:bCs/>
          <w:noProof/>
          <w:color w:val="0070C0"/>
          <w:sz w:val="18"/>
          <w:szCs w:val="18"/>
          <w:lang w:eastAsia="fr-FR"/>
        </w:rPr>
        <w:t xml:space="preserve"> point</w:t>
      </w:r>
      <w:r w:rsidR="00B72582">
        <w:rPr>
          <w:rFonts w:eastAsia="Times New Roman" w:cs="Calibri"/>
          <w:b/>
          <w:bCs/>
          <w:noProof/>
          <w:color w:val="0070C0"/>
          <w:sz w:val="18"/>
          <w:szCs w:val="18"/>
          <w:lang w:eastAsia="fr-FR"/>
        </w:rPr>
        <w:t>s</w:t>
      </w:r>
      <w:r w:rsidR="00B72582" w:rsidRPr="000A338C">
        <w:rPr>
          <w:rFonts w:eastAsia="Times New Roman" w:cs="Calibri"/>
          <w:b/>
          <w:bCs/>
          <w:noProof/>
          <w:color w:val="0070C0"/>
          <w:sz w:val="18"/>
          <w:szCs w:val="18"/>
          <w:lang w:eastAsia="fr-FR"/>
        </w:rPr>
        <w:t>)</w:t>
      </w:r>
      <w:bookmarkEnd w:id="4"/>
    </w:p>
    <w:p w14:paraId="6499ACFF" w14:textId="77777777" w:rsidR="00B72582" w:rsidRPr="000A338C" w:rsidRDefault="00B72582" w:rsidP="00B72582">
      <w:pPr>
        <w:spacing w:after="0" w:line="276" w:lineRule="auto"/>
        <w:ind w:left="993" w:hanging="709"/>
        <w:jc w:val="left"/>
        <w:rPr>
          <w:rFonts w:eastAsia="Times New Roman"/>
          <w:sz w:val="18"/>
          <w:szCs w:val="18"/>
          <w:lang w:eastAsia="fr-FR"/>
        </w:rPr>
      </w:pPr>
      <w:r w:rsidRPr="000A338C">
        <w:rPr>
          <w:rFonts w:eastAsia="Times New Roman"/>
          <w:sz w:val="18"/>
          <w:szCs w:val="18"/>
          <w:lang w:eastAsia="fr-FR"/>
        </w:rPr>
        <w:t xml:space="preserve">- </w:t>
      </w:r>
      <w:r w:rsidR="00BD1D99">
        <w:rPr>
          <w:rFonts w:eastAsia="Times New Roman"/>
          <w:sz w:val="18"/>
          <w:szCs w:val="18"/>
          <w:lang w:eastAsia="fr-FR"/>
        </w:rPr>
        <w:t>Modalité</w:t>
      </w:r>
      <w:r w:rsidR="00882E63">
        <w:rPr>
          <w:rFonts w:eastAsia="Times New Roman"/>
          <w:sz w:val="18"/>
          <w:szCs w:val="18"/>
          <w:lang w:eastAsia="fr-FR"/>
        </w:rPr>
        <w:t>s</w:t>
      </w:r>
      <w:r w:rsidR="00BD1D99">
        <w:rPr>
          <w:rFonts w:eastAsia="Times New Roman"/>
          <w:sz w:val="18"/>
          <w:szCs w:val="18"/>
          <w:lang w:eastAsia="fr-FR"/>
        </w:rPr>
        <w:t xml:space="preserve"> et processus de traitement des demandes de dépannage dans les délais impartis au CCTP (</w:t>
      </w:r>
      <w:r w:rsidR="00B93D45">
        <w:rPr>
          <w:rFonts w:eastAsia="Times New Roman"/>
          <w:sz w:val="18"/>
          <w:szCs w:val="18"/>
          <w:lang w:eastAsia="fr-FR"/>
        </w:rPr>
        <w:t xml:space="preserve">point de contact dans l’entreprise pour les demandes de dépannage, </w:t>
      </w:r>
      <w:r w:rsidR="006615C1">
        <w:rPr>
          <w:rFonts w:eastAsia="Times New Roman"/>
          <w:sz w:val="18"/>
          <w:szCs w:val="18"/>
          <w:lang w:eastAsia="fr-FR"/>
        </w:rPr>
        <w:t>constitution d’</w:t>
      </w:r>
      <w:r w:rsidR="00BD1D99">
        <w:rPr>
          <w:rFonts w:eastAsia="Times New Roman"/>
          <w:sz w:val="18"/>
          <w:szCs w:val="18"/>
          <w:lang w:eastAsia="fr-FR"/>
        </w:rPr>
        <w:t>équipe</w:t>
      </w:r>
      <w:r w:rsidR="00B93D45">
        <w:rPr>
          <w:rFonts w:eastAsia="Times New Roman"/>
          <w:sz w:val="18"/>
          <w:szCs w:val="18"/>
          <w:lang w:eastAsia="fr-FR"/>
        </w:rPr>
        <w:t xml:space="preserve"> d’intervention</w:t>
      </w:r>
      <w:r w:rsidR="00BD1D99">
        <w:rPr>
          <w:rFonts w:eastAsia="Times New Roman"/>
          <w:sz w:val="18"/>
          <w:szCs w:val="18"/>
          <w:lang w:eastAsia="fr-FR"/>
        </w:rPr>
        <w:t>, …)</w:t>
      </w:r>
      <w:r w:rsidR="00BD1D99">
        <w:rPr>
          <w:rFonts w:ascii="Calibri" w:eastAsia="Times New Roman" w:hAnsi="Calibri" w:cs="Calibri"/>
          <w:sz w:val="18"/>
          <w:szCs w:val="18"/>
          <w:lang w:eastAsia="fr-FR"/>
        </w:rPr>
        <w:t> </w:t>
      </w:r>
      <w:r w:rsidR="00C6006A">
        <w:rPr>
          <w:rFonts w:eastAsia="Times New Roman"/>
          <w:b/>
          <w:sz w:val="18"/>
          <w:szCs w:val="18"/>
          <w:lang w:eastAsia="fr-FR"/>
        </w:rPr>
        <w:t>2</w:t>
      </w:r>
      <w:r w:rsidR="001A5A8D" w:rsidRPr="00C6006A">
        <w:rPr>
          <w:rFonts w:eastAsia="Times New Roman"/>
          <w:b/>
          <w:sz w:val="18"/>
          <w:szCs w:val="18"/>
          <w:lang w:eastAsia="fr-FR"/>
        </w:rPr>
        <w:t xml:space="preserve"> pts</w:t>
      </w:r>
    </w:p>
    <w:p w14:paraId="768E98D6" w14:textId="77777777" w:rsidR="00B72582" w:rsidRPr="000A338C" w:rsidRDefault="00B72582" w:rsidP="00B72582">
      <w:pPr>
        <w:spacing w:after="0" w:line="276" w:lineRule="auto"/>
        <w:ind w:left="993" w:hanging="709"/>
        <w:jc w:val="left"/>
        <w:rPr>
          <w:rFonts w:eastAsia="Times New Roman"/>
          <w:sz w:val="18"/>
          <w:szCs w:val="18"/>
          <w:lang w:eastAsia="fr-FR"/>
        </w:rPr>
      </w:pPr>
      <w:r w:rsidRPr="000A338C">
        <w:rPr>
          <w:rFonts w:eastAsia="Times New Roman"/>
          <w:sz w:val="18"/>
          <w:szCs w:val="18"/>
          <w:lang w:eastAsia="fr-FR"/>
        </w:rPr>
        <w:t xml:space="preserve">- </w:t>
      </w:r>
      <w:r w:rsidR="00B93D45">
        <w:rPr>
          <w:rFonts w:eastAsia="Times New Roman"/>
          <w:sz w:val="18"/>
          <w:szCs w:val="18"/>
          <w:lang w:eastAsia="fr-FR"/>
        </w:rPr>
        <w:t>Modalité</w:t>
      </w:r>
      <w:r w:rsidR="00882E63">
        <w:rPr>
          <w:rFonts w:eastAsia="Times New Roman"/>
          <w:sz w:val="18"/>
          <w:szCs w:val="18"/>
          <w:lang w:eastAsia="fr-FR"/>
        </w:rPr>
        <w:t>s</w:t>
      </w:r>
      <w:r w:rsidR="00B93D45">
        <w:rPr>
          <w:rFonts w:eastAsia="Times New Roman"/>
          <w:sz w:val="18"/>
          <w:szCs w:val="18"/>
          <w:lang w:eastAsia="fr-FR"/>
        </w:rPr>
        <w:t xml:space="preserve"> d’organisation pour assurer la continuité de service et réduire le temps d’indisponibilité dans le cadre d’un dysfonctionnement (gestion de stocks</w:t>
      </w:r>
      <w:r w:rsidR="001A5A8D">
        <w:rPr>
          <w:rFonts w:eastAsia="Times New Roman"/>
          <w:sz w:val="18"/>
          <w:szCs w:val="18"/>
          <w:lang w:eastAsia="fr-FR"/>
        </w:rPr>
        <w:t xml:space="preserve"> de pièces</w:t>
      </w:r>
      <w:r w:rsidR="00B93D45">
        <w:rPr>
          <w:rFonts w:eastAsia="Times New Roman"/>
          <w:sz w:val="18"/>
          <w:szCs w:val="18"/>
          <w:lang w:eastAsia="fr-FR"/>
        </w:rPr>
        <w:t>, accord fournisseur, etc</w:t>
      </w:r>
      <w:r w:rsidR="00C6006A">
        <w:rPr>
          <w:rFonts w:ascii="Calibri" w:eastAsia="Times New Roman" w:hAnsi="Calibri" w:cs="Calibri"/>
          <w:sz w:val="18"/>
          <w:szCs w:val="18"/>
          <w:lang w:eastAsia="fr-FR"/>
        </w:rPr>
        <w:t>.) </w:t>
      </w:r>
      <w:r w:rsidR="00C6006A" w:rsidRPr="00C6006A">
        <w:rPr>
          <w:rFonts w:eastAsia="Times New Roman"/>
          <w:b/>
          <w:sz w:val="18"/>
          <w:szCs w:val="18"/>
          <w:lang w:eastAsia="fr-FR"/>
        </w:rPr>
        <w:t>3 pts</w:t>
      </w:r>
    </w:p>
    <w:p w14:paraId="578A40A7" w14:textId="77777777" w:rsidR="00B72582" w:rsidRPr="000A338C" w:rsidRDefault="00B93D45" w:rsidP="00B72582">
      <w:pPr>
        <w:keepNext/>
        <w:keepLines/>
        <w:numPr>
          <w:ilvl w:val="2"/>
          <w:numId w:val="8"/>
        </w:numPr>
        <w:spacing w:before="240" w:after="120" w:line="276" w:lineRule="auto"/>
        <w:ind w:left="993" w:hanging="709"/>
        <w:jc w:val="left"/>
        <w:outlineLvl w:val="2"/>
        <w:rPr>
          <w:rFonts w:eastAsia="Times New Roman" w:cs="Calibri"/>
          <w:b/>
          <w:bCs/>
          <w:noProof/>
          <w:sz w:val="18"/>
          <w:szCs w:val="18"/>
          <w:lang w:eastAsia="fr-FR"/>
        </w:rPr>
      </w:pPr>
      <w:bookmarkStart w:id="5" w:name="_Toc102639484"/>
      <w:r>
        <w:rPr>
          <w:rFonts w:eastAsia="Times New Roman" w:cs="Calibri"/>
          <w:b/>
          <w:bCs/>
          <w:noProof/>
          <w:sz w:val="18"/>
          <w:szCs w:val="18"/>
          <w:lang w:eastAsia="fr-FR"/>
        </w:rPr>
        <w:t>Organisation de l’HSCT et dispositions arrêtées par l’entreprise pour assurer la sécurité lors de la réalisation des prestations</w:t>
      </w:r>
      <w:r w:rsidR="00B72582" w:rsidRPr="000A338C">
        <w:rPr>
          <w:rFonts w:ascii="Calibri" w:eastAsia="Times New Roman" w:hAnsi="Calibri" w:cs="Calibri"/>
          <w:b/>
          <w:bCs/>
          <w:noProof/>
          <w:sz w:val="18"/>
          <w:szCs w:val="18"/>
          <w:lang w:eastAsia="fr-FR"/>
        </w:rPr>
        <w:t> </w:t>
      </w:r>
      <w:r w:rsidR="00642837">
        <w:rPr>
          <w:rFonts w:eastAsia="Times New Roman" w:cs="Calibri"/>
          <w:b/>
          <w:bCs/>
          <w:noProof/>
          <w:color w:val="0070C0"/>
          <w:sz w:val="18"/>
          <w:szCs w:val="18"/>
          <w:lang w:eastAsia="fr-FR"/>
        </w:rPr>
        <w:t>(10</w:t>
      </w:r>
      <w:r w:rsidR="00B72582" w:rsidRPr="000A338C">
        <w:rPr>
          <w:rFonts w:eastAsia="Times New Roman" w:cs="Calibri"/>
          <w:b/>
          <w:bCs/>
          <w:noProof/>
          <w:color w:val="0070C0"/>
          <w:sz w:val="18"/>
          <w:szCs w:val="18"/>
          <w:lang w:eastAsia="fr-FR"/>
        </w:rPr>
        <w:t xml:space="preserve"> points)</w:t>
      </w:r>
      <w:bookmarkEnd w:id="5"/>
    </w:p>
    <w:p w14:paraId="6DDF2AB2" w14:textId="77777777" w:rsidR="00C34DE6" w:rsidRDefault="00B72582" w:rsidP="00B93D45">
      <w:pPr>
        <w:spacing w:after="0" w:line="276" w:lineRule="auto"/>
        <w:ind w:left="284"/>
        <w:rPr>
          <w:rFonts w:eastAsia="Times New Roman"/>
          <w:sz w:val="18"/>
          <w:szCs w:val="18"/>
          <w:lang w:eastAsia="fr-FR"/>
        </w:rPr>
      </w:pPr>
      <w:r w:rsidRPr="000A338C">
        <w:rPr>
          <w:rFonts w:eastAsia="Times New Roman"/>
          <w:sz w:val="18"/>
          <w:szCs w:val="18"/>
          <w:lang w:eastAsia="fr-FR"/>
        </w:rPr>
        <w:t xml:space="preserve">- </w:t>
      </w:r>
      <w:r w:rsidR="00B93D45">
        <w:rPr>
          <w:rFonts w:eastAsia="Times New Roman"/>
          <w:sz w:val="18"/>
          <w:szCs w:val="18"/>
          <w:lang w:eastAsia="fr-FR"/>
        </w:rPr>
        <w:t>Management et organisation de l’HSCT dans l’entreprise (culture du risque, formation des techniciens, certifications, etc.)</w:t>
      </w:r>
      <w:r w:rsidR="00B93D45">
        <w:rPr>
          <w:rFonts w:ascii="Calibri" w:eastAsia="Times New Roman" w:hAnsi="Calibri" w:cs="Calibri"/>
          <w:sz w:val="18"/>
          <w:szCs w:val="18"/>
          <w:lang w:eastAsia="fr-FR"/>
        </w:rPr>
        <w:t> </w:t>
      </w:r>
      <w:r w:rsidR="001A5A8D">
        <w:rPr>
          <w:rFonts w:eastAsia="Times New Roman"/>
          <w:sz w:val="18"/>
          <w:szCs w:val="18"/>
          <w:lang w:eastAsia="fr-FR"/>
        </w:rPr>
        <w:t xml:space="preserve"> </w:t>
      </w:r>
      <w:r w:rsidR="001A5A8D" w:rsidRPr="00C6006A">
        <w:rPr>
          <w:rFonts w:eastAsia="Times New Roman"/>
          <w:b/>
          <w:sz w:val="18"/>
          <w:szCs w:val="18"/>
          <w:lang w:eastAsia="fr-FR"/>
        </w:rPr>
        <w:t>5 pts</w:t>
      </w:r>
    </w:p>
    <w:p w14:paraId="2575DB50" w14:textId="77777777" w:rsidR="00B93D45" w:rsidRPr="00C34DE6" w:rsidRDefault="00B93D45" w:rsidP="00B93D45">
      <w:pPr>
        <w:spacing w:after="0" w:line="276" w:lineRule="auto"/>
        <w:ind w:left="284"/>
        <w:rPr>
          <w:rFonts w:eastAsia="Times New Roman"/>
          <w:sz w:val="18"/>
          <w:szCs w:val="18"/>
          <w:lang w:eastAsia="fr-FR"/>
        </w:rPr>
      </w:pPr>
      <w:r>
        <w:rPr>
          <w:rFonts w:eastAsia="Times New Roman"/>
          <w:sz w:val="18"/>
          <w:szCs w:val="18"/>
          <w:lang w:eastAsia="fr-FR"/>
        </w:rPr>
        <w:t>- Mesures prises pour assurer la sécurité des techniciens lors des interventions à risque d’explosion</w:t>
      </w:r>
      <w:r w:rsidR="00BB24FE">
        <w:rPr>
          <w:rFonts w:eastAsia="Times New Roman"/>
          <w:sz w:val="18"/>
          <w:szCs w:val="18"/>
          <w:lang w:eastAsia="fr-FR"/>
        </w:rPr>
        <w:t>, réglementation ATEX</w:t>
      </w:r>
      <w:r>
        <w:rPr>
          <w:rFonts w:eastAsia="Times New Roman"/>
          <w:sz w:val="18"/>
          <w:szCs w:val="18"/>
          <w:lang w:eastAsia="fr-FR"/>
        </w:rPr>
        <w:t xml:space="preserve"> (procédures, matériels mis en œuvre, EPI spécifiques, etc.) et pour la sécurité des personnes à proximité de l’environnement des prestations (balisage, etc.).</w:t>
      </w:r>
      <w:r w:rsidR="001A5A8D">
        <w:rPr>
          <w:rFonts w:eastAsia="Times New Roman"/>
          <w:sz w:val="18"/>
          <w:szCs w:val="18"/>
          <w:lang w:eastAsia="fr-FR"/>
        </w:rPr>
        <w:t xml:space="preserve"> </w:t>
      </w:r>
      <w:r w:rsidR="001A5A8D" w:rsidRPr="00C6006A">
        <w:rPr>
          <w:rFonts w:eastAsia="Times New Roman"/>
          <w:b/>
          <w:sz w:val="18"/>
          <w:szCs w:val="18"/>
          <w:lang w:eastAsia="fr-FR"/>
        </w:rPr>
        <w:t>5 pts</w:t>
      </w:r>
    </w:p>
    <w:p w14:paraId="356B4E3A" w14:textId="77777777" w:rsidR="00202B70" w:rsidRPr="00202B70" w:rsidRDefault="00202B70" w:rsidP="00202B70">
      <w:pPr>
        <w:pStyle w:val="Titre3"/>
        <w:ind w:firstLine="283"/>
        <w:rPr>
          <w:rFonts w:cs="Calibri"/>
          <w:b/>
          <w:bCs/>
          <w:noProof/>
          <w:sz w:val="18"/>
          <w:szCs w:val="18"/>
          <w:u w:val="none"/>
        </w:rPr>
      </w:pPr>
      <w:r w:rsidRPr="00202B70">
        <w:rPr>
          <w:rFonts w:cs="Calibri"/>
          <w:b/>
          <w:bCs/>
          <w:noProof/>
          <w:sz w:val="18"/>
          <w:szCs w:val="18"/>
          <w:u w:val="none"/>
        </w:rPr>
        <w:t>Projet de SOGED</w:t>
      </w:r>
      <w:r w:rsidR="008E7788">
        <w:rPr>
          <w:rFonts w:cs="Calibri"/>
          <w:b/>
          <w:bCs/>
          <w:noProof/>
          <w:sz w:val="18"/>
          <w:szCs w:val="18"/>
          <w:u w:val="none"/>
        </w:rPr>
        <w:t xml:space="preserve"> selon trame fournie en annexe </w:t>
      </w:r>
      <w:r>
        <w:rPr>
          <w:rFonts w:cs="Calibri"/>
          <w:b/>
          <w:bCs/>
          <w:noProof/>
          <w:sz w:val="18"/>
          <w:szCs w:val="18"/>
          <w:u w:val="none"/>
        </w:rPr>
        <w:t xml:space="preserve"> </w:t>
      </w:r>
      <w:r>
        <w:rPr>
          <w:rFonts w:cs="Calibri"/>
          <w:b/>
          <w:bCs/>
          <w:noProof/>
          <w:color w:val="0070C0"/>
          <w:sz w:val="18"/>
          <w:szCs w:val="18"/>
        </w:rPr>
        <w:t>(5</w:t>
      </w:r>
      <w:r w:rsidRPr="000A338C">
        <w:rPr>
          <w:rFonts w:cs="Calibri"/>
          <w:b/>
          <w:bCs/>
          <w:noProof/>
          <w:color w:val="0070C0"/>
          <w:sz w:val="18"/>
          <w:szCs w:val="18"/>
        </w:rPr>
        <w:t xml:space="preserve"> points)</w:t>
      </w:r>
    </w:p>
    <w:p w14:paraId="70A4C974" w14:textId="77777777" w:rsidR="00A87D05" w:rsidRPr="00822885" w:rsidRDefault="00A87D05" w:rsidP="00642837">
      <w:pPr>
        <w:spacing w:after="0" w:line="276" w:lineRule="auto"/>
        <w:ind w:left="284"/>
        <w:rPr>
          <w:rFonts w:eastAsia="Times New Roman" w:cs="Calibri"/>
          <w:sz w:val="18"/>
          <w:szCs w:val="18"/>
          <w:lang w:eastAsia="fr-FR"/>
        </w:rPr>
      </w:pPr>
    </w:p>
    <w:p w14:paraId="7CD164CB" w14:textId="77777777" w:rsidR="00202B70" w:rsidRPr="00202B70" w:rsidRDefault="00A87D05" w:rsidP="00202B70">
      <w:pPr>
        <w:spacing w:after="0" w:line="276" w:lineRule="auto"/>
        <w:jc w:val="left"/>
        <w:rPr>
          <w:rFonts w:eastAsia="Times New Roman" w:cs="Calibri"/>
          <w:b/>
          <w:sz w:val="18"/>
          <w:szCs w:val="18"/>
          <w:lang w:eastAsia="fr-FR"/>
        </w:rPr>
      </w:pPr>
      <w:r w:rsidRPr="00A87D05">
        <w:rPr>
          <w:rFonts w:eastAsia="Times New Roman" w:cs="Calibri"/>
          <w:b/>
          <w:sz w:val="18"/>
          <w:szCs w:val="18"/>
          <w:lang w:eastAsia="fr-FR"/>
        </w:rPr>
        <w:t>Le mémoire te</w:t>
      </w:r>
      <w:r w:rsidR="00202B70">
        <w:rPr>
          <w:rFonts w:eastAsia="Times New Roman" w:cs="Calibri"/>
          <w:b/>
          <w:sz w:val="18"/>
          <w:szCs w:val="18"/>
          <w:lang w:eastAsia="fr-FR"/>
        </w:rPr>
        <w:t>chnique ne devra pas dépasser 25</w:t>
      </w:r>
      <w:r w:rsidRPr="00A87D05">
        <w:rPr>
          <w:rFonts w:eastAsia="Times New Roman" w:cs="Calibri"/>
          <w:b/>
          <w:sz w:val="18"/>
          <w:szCs w:val="18"/>
          <w:lang w:eastAsia="fr-FR"/>
        </w:rPr>
        <w:t xml:space="preserve"> pages (</w:t>
      </w:r>
      <w:r w:rsidR="00202B70">
        <w:rPr>
          <w:rFonts w:eastAsia="Times New Roman" w:cs="Calibri"/>
          <w:b/>
          <w:sz w:val="18"/>
          <w:szCs w:val="18"/>
          <w:lang w:eastAsia="fr-FR"/>
        </w:rPr>
        <w:t>annexes incluses</w:t>
      </w:r>
      <w:r w:rsidRPr="00A87D05">
        <w:rPr>
          <w:rFonts w:eastAsia="Times New Roman" w:cs="Calibri"/>
          <w:b/>
          <w:sz w:val="18"/>
          <w:szCs w:val="18"/>
          <w:lang w:eastAsia="fr-FR"/>
        </w:rPr>
        <w:t>). Tout document fourni en sus des 2</w:t>
      </w:r>
      <w:r w:rsidR="001A5A8D">
        <w:rPr>
          <w:rFonts w:eastAsia="Times New Roman" w:cs="Calibri"/>
          <w:b/>
          <w:sz w:val="18"/>
          <w:szCs w:val="18"/>
          <w:lang w:eastAsia="fr-FR"/>
        </w:rPr>
        <w:t>5</w:t>
      </w:r>
      <w:r w:rsidRPr="00A87D05">
        <w:rPr>
          <w:rFonts w:eastAsia="Times New Roman" w:cs="Calibri"/>
          <w:b/>
          <w:sz w:val="18"/>
          <w:szCs w:val="18"/>
          <w:lang w:eastAsia="fr-FR"/>
        </w:rPr>
        <w:t xml:space="preserve"> pages ne sera pas étu</w:t>
      </w:r>
      <w:r w:rsidR="00202B70">
        <w:rPr>
          <w:rFonts w:eastAsia="Times New Roman" w:cs="Calibri"/>
          <w:b/>
          <w:sz w:val="18"/>
          <w:szCs w:val="18"/>
          <w:lang w:eastAsia="fr-FR"/>
        </w:rPr>
        <w:t>dié dans le jugement de l’offre.</w:t>
      </w:r>
    </w:p>
    <w:sectPr w:rsidR="00202B70" w:rsidRPr="00202B70" w:rsidSect="00822885">
      <w:pgSz w:w="11906" w:h="16838"/>
      <w:pgMar w:top="709" w:right="849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E08EF84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4FF69D0"/>
    <w:multiLevelType w:val="hybridMultilevel"/>
    <w:tmpl w:val="3D32091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C0E445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5A528F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844596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8845892"/>
    <w:multiLevelType w:val="multilevel"/>
    <w:tmpl w:val="5CF48E9C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6" w15:restartNumberingAfterBreak="0">
    <w:nsid w:val="3F12639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44B4352"/>
    <w:multiLevelType w:val="hybridMultilevel"/>
    <w:tmpl w:val="41467460"/>
    <w:lvl w:ilvl="0" w:tplc="6A34E4A6">
      <w:numFmt w:val="bullet"/>
      <w:lvlText w:val="-"/>
      <w:lvlJc w:val="left"/>
      <w:pPr>
        <w:ind w:left="177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575E72F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118737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A66933"/>
    <w:multiLevelType w:val="hybridMultilevel"/>
    <w:tmpl w:val="0FAC82B6"/>
    <w:lvl w:ilvl="0" w:tplc="6A34E4A6">
      <w:numFmt w:val="bullet"/>
      <w:lvlText w:val="-"/>
      <w:lvlJc w:val="left"/>
      <w:pPr>
        <w:ind w:left="177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2A5"/>
    <w:rsid w:val="001343E9"/>
    <w:rsid w:val="0016779F"/>
    <w:rsid w:val="001A5A8D"/>
    <w:rsid w:val="001C17FF"/>
    <w:rsid w:val="00202B70"/>
    <w:rsid w:val="00256D3C"/>
    <w:rsid w:val="002F057B"/>
    <w:rsid w:val="003E55F6"/>
    <w:rsid w:val="005F4CC9"/>
    <w:rsid w:val="00642837"/>
    <w:rsid w:val="006615C1"/>
    <w:rsid w:val="006C35F1"/>
    <w:rsid w:val="0071268E"/>
    <w:rsid w:val="007922A5"/>
    <w:rsid w:val="00822885"/>
    <w:rsid w:val="008445AB"/>
    <w:rsid w:val="008530BA"/>
    <w:rsid w:val="00882E63"/>
    <w:rsid w:val="008E7788"/>
    <w:rsid w:val="009545F8"/>
    <w:rsid w:val="009B53B8"/>
    <w:rsid w:val="00A62F50"/>
    <w:rsid w:val="00A87D05"/>
    <w:rsid w:val="00B72582"/>
    <w:rsid w:val="00B93D45"/>
    <w:rsid w:val="00BB24FE"/>
    <w:rsid w:val="00BD1D99"/>
    <w:rsid w:val="00C34DE6"/>
    <w:rsid w:val="00C6006A"/>
    <w:rsid w:val="00D726E7"/>
    <w:rsid w:val="00D73320"/>
    <w:rsid w:val="00D87C49"/>
    <w:rsid w:val="00DC096F"/>
    <w:rsid w:val="00FD369F"/>
    <w:rsid w:val="00FF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863A"/>
  <w15:chartTrackingRefBased/>
  <w15:docId w15:val="{5C56F4B9-26F6-43A9-B807-0FB1C5E1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582"/>
    <w:pPr>
      <w:spacing w:after="60" w:line="240" w:lineRule="auto"/>
      <w:jc w:val="both"/>
    </w:pPr>
    <w:rPr>
      <w:rFonts w:ascii="Marianne" w:eastAsia="Calibri" w:hAnsi="Marianne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72582"/>
    <w:pPr>
      <w:keepNext/>
      <w:numPr>
        <w:numId w:val="8"/>
      </w:numPr>
      <w:spacing w:before="600" w:after="240"/>
      <w:outlineLvl w:val="0"/>
    </w:pPr>
    <w:rPr>
      <w:rFonts w:eastAsia="Times New Roman"/>
      <w:b/>
      <w:caps/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B72582"/>
    <w:pPr>
      <w:keepNext/>
      <w:numPr>
        <w:ilvl w:val="1"/>
        <w:numId w:val="8"/>
      </w:numPr>
      <w:spacing w:before="360" w:after="240"/>
      <w:ind w:left="0"/>
      <w:outlineLvl w:val="1"/>
    </w:pPr>
    <w:rPr>
      <w:rFonts w:eastAsia="Times New Roman"/>
      <w:b/>
      <w:sz w:val="24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qFormat/>
    <w:rsid w:val="00B72582"/>
    <w:pPr>
      <w:keepNext/>
      <w:numPr>
        <w:ilvl w:val="2"/>
        <w:numId w:val="8"/>
      </w:numPr>
      <w:spacing w:before="360" w:after="240"/>
      <w:ind w:left="0"/>
      <w:outlineLvl w:val="2"/>
    </w:pPr>
    <w:rPr>
      <w:rFonts w:eastAsia="Times New Roman"/>
      <w:sz w:val="24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uiPriority w:val="9"/>
    <w:qFormat/>
    <w:rsid w:val="00B72582"/>
    <w:pPr>
      <w:keepNext/>
      <w:numPr>
        <w:ilvl w:val="3"/>
        <w:numId w:val="8"/>
      </w:numPr>
      <w:spacing w:before="240" w:after="120"/>
      <w:ind w:left="0"/>
      <w:outlineLvl w:val="3"/>
    </w:pPr>
    <w:rPr>
      <w:rFonts w:eastAsia="Times New Roman"/>
      <w:i/>
      <w:sz w:val="24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uiPriority w:val="9"/>
    <w:qFormat/>
    <w:rsid w:val="00B72582"/>
    <w:pPr>
      <w:keepNext/>
      <w:numPr>
        <w:ilvl w:val="4"/>
        <w:numId w:val="8"/>
      </w:numPr>
      <w:spacing w:before="240" w:after="120"/>
      <w:ind w:left="0"/>
      <w:outlineLvl w:val="4"/>
    </w:pPr>
    <w:rPr>
      <w:rFonts w:eastAsia="Times New Roman"/>
      <w:i/>
      <w:sz w:val="24"/>
      <w:szCs w:val="20"/>
      <w:lang w:eastAsia="fr-FR"/>
    </w:rPr>
  </w:style>
  <w:style w:type="paragraph" w:styleId="Titre6">
    <w:name w:val="heading 6"/>
    <w:basedOn w:val="Normal"/>
    <w:next w:val="Normal"/>
    <w:link w:val="Titre6Car"/>
    <w:uiPriority w:val="9"/>
    <w:qFormat/>
    <w:rsid w:val="00B72582"/>
    <w:pPr>
      <w:keepNext/>
      <w:numPr>
        <w:ilvl w:val="5"/>
        <w:numId w:val="8"/>
      </w:numPr>
      <w:spacing w:before="60"/>
      <w:ind w:left="0"/>
      <w:outlineLvl w:val="5"/>
    </w:pPr>
    <w:rPr>
      <w:rFonts w:eastAsia="Times New Roman"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9"/>
    <w:qFormat/>
    <w:rsid w:val="00B72582"/>
    <w:pPr>
      <w:numPr>
        <w:ilvl w:val="6"/>
        <w:numId w:val="8"/>
      </w:numPr>
      <w:spacing w:before="240"/>
      <w:ind w:left="0"/>
      <w:outlineLvl w:val="6"/>
    </w:pPr>
    <w:rPr>
      <w:rFonts w:ascii="Arial" w:eastAsia="Times New Roman" w:hAnsi="Arial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B72582"/>
    <w:pPr>
      <w:numPr>
        <w:ilvl w:val="7"/>
        <w:numId w:val="8"/>
      </w:numPr>
      <w:spacing w:before="240"/>
      <w:ind w:left="0"/>
      <w:outlineLvl w:val="7"/>
    </w:pPr>
    <w:rPr>
      <w:rFonts w:ascii="Arial" w:eastAsia="Times New Roman" w:hAnsi="Arial"/>
      <w:i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9"/>
    <w:qFormat/>
    <w:rsid w:val="00B72582"/>
    <w:pPr>
      <w:numPr>
        <w:ilvl w:val="8"/>
        <w:numId w:val="8"/>
      </w:numPr>
      <w:spacing w:before="240"/>
      <w:ind w:left="0"/>
      <w:outlineLvl w:val="8"/>
    </w:pPr>
    <w:rPr>
      <w:rFonts w:ascii="Arial" w:eastAsia="Times New Roman" w:hAnsi="Arial"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922A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922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922A5"/>
    <w:pPr>
      <w:spacing w:after="200"/>
    </w:pPr>
    <w:rPr>
      <w:rFonts w:eastAsiaTheme="minorEastAsia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922A5"/>
    <w:rPr>
      <w:rFonts w:eastAsiaTheme="minorEastAsia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922A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22A5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B72582"/>
    <w:rPr>
      <w:rFonts w:ascii="Marianne" w:eastAsia="Times New Roman" w:hAnsi="Marianne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72582"/>
    <w:rPr>
      <w:rFonts w:ascii="Marianne" w:eastAsia="Times New Roman" w:hAnsi="Marianne" w:cs="Times New Roman"/>
      <w:b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72582"/>
    <w:rPr>
      <w:rFonts w:ascii="Marianne" w:eastAsia="Times New Roman" w:hAnsi="Marianne" w:cs="Times New Roman"/>
      <w:sz w:val="24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72582"/>
    <w:rPr>
      <w:rFonts w:ascii="Marianne" w:eastAsia="Times New Roman" w:hAnsi="Marianne" w:cs="Times New Roman"/>
      <w:i/>
      <w:sz w:val="24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B72582"/>
    <w:rPr>
      <w:rFonts w:ascii="Marianne" w:eastAsia="Times New Roman" w:hAnsi="Marianne" w:cs="Times New Roman"/>
      <w:i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B72582"/>
    <w:rPr>
      <w:rFonts w:ascii="Marianne" w:eastAsia="Times New Roman" w:hAnsi="Marianne" w:cs="Times New Roman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B72582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B72582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B72582"/>
    <w:rPr>
      <w:rFonts w:ascii="Arial" w:eastAsia="Times New Roman" w:hAnsi="Arial" w:cs="Times New Roman"/>
      <w:i/>
      <w:sz w:val="18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2E63"/>
    <w:pPr>
      <w:spacing w:after="60"/>
    </w:pPr>
    <w:rPr>
      <w:rFonts w:eastAsia="Calibr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2E63"/>
    <w:rPr>
      <w:rFonts w:ascii="Marianne" w:eastAsia="Calibri" w:hAnsi="Marianne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LOUF Maxime SCH</dc:creator>
  <cp:keywords/>
  <dc:description/>
  <cp:lastModifiedBy>LE GUILLOUX Andree ADJ ADM PAL 2CL AE</cp:lastModifiedBy>
  <cp:revision>8</cp:revision>
  <cp:lastPrinted>2024-10-23T06:40:00Z</cp:lastPrinted>
  <dcterms:created xsi:type="dcterms:W3CDTF">2024-06-27T06:44:00Z</dcterms:created>
  <dcterms:modified xsi:type="dcterms:W3CDTF">2024-10-23T06:40:00Z</dcterms:modified>
</cp:coreProperties>
</file>