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772F0" w14:textId="77777777" w:rsidR="00671045" w:rsidRDefault="00671045">
      <w:pPr>
        <w:rPr>
          <w:rFonts w:cs="Arial"/>
          <w:szCs w:val="22"/>
        </w:rPr>
      </w:pPr>
      <w:bookmarkStart w:id="0" w:name="_GoBack"/>
      <w:bookmarkEnd w:id="0"/>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2AFBA86C"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F37638">
        <w:rPr>
          <w:b/>
          <w:sz w:val="28"/>
          <w:szCs w:val="28"/>
        </w:rPr>
        <w:t xml:space="preserve">n° </w:t>
      </w:r>
      <w:r w:rsidR="00CB5080" w:rsidRPr="00CB5080">
        <w:rPr>
          <w:b/>
          <w:sz w:val="28"/>
          <w:szCs w:val="28"/>
        </w:rPr>
        <w:t>B24-05507-KD</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7F8B802D" w14:textId="457935AC" w:rsidR="00AC0669" w:rsidRDefault="00CB5080"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r w:rsidRPr="00CB5080">
        <w:rPr>
          <w:sz w:val="24"/>
        </w:rPr>
        <w:t>Fourniture de pièces pour la réalisation d’un démonstrateur de cryoréfrigirateur</w:t>
      </w:r>
      <w:r w:rsidR="004F746C">
        <w:rPr>
          <w:sz w:val="24"/>
        </w:rPr>
        <w:t xml:space="preserve"> </w:t>
      </w:r>
      <w:r w:rsidR="004F746C">
        <w:t>Nommé MAX DM</w:t>
      </w: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5533C8E3" w:rsidR="00986115" w:rsidRDefault="00986115" w:rsidP="0083650E">
      <w:pPr>
        <w:rPr>
          <w:color w:val="E36C0A" w:themeColor="accent6" w:themeShade="BF"/>
        </w:rPr>
      </w:pPr>
    </w:p>
    <w:p w14:paraId="3EAE8601" w14:textId="09DBF616" w:rsidR="00CB5080" w:rsidRDefault="00CB5080" w:rsidP="0083650E">
      <w:pPr>
        <w:rPr>
          <w:color w:val="E36C0A" w:themeColor="accent6" w:themeShade="BF"/>
        </w:rPr>
      </w:pPr>
    </w:p>
    <w:p w14:paraId="567C5812" w14:textId="46435E5C" w:rsidR="00CB5080" w:rsidRDefault="00CB5080" w:rsidP="0083650E">
      <w:pPr>
        <w:rPr>
          <w:color w:val="E36C0A" w:themeColor="accent6" w:themeShade="BF"/>
        </w:rPr>
      </w:pPr>
    </w:p>
    <w:p w14:paraId="2187C61E" w14:textId="393B148A" w:rsidR="00CB5080" w:rsidRDefault="00CB5080" w:rsidP="0083650E">
      <w:pPr>
        <w:rPr>
          <w:color w:val="E36C0A" w:themeColor="accent6" w:themeShade="BF"/>
        </w:rPr>
      </w:pPr>
    </w:p>
    <w:p w14:paraId="2A8FBABD" w14:textId="5F993274" w:rsidR="00CB5080" w:rsidRDefault="00CB5080" w:rsidP="0083650E">
      <w:pPr>
        <w:rPr>
          <w:color w:val="E36C0A" w:themeColor="accent6" w:themeShade="BF"/>
        </w:rPr>
      </w:pPr>
    </w:p>
    <w:p w14:paraId="13318514" w14:textId="44DA5FF5" w:rsidR="00CB5080" w:rsidRDefault="00CB5080" w:rsidP="0083650E">
      <w:pPr>
        <w:rPr>
          <w:color w:val="E36C0A" w:themeColor="accent6" w:themeShade="BF"/>
        </w:rPr>
      </w:pPr>
    </w:p>
    <w:p w14:paraId="08A0133F" w14:textId="77777777" w:rsidR="00CB5080" w:rsidRPr="00986115" w:rsidRDefault="00CB5080"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39F25951" w14:textId="732BAEA1" w:rsidR="00AC0669" w:rsidRDefault="00AC0669" w:rsidP="00AC0669">
      <w:pPr>
        <w:jc w:val="both"/>
      </w:pPr>
    </w:p>
    <w:p w14:paraId="21595291" w14:textId="77777777" w:rsidR="003C2BF2" w:rsidRDefault="003C2BF2" w:rsidP="00AC0669">
      <w:pPr>
        <w:jc w:val="both"/>
      </w:pPr>
    </w:p>
    <w:p w14:paraId="03A1ECB4" w14:textId="69D7E6BD" w:rsidR="007A04AB"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3427991" w:history="1">
        <w:r w:rsidR="007A04AB" w:rsidRPr="00E824B0">
          <w:rPr>
            <w:rStyle w:val="Lienhypertexte"/>
            <w:rFonts w:ascii="Arial Gras" w:hAnsi="Arial Gras"/>
            <w:noProof/>
          </w:rPr>
          <w:t>ARTICLE  1  -</w:t>
        </w:r>
        <w:r w:rsidR="007A04AB" w:rsidRPr="00E824B0">
          <w:rPr>
            <w:rStyle w:val="Lienhypertexte"/>
            <w:noProof/>
          </w:rPr>
          <w:t xml:space="preserve"> OBJET</w:t>
        </w:r>
        <w:r w:rsidR="007A04AB">
          <w:rPr>
            <w:noProof/>
            <w:webHidden/>
          </w:rPr>
          <w:tab/>
        </w:r>
        <w:r w:rsidR="007A04AB">
          <w:rPr>
            <w:noProof/>
            <w:webHidden/>
          </w:rPr>
          <w:fldChar w:fldCharType="begin"/>
        </w:r>
        <w:r w:rsidR="007A04AB">
          <w:rPr>
            <w:noProof/>
            <w:webHidden/>
          </w:rPr>
          <w:instrText xml:space="preserve"> PAGEREF _Toc183427991 \h </w:instrText>
        </w:r>
        <w:r w:rsidR="007A04AB">
          <w:rPr>
            <w:noProof/>
            <w:webHidden/>
          </w:rPr>
        </w:r>
        <w:r w:rsidR="007A04AB">
          <w:rPr>
            <w:noProof/>
            <w:webHidden/>
          </w:rPr>
          <w:fldChar w:fldCharType="separate"/>
        </w:r>
        <w:r w:rsidR="007A04AB">
          <w:rPr>
            <w:noProof/>
            <w:webHidden/>
          </w:rPr>
          <w:t>3</w:t>
        </w:r>
        <w:r w:rsidR="007A04AB">
          <w:rPr>
            <w:noProof/>
            <w:webHidden/>
          </w:rPr>
          <w:fldChar w:fldCharType="end"/>
        </w:r>
      </w:hyperlink>
    </w:p>
    <w:p w14:paraId="760272C1" w14:textId="449EF2C4"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7992" w:history="1">
        <w:r w:rsidR="007A04AB" w:rsidRPr="00E824B0">
          <w:rPr>
            <w:rStyle w:val="Lienhypertexte"/>
            <w:rFonts w:ascii="Arial Gras" w:hAnsi="Arial Gras"/>
            <w:noProof/>
          </w:rPr>
          <w:t>ARTICLE  2  -</w:t>
        </w:r>
        <w:r w:rsidR="007A04AB" w:rsidRPr="00E824B0">
          <w:rPr>
            <w:rStyle w:val="Lienhypertexte"/>
            <w:noProof/>
          </w:rPr>
          <w:t xml:space="preserve"> DOCUMENTS APPLICABLES A LA CONSULTATION</w:t>
        </w:r>
        <w:r w:rsidR="007A04AB">
          <w:rPr>
            <w:noProof/>
            <w:webHidden/>
          </w:rPr>
          <w:tab/>
        </w:r>
        <w:r w:rsidR="007A04AB">
          <w:rPr>
            <w:noProof/>
            <w:webHidden/>
          </w:rPr>
          <w:fldChar w:fldCharType="begin"/>
        </w:r>
        <w:r w:rsidR="007A04AB">
          <w:rPr>
            <w:noProof/>
            <w:webHidden/>
          </w:rPr>
          <w:instrText xml:space="preserve"> PAGEREF _Toc183427992 \h </w:instrText>
        </w:r>
        <w:r w:rsidR="007A04AB">
          <w:rPr>
            <w:noProof/>
            <w:webHidden/>
          </w:rPr>
        </w:r>
        <w:r w:rsidR="007A04AB">
          <w:rPr>
            <w:noProof/>
            <w:webHidden/>
          </w:rPr>
          <w:fldChar w:fldCharType="separate"/>
        </w:r>
        <w:r w:rsidR="007A04AB">
          <w:rPr>
            <w:noProof/>
            <w:webHidden/>
          </w:rPr>
          <w:t>3</w:t>
        </w:r>
        <w:r w:rsidR="007A04AB">
          <w:rPr>
            <w:noProof/>
            <w:webHidden/>
          </w:rPr>
          <w:fldChar w:fldCharType="end"/>
        </w:r>
      </w:hyperlink>
    </w:p>
    <w:p w14:paraId="56F94D40" w14:textId="5311B924"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7993" w:history="1">
        <w:r w:rsidR="007A04AB" w:rsidRPr="00E824B0">
          <w:rPr>
            <w:rStyle w:val="Lienhypertexte"/>
            <w:rFonts w:ascii="Arial Gras" w:hAnsi="Arial Gras"/>
            <w:noProof/>
          </w:rPr>
          <w:t>ARTICLE  3  -</w:t>
        </w:r>
        <w:r w:rsidR="007A04AB" w:rsidRPr="00E824B0">
          <w:rPr>
            <w:rStyle w:val="Lienhypertexte"/>
            <w:noProof/>
          </w:rPr>
          <w:t xml:space="preserve"> CONDITIONS DE LA CONSULTATION</w:t>
        </w:r>
        <w:r w:rsidR="007A04AB">
          <w:rPr>
            <w:noProof/>
            <w:webHidden/>
          </w:rPr>
          <w:tab/>
        </w:r>
        <w:r w:rsidR="007A04AB">
          <w:rPr>
            <w:noProof/>
            <w:webHidden/>
          </w:rPr>
          <w:fldChar w:fldCharType="begin"/>
        </w:r>
        <w:r w:rsidR="007A04AB">
          <w:rPr>
            <w:noProof/>
            <w:webHidden/>
          </w:rPr>
          <w:instrText xml:space="preserve"> PAGEREF _Toc183427993 \h </w:instrText>
        </w:r>
        <w:r w:rsidR="007A04AB">
          <w:rPr>
            <w:noProof/>
            <w:webHidden/>
          </w:rPr>
        </w:r>
        <w:r w:rsidR="007A04AB">
          <w:rPr>
            <w:noProof/>
            <w:webHidden/>
          </w:rPr>
          <w:fldChar w:fldCharType="separate"/>
        </w:r>
        <w:r w:rsidR="007A04AB">
          <w:rPr>
            <w:noProof/>
            <w:webHidden/>
          </w:rPr>
          <w:t>3</w:t>
        </w:r>
        <w:r w:rsidR="007A04AB">
          <w:rPr>
            <w:noProof/>
            <w:webHidden/>
          </w:rPr>
          <w:fldChar w:fldCharType="end"/>
        </w:r>
      </w:hyperlink>
    </w:p>
    <w:p w14:paraId="351562E6" w14:textId="4D5CDDC9"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7994" w:history="1">
        <w:r w:rsidR="007A04AB" w:rsidRPr="00E824B0">
          <w:rPr>
            <w:rStyle w:val="Lienhypertexte"/>
            <w:rFonts w:ascii="Arial Gras" w:hAnsi="Arial Gras"/>
            <w:noProof/>
          </w:rPr>
          <w:t>3.1 -</w:t>
        </w:r>
        <w:r w:rsidR="007A04AB" w:rsidRPr="00E824B0">
          <w:rPr>
            <w:rStyle w:val="Lienhypertexte"/>
            <w:noProof/>
          </w:rPr>
          <w:t xml:space="preserve"> Procédure</w:t>
        </w:r>
        <w:r w:rsidR="007A04AB">
          <w:rPr>
            <w:noProof/>
            <w:webHidden/>
          </w:rPr>
          <w:tab/>
        </w:r>
        <w:r w:rsidR="007A04AB">
          <w:rPr>
            <w:noProof/>
            <w:webHidden/>
          </w:rPr>
          <w:fldChar w:fldCharType="begin"/>
        </w:r>
        <w:r w:rsidR="007A04AB">
          <w:rPr>
            <w:noProof/>
            <w:webHidden/>
          </w:rPr>
          <w:instrText xml:space="preserve"> PAGEREF _Toc183427994 \h </w:instrText>
        </w:r>
        <w:r w:rsidR="007A04AB">
          <w:rPr>
            <w:noProof/>
            <w:webHidden/>
          </w:rPr>
        </w:r>
        <w:r w:rsidR="007A04AB">
          <w:rPr>
            <w:noProof/>
            <w:webHidden/>
          </w:rPr>
          <w:fldChar w:fldCharType="separate"/>
        </w:r>
        <w:r w:rsidR="007A04AB">
          <w:rPr>
            <w:noProof/>
            <w:webHidden/>
          </w:rPr>
          <w:t>3</w:t>
        </w:r>
        <w:r w:rsidR="007A04AB">
          <w:rPr>
            <w:noProof/>
            <w:webHidden/>
          </w:rPr>
          <w:fldChar w:fldCharType="end"/>
        </w:r>
      </w:hyperlink>
    </w:p>
    <w:p w14:paraId="107FD272" w14:textId="64E5639A"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7995" w:history="1">
        <w:r w:rsidR="007A04AB" w:rsidRPr="00E824B0">
          <w:rPr>
            <w:rStyle w:val="Lienhypertexte"/>
            <w:noProof/>
          </w:rPr>
          <w:t>3.1.1 - Généralités</w:t>
        </w:r>
        <w:r w:rsidR="007A04AB">
          <w:rPr>
            <w:noProof/>
            <w:webHidden/>
          </w:rPr>
          <w:tab/>
        </w:r>
        <w:r w:rsidR="007A04AB">
          <w:rPr>
            <w:noProof/>
            <w:webHidden/>
          </w:rPr>
          <w:fldChar w:fldCharType="begin"/>
        </w:r>
        <w:r w:rsidR="007A04AB">
          <w:rPr>
            <w:noProof/>
            <w:webHidden/>
          </w:rPr>
          <w:instrText xml:space="preserve"> PAGEREF _Toc183427995 \h </w:instrText>
        </w:r>
        <w:r w:rsidR="007A04AB">
          <w:rPr>
            <w:noProof/>
            <w:webHidden/>
          </w:rPr>
        </w:r>
        <w:r w:rsidR="007A04AB">
          <w:rPr>
            <w:noProof/>
            <w:webHidden/>
          </w:rPr>
          <w:fldChar w:fldCharType="separate"/>
        </w:r>
        <w:r w:rsidR="007A04AB">
          <w:rPr>
            <w:noProof/>
            <w:webHidden/>
          </w:rPr>
          <w:t>3</w:t>
        </w:r>
        <w:r w:rsidR="007A04AB">
          <w:rPr>
            <w:noProof/>
            <w:webHidden/>
          </w:rPr>
          <w:fldChar w:fldCharType="end"/>
        </w:r>
      </w:hyperlink>
    </w:p>
    <w:p w14:paraId="12B91E6F" w14:textId="701C74FC"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7996" w:history="1">
        <w:r w:rsidR="007A04AB" w:rsidRPr="00E824B0">
          <w:rPr>
            <w:rStyle w:val="Lienhypertexte"/>
            <w:noProof/>
          </w:rPr>
          <w:t>3.1.2 - Groupement momentané d’entreprises</w:t>
        </w:r>
        <w:r w:rsidR="007A04AB">
          <w:rPr>
            <w:noProof/>
            <w:webHidden/>
          </w:rPr>
          <w:tab/>
        </w:r>
        <w:r w:rsidR="007A04AB">
          <w:rPr>
            <w:noProof/>
            <w:webHidden/>
          </w:rPr>
          <w:fldChar w:fldCharType="begin"/>
        </w:r>
        <w:r w:rsidR="007A04AB">
          <w:rPr>
            <w:noProof/>
            <w:webHidden/>
          </w:rPr>
          <w:instrText xml:space="preserve"> PAGEREF _Toc183427996 \h </w:instrText>
        </w:r>
        <w:r w:rsidR="007A04AB">
          <w:rPr>
            <w:noProof/>
            <w:webHidden/>
          </w:rPr>
        </w:r>
        <w:r w:rsidR="007A04AB">
          <w:rPr>
            <w:noProof/>
            <w:webHidden/>
          </w:rPr>
          <w:fldChar w:fldCharType="separate"/>
        </w:r>
        <w:r w:rsidR="007A04AB">
          <w:rPr>
            <w:noProof/>
            <w:webHidden/>
          </w:rPr>
          <w:t>4</w:t>
        </w:r>
        <w:r w:rsidR="007A04AB">
          <w:rPr>
            <w:noProof/>
            <w:webHidden/>
          </w:rPr>
          <w:fldChar w:fldCharType="end"/>
        </w:r>
      </w:hyperlink>
    </w:p>
    <w:p w14:paraId="62D13295" w14:textId="4D41AD06"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7997" w:history="1">
        <w:r w:rsidR="007A04AB" w:rsidRPr="00E824B0">
          <w:rPr>
            <w:rStyle w:val="Lienhypertexte"/>
            <w:noProof/>
          </w:rPr>
          <w:t>3.1.3 - Variantes</w:t>
        </w:r>
        <w:r w:rsidR="007A04AB">
          <w:rPr>
            <w:noProof/>
            <w:webHidden/>
          </w:rPr>
          <w:tab/>
        </w:r>
        <w:r w:rsidR="007A04AB">
          <w:rPr>
            <w:noProof/>
            <w:webHidden/>
          </w:rPr>
          <w:fldChar w:fldCharType="begin"/>
        </w:r>
        <w:r w:rsidR="007A04AB">
          <w:rPr>
            <w:noProof/>
            <w:webHidden/>
          </w:rPr>
          <w:instrText xml:space="preserve"> PAGEREF _Toc183427997 \h </w:instrText>
        </w:r>
        <w:r w:rsidR="007A04AB">
          <w:rPr>
            <w:noProof/>
            <w:webHidden/>
          </w:rPr>
        </w:r>
        <w:r w:rsidR="007A04AB">
          <w:rPr>
            <w:noProof/>
            <w:webHidden/>
          </w:rPr>
          <w:fldChar w:fldCharType="separate"/>
        </w:r>
        <w:r w:rsidR="007A04AB">
          <w:rPr>
            <w:noProof/>
            <w:webHidden/>
          </w:rPr>
          <w:t>4</w:t>
        </w:r>
        <w:r w:rsidR="007A04AB">
          <w:rPr>
            <w:noProof/>
            <w:webHidden/>
          </w:rPr>
          <w:fldChar w:fldCharType="end"/>
        </w:r>
      </w:hyperlink>
    </w:p>
    <w:p w14:paraId="0E8E690E" w14:textId="29BB46AB"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7998" w:history="1">
        <w:r w:rsidR="007A04AB" w:rsidRPr="00E824B0">
          <w:rPr>
            <w:rStyle w:val="Lienhypertexte"/>
            <w:rFonts w:ascii="Arial Gras" w:hAnsi="Arial Gras"/>
            <w:noProof/>
          </w:rPr>
          <w:t>3.2 -</w:t>
        </w:r>
        <w:r w:rsidR="007A04AB" w:rsidRPr="00E824B0">
          <w:rPr>
            <w:rStyle w:val="Lienhypertexte"/>
            <w:noProof/>
          </w:rPr>
          <w:t xml:space="preserve"> Questions des soumissionnaires</w:t>
        </w:r>
        <w:r w:rsidR="007A04AB">
          <w:rPr>
            <w:noProof/>
            <w:webHidden/>
          </w:rPr>
          <w:tab/>
        </w:r>
        <w:r w:rsidR="007A04AB">
          <w:rPr>
            <w:noProof/>
            <w:webHidden/>
          </w:rPr>
          <w:fldChar w:fldCharType="begin"/>
        </w:r>
        <w:r w:rsidR="007A04AB">
          <w:rPr>
            <w:noProof/>
            <w:webHidden/>
          </w:rPr>
          <w:instrText xml:space="preserve"> PAGEREF _Toc183427998 \h </w:instrText>
        </w:r>
        <w:r w:rsidR="007A04AB">
          <w:rPr>
            <w:noProof/>
            <w:webHidden/>
          </w:rPr>
        </w:r>
        <w:r w:rsidR="007A04AB">
          <w:rPr>
            <w:noProof/>
            <w:webHidden/>
          </w:rPr>
          <w:fldChar w:fldCharType="separate"/>
        </w:r>
        <w:r w:rsidR="007A04AB">
          <w:rPr>
            <w:noProof/>
            <w:webHidden/>
          </w:rPr>
          <w:t>4</w:t>
        </w:r>
        <w:r w:rsidR="007A04AB">
          <w:rPr>
            <w:noProof/>
            <w:webHidden/>
          </w:rPr>
          <w:fldChar w:fldCharType="end"/>
        </w:r>
      </w:hyperlink>
    </w:p>
    <w:p w14:paraId="0860F948" w14:textId="7E20263A"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7999" w:history="1">
        <w:r w:rsidR="007A04AB" w:rsidRPr="00E824B0">
          <w:rPr>
            <w:rStyle w:val="Lienhypertexte"/>
            <w:rFonts w:ascii="Arial Gras" w:hAnsi="Arial Gras"/>
            <w:noProof/>
          </w:rPr>
          <w:t>3.3 -</w:t>
        </w:r>
        <w:r w:rsidR="007A04AB" w:rsidRPr="00E824B0">
          <w:rPr>
            <w:rStyle w:val="Lienhypertexte"/>
            <w:noProof/>
          </w:rPr>
          <w:t xml:space="preserve"> Conditions de prix</w:t>
        </w:r>
        <w:r w:rsidR="007A04AB">
          <w:rPr>
            <w:noProof/>
            <w:webHidden/>
          </w:rPr>
          <w:tab/>
        </w:r>
        <w:r w:rsidR="007A04AB">
          <w:rPr>
            <w:noProof/>
            <w:webHidden/>
          </w:rPr>
          <w:fldChar w:fldCharType="begin"/>
        </w:r>
        <w:r w:rsidR="007A04AB">
          <w:rPr>
            <w:noProof/>
            <w:webHidden/>
          </w:rPr>
          <w:instrText xml:space="preserve"> PAGEREF _Toc183427999 \h </w:instrText>
        </w:r>
        <w:r w:rsidR="007A04AB">
          <w:rPr>
            <w:noProof/>
            <w:webHidden/>
          </w:rPr>
        </w:r>
        <w:r w:rsidR="007A04AB">
          <w:rPr>
            <w:noProof/>
            <w:webHidden/>
          </w:rPr>
          <w:fldChar w:fldCharType="separate"/>
        </w:r>
        <w:r w:rsidR="007A04AB">
          <w:rPr>
            <w:noProof/>
            <w:webHidden/>
          </w:rPr>
          <w:t>4</w:t>
        </w:r>
        <w:r w:rsidR="007A04AB">
          <w:rPr>
            <w:noProof/>
            <w:webHidden/>
          </w:rPr>
          <w:fldChar w:fldCharType="end"/>
        </w:r>
      </w:hyperlink>
    </w:p>
    <w:p w14:paraId="0B4805AB" w14:textId="584C6745"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0" w:history="1">
        <w:r w:rsidR="007A04AB" w:rsidRPr="00E824B0">
          <w:rPr>
            <w:rStyle w:val="Lienhypertexte"/>
            <w:rFonts w:ascii="Arial Gras" w:hAnsi="Arial Gras"/>
            <w:noProof/>
          </w:rPr>
          <w:t>3.4 -</w:t>
        </w:r>
        <w:r w:rsidR="007A04AB" w:rsidRPr="00E824B0">
          <w:rPr>
            <w:rStyle w:val="Lienhypertexte"/>
            <w:noProof/>
          </w:rPr>
          <w:t xml:space="preserve"> Sous-traitance</w:t>
        </w:r>
        <w:r w:rsidR="007A04AB">
          <w:rPr>
            <w:noProof/>
            <w:webHidden/>
          </w:rPr>
          <w:tab/>
        </w:r>
        <w:r w:rsidR="007A04AB">
          <w:rPr>
            <w:noProof/>
            <w:webHidden/>
          </w:rPr>
          <w:fldChar w:fldCharType="begin"/>
        </w:r>
        <w:r w:rsidR="007A04AB">
          <w:rPr>
            <w:noProof/>
            <w:webHidden/>
          </w:rPr>
          <w:instrText xml:space="preserve"> PAGEREF _Toc183428000 \h </w:instrText>
        </w:r>
        <w:r w:rsidR="007A04AB">
          <w:rPr>
            <w:noProof/>
            <w:webHidden/>
          </w:rPr>
        </w:r>
        <w:r w:rsidR="007A04AB">
          <w:rPr>
            <w:noProof/>
            <w:webHidden/>
          </w:rPr>
          <w:fldChar w:fldCharType="separate"/>
        </w:r>
        <w:r w:rsidR="007A04AB">
          <w:rPr>
            <w:noProof/>
            <w:webHidden/>
          </w:rPr>
          <w:t>4</w:t>
        </w:r>
        <w:r w:rsidR="007A04AB">
          <w:rPr>
            <w:noProof/>
            <w:webHidden/>
          </w:rPr>
          <w:fldChar w:fldCharType="end"/>
        </w:r>
      </w:hyperlink>
    </w:p>
    <w:p w14:paraId="650E21AC" w14:textId="28036A82"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1" w:history="1">
        <w:r w:rsidR="007A04AB" w:rsidRPr="00E824B0">
          <w:rPr>
            <w:rStyle w:val="Lienhypertexte"/>
            <w:rFonts w:ascii="Arial Gras" w:hAnsi="Arial Gras"/>
            <w:noProof/>
          </w:rPr>
          <w:t>3.5 -</w:t>
        </w:r>
        <w:r w:rsidR="007A04AB" w:rsidRPr="00E824B0">
          <w:rPr>
            <w:rStyle w:val="Lienhypertexte"/>
            <w:noProof/>
          </w:rPr>
          <w:t xml:space="preserve"> Confidentialité</w:t>
        </w:r>
        <w:r w:rsidR="007A04AB">
          <w:rPr>
            <w:noProof/>
            <w:webHidden/>
          </w:rPr>
          <w:tab/>
        </w:r>
        <w:r w:rsidR="007A04AB">
          <w:rPr>
            <w:noProof/>
            <w:webHidden/>
          </w:rPr>
          <w:fldChar w:fldCharType="begin"/>
        </w:r>
        <w:r w:rsidR="007A04AB">
          <w:rPr>
            <w:noProof/>
            <w:webHidden/>
          </w:rPr>
          <w:instrText xml:space="preserve"> PAGEREF _Toc183428001 \h </w:instrText>
        </w:r>
        <w:r w:rsidR="007A04AB">
          <w:rPr>
            <w:noProof/>
            <w:webHidden/>
          </w:rPr>
        </w:r>
        <w:r w:rsidR="007A04AB">
          <w:rPr>
            <w:noProof/>
            <w:webHidden/>
          </w:rPr>
          <w:fldChar w:fldCharType="separate"/>
        </w:r>
        <w:r w:rsidR="007A04AB">
          <w:rPr>
            <w:noProof/>
            <w:webHidden/>
          </w:rPr>
          <w:t>5</w:t>
        </w:r>
        <w:r w:rsidR="007A04AB">
          <w:rPr>
            <w:noProof/>
            <w:webHidden/>
          </w:rPr>
          <w:fldChar w:fldCharType="end"/>
        </w:r>
      </w:hyperlink>
    </w:p>
    <w:p w14:paraId="6A2EB84C" w14:textId="0D316515"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2" w:history="1">
        <w:r w:rsidR="007A04AB" w:rsidRPr="00E824B0">
          <w:rPr>
            <w:rStyle w:val="Lienhypertexte"/>
            <w:rFonts w:ascii="Arial Gras" w:hAnsi="Arial Gras"/>
            <w:noProof/>
          </w:rPr>
          <w:t>3.6 -</w:t>
        </w:r>
        <w:r w:rsidR="007A04AB" w:rsidRPr="00E824B0">
          <w:rPr>
            <w:rStyle w:val="Lienhypertexte"/>
            <w:noProof/>
          </w:rPr>
          <w:t xml:space="preserve"> Validité des offres</w:t>
        </w:r>
        <w:r w:rsidR="007A04AB">
          <w:rPr>
            <w:noProof/>
            <w:webHidden/>
          </w:rPr>
          <w:tab/>
        </w:r>
        <w:r w:rsidR="007A04AB">
          <w:rPr>
            <w:noProof/>
            <w:webHidden/>
          </w:rPr>
          <w:fldChar w:fldCharType="begin"/>
        </w:r>
        <w:r w:rsidR="007A04AB">
          <w:rPr>
            <w:noProof/>
            <w:webHidden/>
          </w:rPr>
          <w:instrText xml:space="preserve"> PAGEREF _Toc183428002 \h </w:instrText>
        </w:r>
        <w:r w:rsidR="007A04AB">
          <w:rPr>
            <w:noProof/>
            <w:webHidden/>
          </w:rPr>
        </w:r>
        <w:r w:rsidR="007A04AB">
          <w:rPr>
            <w:noProof/>
            <w:webHidden/>
          </w:rPr>
          <w:fldChar w:fldCharType="separate"/>
        </w:r>
        <w:r w:rsidR="007A04AB">
          <w:rPr>
            <w:noProof/>
            <w:webHidden/>
          </w:rPr>
          <w:t>5</w:t>
        </w:r>
        <w:r w:rsidR="007A04AB">
          <w:rPr>
            <w:noProof/>
            <w:webHidden/>
          </w:rPr>
          <w:fldChar w:fldCharType="end"/>
        </w:r>
      </w:hyperlink>
    </w:p>
    <w:p w14:paraId="1D611C45" w14:textId="11DFA3C1"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3" w:history="1">
        <w:r w:rsidR="007A04AB" w:rsidRPr="00E824B0">
          <w:rPr>
            <w:rStyle w:val="Lienhypertexte"/>
            <w:rFonts w:ascii="Arial Gras" w:hAnsi="Arial Gras"/>
            <w:noProof/>
          </w:rPr>
          <w:t>3.7 -</w:t>
        </w:r>
        <w:r w:rsidR="007A04AB" w:rsidRPr="00E824B0">
          <w:rPr>
            <w:rStyle w:val="Lienhypertexte"/>
            <w:noProof/>
          </w:rPr>
          <w:t xml:space="preserve"> Utilisation de la plateforme de dématérialisation du CEA (PLACE)</w:t>
        </w:r>
        <w:r w:rsidR="007A04AB">
          <w:rPr>
            <w:noProof/>
            <w:webHidden/>
          </w:rPr>
          <w:tab/>
        </w:r>
        <w:r w:rsidR="007A04AB">
          <w:rPr>
            <w:noProof/>
            <w:webHidden/>
          </w:rPr>
          <w:fldChar w:fldCharType="begin"/>
        </w:r>
        <w:r w:rsidR="007A04AB">
          <w:rPr>
            <w:noProof/>
            <w:webHidden/>
          </w:rPr>
          <w:instrText xml:space="preserve"> PAGEREF _Toc183428003 \h </w:instrText>
        </w:r>
        <w:r w:rsidR="007A04AB">
          <w:rPr>
            <w:noProof/>
            <w:webHidden/>
          </w:rPr>
        </w:r>
        <w:r w:rsidR="007A04AB">
          <w:rPr>
            <w:noProof/>
            <w:webHidden/>
          </w:rPr>
          <w:fldChar w:fldCharType="separate"/>
        </w:r>
        <w:r w:rsidR="007A04AB">
          <w:rPr>
            <w:noProof/>
            <w:webHidden/>
          </w:rPr>
          <w:t>5</w:t>
        </w:r>
        <w:r w:rsidR="007A04AB">
          <w:rPr>
            <w:noProof/>
            <w:webHidden/>
          </w:rPr>
          <w:fldChar w:fldCharType="end"/>
        </w:r>
      </w:hyperlink>
    </w:p>
    <w:p w14:paraId="318642AF" w14:textId="592EF82F"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04" w:history="1">
        <w:r w:rsidR="007A04AB" w:rsidRPr="00E824B0">
          <w:rPr>
            <w:rStyle w:val="Lienhypertexte"/>
            <w:rFonts w:ascii="Arial Gras" w:hAnsi="Arial Gras"/>
            <w:noProof/>
          </w:rPr>
          <w:t>ARTICLE  4  -</w:t>
        </w:r>
        <w:r w:rsidR="007A04AB" w:rsidRPr="00E824B0">
          <w:rPr>
            <w:rStyle w:val="Lienhypertexte"/>
            <w:noProof/>
          </w:rPr>
          <w:t xml:space="preserve"> PRESENTATION DE LA CANDIDATURE ET DE L’OFFRE</w:t>
        </w:r>
        <w:r w:rsidR="007A04AB">
          <w:rPr>
            <w:noProof/>
            <w:webHidden/>
          </w:rPr>
          <w:tab/>
        </w:r>
        <w:r w:rsidR="007A04AB">
          <w:rPr>
            <w:noProof/>
            <w:webHidden/>
          </w:rPr>
          <w:fldChar w:fldCharType="begin"/>
        </w:r>
        <w:r w:rsidR="007A04AB">
          <w:rPr>
            <w:noProof/>
            <w:webHidden/>
          </w:rPr>
          <w:instrText xml:space="preserve"> PAGEREF _Toc183428004 \h </w:instrText>
        </w:r>
        <w:r w:rsidR="007A04AB">
          <w:rPr>
            <w:noProof/>
            <w:webHidden/>
          </w:rPr>
        </w:r>
        <w:r w:rsidR="007A04AB">
          <w:rPr>
            <w:noProof/>
            <w:webHidden/>
          </w:rPr>
          <w:fldChar w:fldCharType="separate"/>
        </w:r>
        <w:r w:rsidR="007A04AB">
          <w:rPr>
            <w:noProof/>
            <w:webHidden/>
          </w:rPr>
          <w:t>5</w:t>
        </w:r>
        <w:r w:rsidR="007A04AB">
          <w:rPr>
            <w:noProof/>
            <w:webHidden/>
          </w:rPr>
          <w:fldChar w:fldCharType="end"/>
        </w:r>
      </w:hyperlink>
    </w:p>
    <w:p w14:paraId="06B8EF39" w14:textId="41EF1116"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5" w:history="1">
        <w:r w:rsidR="007A04AB" w:rsidRPr="00E824B0">
          <w:rPr>
            <w:rStyle w:val="Lienhypertexte"/>
            <w:rFonts w:ascii="Arial Gras" w:hAnsi="Arial Gras"/>
            <w:noProof/>
          </w:rPr>
          <w:t>4.1 -</w:t>
        </w:r>
        <w:r w:rsidR="007A04AB" w:rsidRPr="00E824B0">
          <w:rPr>
            <w:rStyle w:val="Lienhypertexte"/>
            <w:noProof/>
          </w:rPr>
          <w:t xml:space="preserve"> Dossier « Candidature » :</w:t>
        </w:r>
        <w:r w:rsidR="007A04AB">
          <w:rPr>
            <w:noProof/>
            <w:webHidden/>
          </w:rPr>
          <w:tab/>
        </w:r>
        <w:r w:rsidR="007A04AB">
          <w:rPr>
            <w:noProof/>
            <w:webHidden/>
          </w:rPr>
          <w:fldChar w:fldCharType="begin"/>
        </w:r>
        <w:r w:rsidR="007A04AB">
          <w:rPr>
            <w:noProof/>
            <w:webHidden/>
          </w:rPr>
          <w:instrText xml:space="preserve"> PAGEREF _Toc183428005 \h </w:instrText>
        </w:r>
        <w:r w:rsidR="007A04AB">
          <w:rPr>
            <w:noProof/>
            <w:webHidden/>
          </w:rPr>
        </w:r>
        <w:r w:rsidR="007A04AB">
          <w:rPr>
            <w:noProof/>
            <w:webHidden/>
          </w:rPr>
          <w:fldChar w:fldCharType="separate"/>
        </w:r>
        <w:r w:rsidR="007A04AB">
          <w:rPr>
            <w:noProof/>
            <w:webHidden/>
          </w:rPr>
          <w:t>5</w:t>
        </w:r>
        <w:r w:rsidR="007A04AB">
          <w:rPr>
            <w:noProof/>
            <w:webHidden/>
          </w:rPr>
          <w:fldChar w:fldCharType="end"/>
        </w:r>
      </w:hyperlink>
    </w:p>
    <w:p w14:paraId="7FBE014B" w14:textId="7966A497"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06" w:history="1">
        <w:r w:rsidR="007A04AB" w:rsidRPr="00E824B0">
          <w:rPr>
            <w:rStyle w:val="Lienhypertexte"/>
            <w:rFonts w:ascii="Arial Gras" w:hAnsi="Arial Gras"/>
            <w:noProof/>
          </w:rPr>
          <w:t>4.2 -</w:t>
        </w:r>
        <w:r w:rsidR="007A04AB" w:rsidRPr="00E824B0">
          <w:rPr>
            <w:rStyle w:val="Lienhypertexte"/>
            <w:noProof/>
          </w:rPr>
          <w:t xml:space="preserve"> Dossier « Offre » :</w:t>
        </w:r>
        <w:r w:rsidR="007A04AB">
          <w:rPr>
            <w:noProof/>
            <w:webHidden/>
          </w:rPr>
          <w:tab/>
        </w:r>
        <w:r w:rsidR="007A04AB">
          <w:rPr>
            <w:noProof/>
            <w:webHidden/>
          </w:rPr>
          <w:fldChar w:fldCharType="begin"/>
        </w:r>
        <w:r w:rsidR="007A04AB">
          <w:rPr>
            <w:noProof/>
            <w:webHidden/>
          </w:rPr>
          <w:instrText xml:space="preserve"> PAGEREF _Toc183428006 \h </w:instrText>
        </w:r>
        <w:r w:rsidR="007A04AB">
          <w:rPr>
            <w:noProof/>
            <w:webHidden/>
          </w:rPr>
        </w:r>
        <w:r w:rsidR="007A04AB">
          <w:rPr>
            <w:noProof/>
            <w:webHidden/>
          </w:rPr>
          <w:fldChar w:fldCharType="separate"/>
        </w:r>
        <w:r w:rsidR="007A04AB">
          <w:rPr>
            <w:noProof/>
            <w:webHidden/>
          </w:rPr>
          <w:t>6</w:t>
        </w:r>
        <w:r w:rsidR="007A04AB">
          <w:rPr>
            <w:noProof/>
            <w:webHidden/>
          </w:rPr>
          <w:fldChar w:fldCharType="end"/>
        </w:r>
      </w:hyperlink>
    </w:p>
    <w:p w14:paraId="3744A52A" w14:textId="747483EF"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8007" w:history="1">
        <w:r w:rsidR="007A04AB" w:rsidRPr="00E824B0">
          <w:rPr>
            <w:rStyle w:val="Lienhypertexte"/>
            <w:noProof/>
          </w:rPr>
          <w:t>4.2.1 - Offre administrative :</w:t>
        </w:r>
        <w:r w:rsidR="007A04AB">
          <w:rPr>
            <w:noProof/>
            <w:webHidden/>
          </w:rPr>
          <w:tab/>
        </w:r>
        <w:r w:rsidR="007A04AB">
          <w:rPr>
            <w:noProof/>
            <w:webHidden/>
          </w:rPr>
          <w:fldChar w:fldCharType="begin"/>
        </w:r>
        <w:r w:rsidR="007A04AB">
          <w:rPr>
            <w:noProof/>
            <w:webHidden/>
          </w:rPr>
          <w:instrText xml:space="preserve"> PAGEREF _Toc183428007 \h </w:instrText>
        </w:r>
        <w:r w:rsidR="007A04AB">
          <w:rPr>
            <w:noProof/>
            <w:webHidden/>
          </w:rPr>
        </w:r>
        <w:r w:rsidR="007A04AB">
          <w:rPr>
            <w:noProof/>
            <w:webHidden/>
          </w:rPr>
          <w:fldChar w:fldCharType="separate"/>
        </w:r>
        <w:r w:rsidR="007A04AB">
          <w:rPr>
            <w:noProof/>
            <w:webHidden/>
          </w:rPr>
          <w:t>6</w:t>
        </w:r>
        <w:r w:rsidR="007A04AB">
          <w:rPr>
            <w:noProof/>
            <w:webHidden/>
          </w:rPr>
          <w:fldChar w:fldCharType="end"/>
        </w:r>
      </w:hyperlink>
    </w:p>
    <w:p w14:paraId="5F810D1B" w14:textId="221D5701"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8008" w:history="1">
        <w:r w:rsidR="007A04AB" w:rsidRPr="00E824B0">
          <w:rPr>
            <w:rStyle w:val="Lienhypertexte"/>
            <w:noProof/>
          </w:rPr>
          <w:t>4.2.2 - Offre technique :</w:t>
        </w:r>
        <w:r w:rsidR="007A04AB">
          <w:rPr>
            <w:noProof/>
            <w:webHidden/>
          </w:rPr>
          <w:tab/>
        </w:r>
        <w:r w:rsidR="007A04AB">
          <w:rPr>
            <w:noProof/>
            <w:webHidden/>
          </w:rPr>
          <w:fldChar w:fldCharType="begin"/>
        </w:r>
        <w:r w:rsidR="007A04AB">
          <w:rPr>
            <w:noProof/>
            <w:webHidden/>
          </w:rPr>
          <w:instrText xml:space="preserve"> PAGEREF _Toc183428008 \h </w:instrText>
        </w:r>
        <w:r w:rsidR="007A04AB">
          <w:rPr>
            <w:noProof/>
            <w:webHidden/>
          </w:rPr>
        </w:r>
        <w:r w:rsidR="007A04AB">
          <w:rPr>
            <w:noProof/>
            <w:webHidden/>
          </w:rPr>
          <w:fldChar w:fldCharType="separate"/>
        </w:r>
        <w:r w:rsidR="007A04AB">
          <w:rPr>
            <w:noProof/>
            <w:webHidden/>
          </w:rPr>
          <w:t>6</w:t>
        </w:r>
        <w:r w:rsidR="007A04AB">
          <w:rPr>
            <w:noProof/>
            <w:webHidden/>
          </w:rPr>
          <w:fldChar w:fldCharType="end"/>
        </w:r>
      </w:hyperlink>
    </w:p>
    <w:p w14:paraId="74E09E45" w14:textId="57575D95"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8009" w:history="1">
        <w:r w:rsidR="007A04AB" w:rsidRPr="00E824B0">
          <w:rPr>
            <w:rStyle w:val="Lienhypertexte"/>
            <w:noProof/>
          </w:rPr>
          <w:t>4.2.3 - Offre commerciale :</w:t>
        </w:r>
        <w:r w:rsidR="007A04AB">
          <w:rPr>
            <w:noProof/>
            <w:webHidden/>
          </w:rPr>
          <w:tab/>
        </w:r>
        <w:r w:rsidR="007A04AB">
          <w:rPr>
            <w:noProof/>
            <w:webHidden/>
          </w:rPr>
          <w:fldChar w:fldCharType="begin"/>
        </w:r>
        <w:r w:rsidR="007A04AB">
          <w:rPr>
            <w:noProof/>
            <w:webHidden/>
          </w:rPr>
          <w:instrText xml:space="preserve"> PAGEREF _Toc183428009 \h </w:instrText>
        </w:r>
        <w:r w:rsidR="007A04AB">
          <w:rPr>
            <w:noProof/>
            <w:webHidden/>
          </w:rPr>
        </w:r>
        <w:r w:rsidR="007A04AB">
          <w:rPr>
            <w:noProof/>
            <w:webHidden/>
          </w:rPr>
          <w:fldChar w:fldCharType="separate"/>
        </w:r>
        <w:r w:rsidR="007A04AB">
          <w:rPr>
            <w:noProof/>
            <w:webHidden/>
          </w:rPr>
          <w:t>6</w:t>
        </w:r>
        <w:r w:rsidR="007A04AB">
          <w:rPr>
            <w:noProof/>
            <w:webHidden/>
          </w:rPr>
          <w:fldChar w:fldCharType="end"/>
        </w:r>
      </w:hyperlink>
    </w:p>
    <w:p w14:paraId="6824B89F" w14:textId="429E7AD6"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10" w:history="1">
        <w:r w:rsidR="007A04AB" w:rsidRPr="00E824B0">
          <w:rPr>
            <w:rStyle w:val="Lienhypertexte"/>
            <w:rFonts w:ascii="Arial Gras" w:hAnsi="Arial Gras"/>
            <w:noProof/>
          </w:rPr>
          <w:t>ARTICLE  5  -</w:t>
        </w:r>
        <w:r w:rsidR="007A04AB" w:rsidRPr="00E824B0">
          <w:rPr>
            <w:rStyle w:val="Lienhypertexte"/>
            <w:noProof/>
          </w:rPr>
          <w:t xml:space="preserve"> REMISE DES OFFRES ET DES CANDIDATURES</w:t>
        </w:r>
        <w:r w:rsidR="007A04AB">
          <w:rPr>
            <w:noProof/>
            <w:webHidden/>
          </w:rPr>
          <w:tab/>
        </w:r>
        <w:r w:rsidR="007A04AB">
          <w:rPr>
            <w:noProof/>
            <w:webHidden/>
          </w:rPr>
          <w:fldChar w:fldCharType="begin"/>
        </w:r>
        <w:r w:rsidR="007A04AB">
          <w:rPr>
            <w:noProof/>
            <w:webHidden/>
          </w:rPr>
          <w:instrText xml:space="preserve"> PAGEREF _Toc183428010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63CB99D4" w14:textId="4823B9F8"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11" w:history="1">
        <w:r w:rsidR="007A04AB" w:rsidRPr="00E824B0">
          <w:rPr>
            <w:rStyle w:val="Lienhypertexte"/>
            <w:rFonts w:ascii="Arial Gras" w:hAnsi="Arial Gras"/>
            <w:noProof/>
          </w:rPr>
          <w:t>5.1 -</w:t>
        </w:r>
        <w:r w:rsidR="007A04AB" w:rsidRPr="00E824B0">
          <w:rPr>
            <w:rStyle w:val="Lienhypertexte"/>
            <w:noProof/>
          </w:rPr>
          <w:t xml:space="preserve"> Date limite de remise des candidatures et des offres</w:t>
        </w:r>
        <w:r w:rsidR="007A04AB">
          <w:rPr>
            <w:noProof/>
            <w:webHidden/>
          </w:rPr>
          <w:tab/>
        </w:r>
        <w:r w:rsidR="007A04AB">
          <w:rPr>
            <w:noProof/>
            <w:webHidden/>
          </w:rPr>
          <w:fldChar w:fldCharType="begin"/>
        </w:r>
        <w:r w:rsidR="007A04AB">
          <w:rPr>
            <w:noProof/>
            <w:webHidden/>
          </w:rPr>
          <w:instrText xml:space="preserve"> PAGEREF _Toc183428011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14D953B4" w14:textId="25718969"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12" w:history="1">
        <w:r w:rsidR="007A04AB" w:rsidRPr="00E824B0">
          <w:rPr>
            <w:rStyle w:val="Lienhypertexte"/>
            <w:rFonts w:ascii="Arial Gras" w:hAnsi="Arial Gras"/>
            <w:noProof/>
          </w:rPr>
          <w:t>5.2 -</w:t>
        </w:r>
        <w:r w:rsidR="007A04AB" w:rsidRPr="00E824B0">
          <w:rPr>
            <w:rStyle w:val="Lienhypertexte"/>
            <w:noProof/>
          </w:rPr>
          <w:t xml:space="preserve"> Forme de remise des candidatures et des offres</w:t>
        </w:r>
        <w:r w:rsidR="007A04AB">
          <w:rPr>
            <w:noProof/>
            <w:webHidden/>
          </w:rPr>
          <w:tab/>
        </w:r>
        <w:r w:rsidR="007A04AB">
          <w:rPr>
            <w:noProof/>
            <w:webHidden/>
          </w:rPr>
          <w:fldChar w:fldCharType="begin"/>
        </w:r>
        <w:r w:rsidR="007A04AB">
          <w:rPr>
            <w:noProof/>
            <w:webHidden/>
          </w:rPr>
          <w:instrText xml:space="preserve"> PAGEREF _Toc183428012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706CD344" w14:textId="3AF3BFF2" w:rsidR="007A04AB" w:rsidRDefault="00173E94">
      <w:pPr>
        <w:pStyle w:val="TM3"/>
        <w:tabs>
          <w:tab w:val="right" w:leader="dot" w:pos="8495"/>
        </w:tabs>
        <w:rPr>
          <w:rFonts w:asciiTheme="minorHAnsi" w:eastAsiaTheme="minorEastAsia" w:hAnsiTheme="minorHAnsi" w:cstheme="minorBidi"/>
          <w:i w:val="0"/>
          <w:iCs w:val="0"/>
          <w:noProof/>
          <w:sz w:val="22"/>
          <w:szCs w:val="22"/>
        </w:rPr>
      </w:pPr>
      <w:hyperlink w:anchor="_Toc183428013" w:history="1">
        <w:r w:rsidR="007A04AB" w:rsidRPr="00E824B0">
          <w:rPr>
            <w:rStyle w:val="Lienhypertexte"/>
            <w:noProof/>
          </w:rPr>
          <w:t>5.2.1 - Version dématérialisée</w:t>
        </w:r>
        <w:r w:rsidR="007A04AB">
          <w:rPr>
            <w:noProof/>
            <w:webHidden/>
          </w:rPr>
          <w:tab/>
        </w:r>
        <w:r w:rsidR="007A04AB">
          <w:rPr>
            <w:noProof/>
            <w:webHidden/>
          </w:rPr>
          <w:fldChar w:fldCharType="begin"/>
        </w:r>
        <w:r w:rsidR="007A04AB">
          <w:rPr>
            <w:noProof/>
            <w:webHidden/>
          </w:rPr>
          <w:instrText xml:space="preserve"> PAGEREF _Toc183428013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19F1BE5C" w14:textId="58F584A7"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14" w:history="1">
        <w:r w:rsidR="007A04AB" w:rsidRPr="00E824B0">
          <w:rPr>
            <w:rStyle w:val="Lienhypertexte"/>
            <w:rFonts w:ascii="Arial Gras" w:hAnsi="Arial Gras"/>
            <w:noProof/>
          </w:rPr>
          <w:t>ARTICLE  6  -</w:t>
        </w:r>
        <w:r w:rsidR="007A04AB" w:rsidRPr="00E824B0">
          <w:rPr>
            <w:rStyle w:val="Lienhypertexte"/>
            <w:noProof/>
          </w:rPr>
          <w:t xml:space="preserve"> VERIFICATION DES CANDIDATURES ET JUGEMENT DES OFFRES</w:t>
        </w:r>
        <w:r w:rsidR="007A04AB">
          <w:rPr>
            <w:noProof/>
            <w:webHidden/>
          </w:rPr>
          <w:tab/>
        </w:r>
        <w:r w:rsidR="007A04AB">
          <w:rPr>
            <w:noProof/>
            <w:webHidden/>
          </w:rPr>
          <w:fldChar w:fldCharType="begin"/>
        </w:r>
        <w:r w:rsidR="007A04AB">
          <w:rPr>
            <w:noProof/>
            <w:webHidden/>
          </w:rPr>
          <w:instrText xml:space="preserve"> PAGEREF _Toc183428014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6A207D33" w14:textId="1B960665"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15" w:history="1">
        <w:r w:rsidR="007A04AB" w:rsidRPr="00E824B0">
          <w:rPr>
            <w:rStyle w:val="Lienhypertexte"/>
            <w:rFonts w:ascii="Arial Gras" w:hAnsi="Arial Gras"/>
            <w:noProof/>
          </w:rPr>
          <w:t>6.1 -</w:t>
        </w:r>
        <w:r w:rsidR="007A04AB" w:rsidRPr="00E824B0">
          <w:rPr>
            <w:rStyle w:val="Lienhypertexte"/>
            <w:noProof/>
          </w:rPr>
          <w:t xml:space="preserve"> Vérification des candidatures</w:t>
        </w:r>
        <w:r w:rsidR="007A04AB">
          <w:rPr>
            <w:noProof/>
            <w:webHidden/>
          </w:rPr>
          <w:tab/>
        </w:r>
        <w:r w:rsidR="007A04AB">
          <w:rPr>
            <w:noProof/>
            <w:webHidden/>
          </w:rPr>
          <w:fldChar w:fldCharType="begin"/>
        </w:r>
        <w:r w:rsidR="007A04AB">
          <w:rPr>
            <w:noProof/>
            <w:webHidden/>
          </w:rPr>
          <w:instrText xml:space="preserve"> PAGEREF _Toc183428015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7B700D0D" w14:textId="77646548"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16" w:history="1">
        <w:r w:rsidR="007A04AB" w:rsidRPr="00E824B0">
          <w:rPr>
            <w:rStyle w:val="Lienhypertexte"/>
            <w:rFonts w:ascii="Arial Gras" w:hAnsi="Arial Gras"/>
            <w:noProof/>
          </w:rPr>
          <w:t>6.2 -</w:t>
        </w:r>
        <w:r w:rsidR="007A04AB" w:rsidRPr="00E824B0">
          <w:rPr>
            <w:rStyle w:val="Lienhypertexte"/>
            <w:noProof/>
          </w:rPr>
          <w:t xml:space="preserve"> Critères de sélection des offres</w:t>
        </w:r>
        <w:r w:rsidR="007A04AB">
          <w:rPr>
            <w:noProof/>
            <w:webHidden/>
          </w:rPr>
          <w:tab/>
        </w:r>
        <w:r w:rsidR="007A04AB">
          <w:rPr>
            <w:noProof/>
            <w:webHidden/>
          </w:rPr>
          <w:fldChar w:fldCharType="begin"/>
        </w:r>
        <w:r w:rsidR="007A04AB">
          <w:rPr>
            <w:noProof/>
            <w:webHidden/>
          </w:rPr>
          <w:instrText xml:space="preserve"> PAGEREF _Toc183428016 \h </w:instrText>
        </w:r>
        <w:r w:rsidR="007A04AB">
          <w:rPr>
            <w:noProof/>
            <w:webHidden/>
          </w:rPr>
        </w:r>
        <w:r w:rsidR="007A04AB">
          <w:rPr>
            <w:noProof/>
            <w:webHidden/>
          </w:rPr>
          <w:fldChar w:fldCharType="separate"/>
        </w:r>
        <w:r w:rsidR="007A04AB">
          <w:rPr>
            <w:noProof/>
            <w:webHidden/>
          </w:rPr>
          <w:t>7</w:t>
        </w:r>
        <w:r w:rsidR="007A04AB">
          <w:rPr>
            <w:noProof/>
            <w:webHidden/>
          </w:rPr>
          <w:fldChar w:fldCharType="end"/>
        </w:r>
      </w:hyperlink>
    </w:p>
    <w:p w14:paraId="14B1B1C6" w14:textId="5AA62C63"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17" w:history="1">
        <w:r w:rsidR="007A04AB" w:rsidRPr="00E824B0">
          <w:rPr>
            <w:rStyle w:val="Lienhypertexte"/>
            <w:rFonts w:ascii="Arial Gras" w:hAnsi="Arial Gras"/>
            <w:noProof/>
          </w:rPr>
          <w:t>ARTICLE  7  -</w:t>
        </w:r>
        <w:r w:rsidR="007A04AB" w:rsidRPr="00E824B0">
          <w:rPr>
            <w:rStyle w:val="Lienhypertexte"/>
            <w:noProof/>
          </w:rPr>
          <w:t xml:space="preserve"> DOCUMENTS RELATIFS AU RESPECT DE LA REGLEMENTATION FISCALE ET SOCIALE A FOURNIR PAR L’ATTRIBUTAIRE DU MARCHE</w:t>
        </w:r>
        <w:r w:rsidR="007A04AB">
          <w:rPr>
            <w:noProof/>
            <w:webHidden/>
          </w:rPr>
          <w:tab/>
        </w:r>
        <w:r w:rsidR="007A04AB">
          <w:rPr>
            <w:noProof/>
            <w:webHidden/>
          </w:rPr>
          <w:fldChar w:fldCharType="begin"/>
        </w:r>
        <w:r w:rsidR="007A04AB">
          <w:rPr>
            <w:noProof/>
            <w:webHidden/>
          </w:rPr>
          <w:instrText xml:space="preserve"> PAGEREF _Toc183428017 \h </w:instrText>
        </w:r>
        <w:r w:rsidR="007A04AB">
          <w:rPr>
            <w:noProof/>
            <w:webHidden/>
          </w:rPr>
        </w:r>
        <w:r w:rsidR="007A04AB">
          <w:rPr>
            <w:noProof/>
            <w:webHidden/>
          </w:rPr>
          <w:fldChar w:fldCharType="separate"/>
        </w:r>
        <w:r w:rsidR="007A04AB">
          <w:rPr>
            <w:noProof/>
            <w:webHidden/>
          </w:rPr>
          <w:t>8</w:t>
        </w:r>
        <w:r w:rsidR="007A04AB">
          <w:rPr>
            <w:noProof/>
            <w:webHidden/>
          </w:rPr>
          <w:fldChar w:fldCharType="end"/>
        </w:r>
      </w:hyperlink>
    </w:p>
    <w:p w14:paraId="7FFDAAC1" w14:textId="1D6C0FE8"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18" w:history="1">
        <w:r w:rsidR="007A04AB" w:rsidRPr="00E824B0">
          <w:rPr>
            <w:rStyle w:val="Lienhypertexte"/>
            <w:rFonts w:ascii="Arial Gras" w:hAnsi="Arial Gras"/>
            <w:noProof/>
          </w:rPr>
          <w:t>ARTICLE  8  -</w:t>
        </w:r>
        <w:r w:rsidR="007A04AB" w:rsidRPr="00E824B0">
          <w:rPr>
            <w:rStyle w:val="Lienhypertexte"/>
            <w:noProof/>
          </w:rPr>
          <w:t xml:space="preserve"> RENSEIGNEMENTS COMPLEMENTAIRES</w:t>
        </w:r>
        <w:r w:rsidR="007A04AB">
          <w:rPr>
            <w:noProof/>
            <w:webHidden/>
          </w:rPr>
          <w:tab/>
        </w:r>
        <w:r w:rsidR="007A04AB">
          <w:rPr>
            <w:noProof/>
            <w:webHidden/>
          </w:rPr>
          <w:fldChar w:fldCharType="begin"/>
        </w:r>
        <w:r w:rsidR="007A04AB">
          <w:rPr>
            <w:noProof/>
            <w:webHidden/>
          </w:rPr>
          <w:instrText xml:space="preserve"> PAGEREF _Toc183428018 \h </w:instrText>
        </w:r>
        <w:r w:rsidR="007A04AB">
          <w:rPr>
            <w:noProof/>
            <w:webHidden/>
          </w:rPr>
        </w:r>
        <w:r w:rsidR="007A04AB">
          <w:rPr>
            <w:noProof/>
            <w:webHidden/>
          </w:rPr>
          <w:fldChar w:fldCharType="separate"/>
        </w:r>
        <w:r w:rsidR="007A04AB">
          <w:rPr>
            <w:noProof/>
            <w:webHidden/>
          </w:rPr>
          <w:t>8</w:t>
        </w:r>
        <w:r w:rsidR="007A04AB">
          <w:rPr>
            <w:noProof/>
            <w:webHidden/>
          </w:rPr>
          <w:fldChar w:fldCharType="end"/>
        </w:r>
      </w:hyperlink>
    </w:p>
    <w:p w14:paraId="418CA64C" w14:textId="61089C21"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19" w:history="1">
        <w:r w:rsidR="007A04AB" w:rsidRPr="00E824B0">
          <w:rPr>
            <w:rStyle w:val="Lienhypertexte"/>
            <w:rFonts w:ascii="Arial Gras" w:hAnsi="Arial Gras"/>
            <w:noProof/>
          </w:rPr>
          <w:t>8.1 -</w:t>
        </w:r>
        <w:r w:rsidR="007A04AB" w:rsidRPr="00E824B0">
          <w:rPr>
            <w:rStyle w:val="Lienhypertexte"/>
            <w:noProof/>
          </w:rPr>
          <w:t xml:space="preserve"> Interlocuteurs techniques</w:t>
        </w:r>
        <w:r w:rsidR="007A04AB">
          <w:rPr>
            <w:noProof/>
            <w:webHidden/>
          </w:rPr>
          <w:tab/>
        </w:r>
        <w:r w:rsidR="007A04AB">
          <w:rPr>
            <w:noProof/>
            <w:webHidden/>
          </w:rPr>
          <w:fldChar w:fldCharType="begin"/>
        </w:r>
        <w:r w:rsidR="007A04AB">
          <w:rPr>
            <w:noProof/>
            <w:webHidden/>
          </w:rPr>
          <w:instrText xml:space="preserve"> PAGEREF _Toc183428019 \h </w:instrText>
        </w:r>
        <w:r w:rsidR="007A04AB">
          <w:rPr>
            <w:noProof/>
            <w:webHidden/>
          </w:rPr>
        </w:r>
        <w:r w:rsidR="007A04AB">
          <w:rPr>
            <w:noProof/>
            <w:webHidden/>
          </w:rPr>
          <w:fldChar w:fldCharType="separate"/>
        </w:r>
        <w:r w:rsidR="007A04AB">
          <w:rPr>
            <w:noProof/>
            <w:webHidden/>
          </w:rPr>
          <w:t>8</w:t>
        </w:r>
        <w:r w:rsidR="007A04AB">
          <w:rPr>
            <w:noProof/>
            <w:webHidden/>
          </w:rPr>
          <w:fldChar w:fldCharType="end"/>
        </w:r>
      </w:hyperlink>
    </w:p>
    <w:p w14:paraId="4BD498EF" w14:textId="77BDCD3C" w:rsidR="007A04AB" w:rsidRDefault="00173E94">
      <w:pPr>
        <w:pStyle w:val="TM2"/>
        <w:tabs>
          <w:tab w:val="right" w:leader="dot" w:pos="8495"/>
        </w:tabs>
        <w:rPr>
          <w:rFonts w:asciiTheme="minorHAnsi" w:eastAsiaTheme="minorEastAsia" w:hAnsiTheme="minorHAnsi" w:cstheme="minorBidi"/>
          <w:smallCaps w:val="0"/>
          <w:noProof/>
          <w:sz w:val="22"/>
          <w:szCs w:val="22"/>
        </w:rPr>
      </w:pPr>
      <w:hyperlink w:anchor="_Toc183428020" w:history="1">
        <w:r w:rsidR="007A04AB" w:rsidRPr="00E824B0">
          <w:rPr>
            <w:rStyle w:val="Lienhypertexte"/>
            <w:rFonts w:ascii="Arial Gras" w:hAnsi="Arial Gras"/>
            <w:noProof/>
          </w:rPr>
          <w:t>8.2 -</w:t>
        </w:r>
        <w:r w:rsidR="007A04AB" w:rsidRPr="00E824B0">
          <w:rPr>
            <w:rStyle w:val="Lienhypertexte"/>
            <w:noProof/>
          </w:rPr>
          <w:t xml:space="preserve"> Interlocuteurs commerciaux</w:t>
        </w:r>
        <w:r w:rsidR="007A04AB">
          <w:rPr>
            <w:noProof/>
            <w:webHidden/>
          </w:rPr>
          <w:tab/>
        </w:r>
        <w:r w:rsidR="007A04AB">
          <w:rPr>
            <w:noProof/>
            <w:webHidden/>
          </w:rPr>
          <w:fldChar w:fldCharType="begin"/>
        </w:r>
        <w:r w:rsidR="007A04AB">
          <w:rPr>
            <w:noProof/>
            <w:webHidden/>
          </w:rPr>
          <w:instrText xml:space="preserve"> PAGEREF _Toc183428020 \h </w:instrText>
        </w:r>
        <w:r w:rsidR="007A04AB">
          <w:rPr>
            <w:noProof/>
            <w:webHidden/>
          </w:rPr>
        </w:r>
        <w:r w:rsidR="007A04AB">
          <w:rPr>
            <w:noProof/>
            <w:webHidden/>
          </w:rPr>
          <w:fldChar w:fldCharType="separate"/>
        </w:r>
        <w:r w:rsidR="007A04AB">
          <w:rPr>
            <w:noProof/>
            <w:webHidden/>
          </w:rPr>
          <w:t>8</w:t>
        </w:r>
        <w:r w:rsidR="007A04AB">
          <w:rPr>
            <w:noProof/>
            <w:webHidden/>
          </w:rPr>
          <w:fldChar w:fldCharType="end"/>
        </w:r>
      </w:hyperlink>
    </w:p>
    <w:p w14:paraId="35FBF52C" w14:textId="46F1D14D" w:rsidR="007A04AB" w:rsidRDefault="00173E94">
      <w:pPr>
        <w:pStyle w:val="TM1"/>
        <w:tabs>
          <w:tab w:val="right" w:leader="dot" w:pos="8495"/>
        </w:tabs>
        <w:rPr>
          <w:rFonts w:asciiTheme="minorHAnsi" w:eastAsiaTheme="minorEastAsia" w:hAnsiTheme="minorHAnsi" w:cstheme="minorBidi"/>
          <w:b w:val="0"/>
          <w:bCs w:val="0"/>
          <w:caps w:val="0"/>
          <w:noProof/>
          <w:sz w:val="22"/>
          <w:szCs w:val="22"/>
        </w:rPr>
      </w:pPr>
      <w:hyperlink w:anchor="_Toc183428021" w:history="1">
        <w:r w:rsidR="007A04AB" w:rsidRPr="00E824B0">
          <w:rPr>
            <w:rStyle w:val="Lienhypertexte"/>
            <w:rFonts w:ascii="Arial Gras" w:hAnsi="Arial Gras"/>
            <w:noProof/>
          </w:rPr>
          <w:t>ARTICLE  9  -</w:t>
        </w:r>
        <w:r w:rsidR="007A04AB" w:rsidRPr="00E824B0">
          <w:rPr>
            <w:rStyle w:val="Lienhypertexte"/>
            <w:noProof/>
          </w:rPr>
          <w:t xml:space="preserve"> SUIVI DES FOURNISSEURS</w:t>
        </w:r>
        <w:r w:rsidR="007A04AB">
          <w:rPr>
            <w:noProof/>
            <w:webHidden/>
          </w:rPr>
          <w:tab/>
        </w:r>
        <w:r w:rsidR="007A04AB">
          <w:rPr>
            <w:noProof/>
            <w:webHidden/>
          </w:rPr>
          <w:fldChar w:fldCharType="begin"/>
        </w:r>
        <w:r w:rsidR="007A04AB">
          <w:rPr>
            <w:noProof/>
            <w:webHidden/>
          </w:rPr>
          <w:instrText xml:space="preserve"> PAGEREF _Toc183428021 \h </w:instrText>
        </w:r>
        <w:r w:rsidR="007A04AB">
          <w:rPr>
            <w:noProof/>
            <w:webHidden/>
          </w:rPr>
        </w:r>
        <w:r w:rsidR="007A04AB">
          <w:rPr>
            <w:noProof/>
            <w:webHidden/>
          </w:rPr>
          <w:fldChar w:fldCharType="separate"/>
        </w:r>
        <w:r w:rsidR="007A04AB">
          <w:rPr>
            <w:noProof/>
            <w:webHidden/>
          </w:rPr>
          <w:t>9</w:t>
        </w:r>
        <w:r w:rsidR="007A04AB">
          <w:rPr>
            <w:noProof/>
            <w:webHidden/>
          </w:rPr>
          <w:fldChar w:fldCharType="end"/>
        </w:r>
      </w:hyperlink>
    </w:p>
    <w:p w14:paraId="096478ED" w14:textId="49CAC986"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7C054C1F" w14:textId="5061C5D4" w:rsidR="00107B6F" w:rsidRPr="00A072BC" w:rsidRDefault="00AC0669" w:rsidP="00A072BC">
      <w:pPr>
        <w:pStyle w:val="Titre1"/>
        <w:jc w:val="both"/>
      </w:pPr>
      <w:r>
        <w:br w:type="page"/>
      </w:r>
      <w:r w:rsidR="001508DF">
        <w:lastRenderedPageBreak/>
        <w:t xml:space="preserve"> </w:t>
      </w:r>
      <w:bookmarkStart w:id="1" w:name="_Toc183427991"/>
      <w:r w:rsidR="00185B2A">
        <w:t>OBJET</w:t>
      </w:r>
      <w:bookmarkEnd w:id="1"/>
    </w:p>
    <w:p w14:paraId="7246401D" w14:textId="1F4906D1" w:rsidR="00811CB3" w:rsidRPr="00C1260D" w:rsidRDefault="00811CB3" w:rsidP="003C2BF2">
      <w:pPr>
        <w:jc w:val="both"/>
        <w:rPr>
          <w:rFonts w:cs="Arial"/>
          <w:szCs w:val="22"/>
        </w:rPr>
      </w:pPr>
      <w:r w:rsidRPr="00C1260D">
        <w:rPr>
          <w:rFonts w:cs="Arial"/>
          <w:szCs w:val="22"/>
        </w:rPr>
        <w:t>Le présent règlement de consultation a pour objet de définir les conditions de la consultation relative à</w:t>
      </w:r>
      <w:r w:rsidR="00CB5080">
        <w:rPr>
          <w:rFonts w:cs="Arial"/>
          <w:szCs w:val="22"/>
        </w:rPr>
        <w:t xml:space="preserve"> </w:t>
      </w:r>
      <w:r w:rsidR="00CB5080" w:rsidRPr="00CB5080">
        <w:rPr>
          <w:rFonts w:cs="Arial"/>
          <w:szCs w:val="22"/>
        </w:rPr>
        <w:t>la fourniture de pièces pour la réalisation d’un démonstrateur de cryoréfrigirateur</w:t>
      </w:r>
      <w:r w:rsidR="004F746C">
        <w:rPr>
          <w:rFonts w:cs="Arial"/>
          <w:szCs w:val="22"/>
        </w:rPr>
        <w:t xml:space="preserve"> </w:t>
      </w:r>
      <w:r w:rsidR="004F746C">
        <w:t>Nommé MAX DM</w:t>
      </w:r>
      <w:r w:rsidRPr="00C1260D">
        <w:rPr>
          <w:rFonts w:cs="Arial"/>
          <w:szCs w:val="22"/>
        </w:rPr>
        <w:t>.</w:t>
      </w:r>
    </w:p>
    <w:p w14:paraId="0C16864F" w14:textId="77777777" w:rsidR="00107B6F" w:rsidRPr="00C1260D" w:rsidRDefault="00107B6F" w:rsidP="00107B6F">
      <w:pPr>
        <w:jc w:val="both"/>
        <w:rPr>
          <w:rFonts w:cs="Arial"/>
          <w:szCs w:val="22"/>
        </w:rPr>
      </w:pPr>
      <w:r w:rsidRPr="00C1260D">
        <w:rPr>
          <w:rFonts w:cs="Arial"/>
          <w:szCs w:val="22"/>
        </w:rPr>
        <w:t>Le soumissionnaire retenu à l’issue de la procédure pour les prestations définies dans le présent règlement, sera titulaire d’un marché mis en place par le CEA.</w:t>
      </w:r>
    </w:p>
    <w:p w14:paraId="4E719CFB" w14:textId="6806333A" w:rsidR="00811CB3" w:rsidRPr="00C1260D" w:rsidRDefault="00B66FD1" w:rsidP="00CB5080">
      <w:pPr>
        <w:rPr>
          <w:rFonts w:cs="Arial"/>
          <w:szCs w:val="22"/>
        </w:rPr>
      </w:pPr>
      <w:r w:rsidRPr="00CB5080">
        <w:rPr>
          <w:rFonts w:cs="Arial"/>
          <w:szCs w:val="22"/>
        </w:rPr>
        <w:t xml:space="preserve">Le marché a pour objet la fourniture de </w:t>
      </w:r>
      <w:r w:rsidR="00CB5080" w:rsidRPr="00CB5080">
        <w:rPr>
          <w:rFonts w:cs="Arial"/>
          <w:szCs w:val="22"/>
        </w:rPr>
        <w:t>pièces spécifiques</w:t>
      </w:r>
      <w:r w:rsidRPr="00CB5080">
        <w:rPr>
          <w:rFonts w:cs="Arial"/>
          <w:szCs w:val="22"/>
        </w:rPr>
        <w:t xml:space="preserve">. En l’absence de prestations distinctes ; il </w:t>
      </w:r>
      <w:r w:rsidRPr="008165E6">
        <w:rPr>
          <w:rFonts w:cs="Arial"/>
          <w:szCs w:val="22"/>
        </w:rPr>
        <w:t>ne peut pas faire l’objet</w:t>
      </w:r>
      <w:r>
        <w:rPr>
          <w:rFonts w:cs="Arial"/>
          <w:szCs w:val="22"/>
        </w:rPr>
        <w:t xml:space="preserve"> d’un allotissement</w:t>
      </w:r>
      <w:r w:rsidRPr="00CB5080">
        <w:rPr>
          <w:rFonts w:cs="Arial"/>
          <w:szCs w:val="22"/>
        </w:rPr>
        <w:t>.</w:t>
      </w:r>
    </w:p>
    <w:p w14:paraId="77A025F1" w14:textId="77777777" w:rsidR="00E71F75" w:rsidRPr="00C1260D" w:rsidRDefault="00E71F75" w:rsidP="003C2BF2">
      <w:pPr>
        <w:jc w:val="both"/>
        <w:rPr>
          <w:rFonts w:cs="Arial"/>
          <w:szCs w:val="22"/>
        </w:rPr>
      </w:pPr>
    </w:p>
    <w:p w14:paraId="55DC89CF" w14:textId="77777777" w:rsidR="00811CB3" w:rsidRPr="00C1260D" w:rsidRDefault="00811CB3" w:rsidP="003C2BF2">
      <w:pPr>
        <w:pStyle w:val="Titre1"/>
        <w:jc w:val="both"/>
      </w:pPr>
      <w:bookmarkStart w:id="2" w:name="_Toc183427992"/>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2"/>
    </w:p>
    <w:p w14:paraId="1CAF89E1" w14:textId="77777777" w:rsidR="004A6C53" w:rsidRPr="00C1260D" w:rsidRDefault="004A6C53" w:rsidP="003C2BF2">
      <w:pPr>
        <w:jc w:val="both"/>
        <w:rPr>
          <w:rFonts w:cs="Arial"/>
          <w:szCs w:val="22"/>
        </w:rPr>
      </w:pPr>
      <w:r w:rsidRPr="00C1260D">
        <w:rPr>
          <w:rFonts w:cs="Arial"/>
          <w:szCs w:val="22"/>
        </w:rPr>
        <w:t>L</w:t>
      </w:r>
      <w:r w:rsidR="00996BB8" w:rsidRPr="00C1260D">
        <w:rPr>
          <w:rFonts w:cs="Arial"/>
          <w:szCs w:val="22"/>
        </w:rPr>
        <w:t xml:space="preserve">a </w:t>
      </w:r>
      <w:r w:rsidRPr="00C1260D">
        <w:rPr>
          <w:rFonts w:cs="Arial"/>
          <w:szCs w:val="22"/>
        </w:rPr>
        <w:t>présent</w:t>
      </w:r>
      <w:r w:rsidR="00996BB8" w:rsidRPr="00C1260D">
        <w:rPr>
          <w:rFonts w:cs="Arial"/>
          <w:szCs w:val="22"/>
        </w:rPr>
        <w:t>e</w:t>
      </w:r>
      <w:r w:rsidRPr="00C1260D">
        <w:rPr>
          <w:rFonts w:cs="Arial"/>
          <w:szCs w:val="22"/>
        </w:rPr>
        <w:t xml:space="preserve"> </w:t>
      </w:r>
      <w:r w:rsidR="00996BB8" w:rsidRPr="00C1260D">
        <w:rPr>
          <w:rFonts w:cs="Arial"/>
          <w:szCs w:val="22"/>
        </w:rPr>
        <w:t>procédure</w:t>
      </w:r>
      <w:r w:rsidRPr="00C1260D">
        <w:rPr>
          <w:rFonts w:cs="Arial"/>
          <w:szCs w:val="22"/>
        </w:rPr>
        <w:t xml:space="preserve"> est régi</w:t>
      </w:r>
      <w:r w:rsidR="00996BB8" w:rsidRPr="00C1260D">
        <w:rPr>
          <w:rFonts w:cs="Arial"/>
          <w:szCs w:val="22"/>
        </w:rPr>
        <w:t>e</w:t>
      </w:r>
      <w:r w:rsidRPr="00C1260D">
        <w:rPr>
          <w:rFonts w:cs="Arial"/>
          <w:szCs w:val="22"/>
        </w:rPr>
        <w:t>, par ordre de priorité décroissant, par les documents suivants :</w:t>
      </w:r>
    </w:p>
    <w:p w14:paraId="15494B31" w14:textId="023FCCB7" w:rsidR="0087023B" w:rsidRPr="00C1260D" w:rsidRDefault="0087023B" w:rsidP="003C2BF2">
      <w:pPr>
        <w:numPr>
          <w:ilvl w:val="0"/>
          <w:numId w:val="12"/>
        </w:numPr>
        <w:jc w:val="both"/>
        <w:rPr>
          <w:rFonts w:cs="Arial"/>
          <w:szCs w:val="22"/>
        </w:rPr>
      </w:pPr>
      <w:r w:rsidRPr="00C1260D">
        <w:rPr>
          <w:rFonts w:cs="Arial"/>
          <w:szCs w:val="22"/>
        </w:rPr>
        <w:t>les prescriptions de Sécurité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1009A971" w14:textId="552E1126" w:rsidR="004A6C53" w:rsidRDefault="004A6C53" w:rsidP="00CB5080">
      <w:pPr>
        <w:numPr>
          <w:ilvl w:val="0"/>
          <w:numId w:val="12"/>
        </w:numPr>
        <w:jc w:val="both"/>
        <w:rPr>
          <w:rFonts w:cs="Arial"/>
          <w:szCs w:val="22"/>
        </w:rPr>
      </w:pPr>
      <w:r w:rsidRPr="001D29C0">
        <w:rPr>
          <w:rFonts w:cs="Arial"/>
          <w:szCs w:val="22"/>
        </w:rPr>
        <w:t xml:space="preserve">les prescriptions techniques et leurs annexes (cahier des charges référencé </w:t>
      </w:r>
      <w:r w:rsidR="00CB5080" w:rsidRPr="00CB5080">
        <w:rPr>
          <w:rFonts w:cs="Arial"/>
          <w:szCs w:val="22"/>
        </w:rPr>
        <w:t>DSBT-CDC-24-71-1.0 en date du 30 septembre 2024</w:t>
      </w:r>
      <w:r w:rsidRPr="001D29C0">
        <w:rPr>
          <w:rFonts w:cs="Arial"/>
          <w:szCs w:val="22"/>
        </w:rPr>
        <w:t>, plans, etc.)</w:t>
      </w:r>
      <w:r w:rsidR="002A1037" w:rsidRPr="001D29C0">
        <w:rPr>
          <w:rFonts w:cs="Arial"/>
          <w:szCs w:val="22"/>
        </w:rPr>
        <w:t>,</w:t>
      </w:r>
    </w:p>
    <w:p w14:paraId="74F92F4E" w14:textId="1145E16B" w:rsidR="004A6C53" w:rsidRPr="00C1260D" w:rsidRDefault="004A6C53" w:rsidP="00CB5080">
      <w:pPr>
        <w:numPr>
          <w:ilvl w:val="0"/>
          <w:numId w:val="12"/>
        </w:numPr>
        <w:jc w:val="both"/>
        <w:rPr>
          <w:rFonts w:cs="Arial"/>
          <w:szCs w:val="22"/>
        </w:rPr>
      </w:pPr>
      <w:r w:rsidRPr="00C1260D">
        <w:rPr>
          <w:rFonts w:cs="Arial"/>
          <w:szCs w:val="22"/>
        </w:rPr>
        <w:t xml:space="preserve">le projet de marché référencé </w:t>
      </w:r>
      <w:r w:rsidR="00CB5080" w:rsidRPr="00CB5080">
        <w:rPr>
          <w:rFonts w:cs="Arial"/>
          <w:szCs w:val="22"/>
        </w:rPr>
        <w:t>B24-05507-KD</w:t>
      </w:r>
      <w:r w:rsidR="00CB5080">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26FBF5F4" w14:textId="3DB1F0C7" w:rsidR="004A6C53" w:rsidRPr="00CB5080" w:rsidRDefault="00CB5080" w:rsidP="003C2BF2">
      <w:pPr>
        <w:numPr>
          <w:ilvl w:val="0"/>
          <w:numId w:val="13"/>
        </w:numPr>
        <w:jc w:val="both"/>
        <w:rPr>
          <w:rFonts w:cs="Arial"/>
          <w:szCs w:val="22"/>
        </w:rPr>
      </w:pPr>
      <w:r>
        <w:rPr>
          <w:rFonts w:cs="Arial"/>
          <w:szCs w:val="22"/>
        </w:rPr>
        <w:t>Annexe 2</w:t>
      </w:r>
      <w:r w:rsidR="004A6C53" w:rsidRPr="00C1260D">
        <w:rPr>
          <w:rFonts w:cs="Arial"/>
          <w:szCs w:val="22"/>
        </w:rPr>
        <w:t xml:space="preserve">: Règles applicables aux Entreprises Extérieures </w:t>
      </w:r>
      <w:r w:rsidR="0082645E" w:rsidRPr="00C1260D">
        <w:rPr>
          <w:rFonts w:cs="Arial"/>
          <w:szCs w:val="22"/>
        </w:rPr>
        <w:t>(Titulaires ou sous-</w:t>
      </w:r>
      <w:r w:rsidR="0082645E" w:rsidRPr="00CB5080">
        <w:rPr>
          <w:rFonts w:cs="Arial"/>
          <w:szCs w:val="22"/>
        </w:rPr>
        <w:t>traitants de marchés)</w:t>
      </w:r>
    </w:p>
    <w:p w14:paraId="1B17A4FC" w14:textId="76134DD3" w:rsidR="001D611F" w:rsidRPr="00CB5080" w:rsidRDefault="00256A24" w:rsidP="00CB5080">
      <w:pPr>
        <w:numPr>
          <w:ilvl w:val="0"/>
          <w:numId w:val="13"/>
        </w:numPr>
        <w:jc w:val="both"/>
        <w:rPr>
          <w:rFonts w:cs="Arial"/>
          <w:szCs w:val="22"/>
        </w:rPr>
      </w:pPr>
      <w:r w:rsidRPr="00CB5080">
        <w:rPr>
          <w:rFonts w:cs="Arial"/>
          <w:szCs w:val="22"/>
        </w:rPr>
        <w:t xml:space="preserve">Annexe </w:t>
      </w:r>
      <w:r w:rsidR="00CB5080" w:rsidRPr="00CB5080">
        <w:rPr>
          <w:rFonts w:cs="Arial"/>
          <w:szCs w:val="22"/>
        </w:rPr>
        <w:t>3</w:t>
      </w:r>
      <w:r w:rsidR="001D611F" w:rsidRPr="00CB5080">
        <w:rPr>
          <w:rFonts w:cs="Arial"/>
          <w:szCs w:val="22"/>
        </w:rPr>
        <w:t xml:space="preserve"> </w:t>
      </w:r>
      <w:r w:rsidRPr="00CB5080">
        <w:rPr>
          <w:rFonts w:cs="Arial"/>
          <w:szCs w:val="22"/>
        </w:rPr>
        <w:t>: Tableaux de décomposition de prix</w:t>
      </w: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3" w:name="_Toc183427993"/>
      <w:r w:rsidRPr="00C1260D">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83427994"/>
      <w:r w:rsidRPr="00C1260D">
        <w:t>Procédure</w:t>
      </w:r>
      <w:bookmarkEnd w:id="4"/>
    </w:p>
    <w:p w14:paraId="7E265ACC" w14:textId="77777777" w:rsidR="00811CB3" w:rsidRPr="00C1260D" w:rsidRDefault="00811CB3" w:rsidP="003C2BF2">
      <w:pPr>
        <w:pStyle w:val="Titre3"/>
      </w:pPr>
      <w:r w:rsidRPr="00C1260D">
        <w:t xml:space="preserve"> </w:t>
      </w:r>
      <w:bookmarkStart w:id="5" w:name="_Toc183427995"/>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4297E1B" w:rsidR="00E71F75" w:rsidRPr="00C1260D" w:rsidRDefault="00811CB3" w:rsidP="003C2BF2">
      <w:pPr>
        <w:jc w:val="both"/>
        <w:rPr>
          <w:rFonts w:cs="Arial"/>
          <w:szCs w:val="22"/>
        </w:rPr>
      </w:pPr>
      <w:r w:rsidRPr="00C1260D">
        <w:rPr>
          <w:rFonts w:cs="Arial"/>
          <w:szCs w:val="22"/>
        </w:rPr>
        <w:t xml:space="preserve">Le CEA se réserve le droit d’apporter, </w:t>
      </w:r>
      <w:r w:rsidRPr="007A04AB">
        <w:rPr>
          <w:rFonts w:cs="Arial"/>
          <w:szCs w:val="22"/>
        </w:rPr>
        <w:t xml:space="preserve">au plus tard </w:t>
      </w:r>
      <w:r w:rsidR="000506DC">
        <w:rPr>
          <w:rFonts w:cs="Arial"/>
          <w:szCs w:val="22"/>
        </w:rPr>
        <w:t>cinq (5</w:t>
      </w:r>
      <w:r w:rsidRPr="007A04AB">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lastRenderedPageBreak/>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83427996"/>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83427997"/>
      <w:r w:rsidRPr="00C1260D">
        <w:t>Variantes</w:t>
      </w:r>
      <w:bookmarkEnd w:id="8"/>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47FFD81" w14:textId="77777777" w:rsidR="00061F46" w:rsidRPr="00CB5080" w:rsidRDefault="00061F46" w:rsidP="003C2BF2">
      <w:pPr>
        <w:jc w:val="both"/>
        <w:rPr>
          <w:rFonts w:cs="Arial"/>
          <w:szCs w:val="22"/>
        </w:rPr>
      </w:pPr>
      <w:r w:rsidRPr="00CB5080">
        <w:rPr>
          <w:rFonts w:cs="Arial"/>
          <w:szCs w:val="22"/>
        </w:rPr>
        <w:t>Le CEA n’autorise pas la présentation de variantes en sus de l’offre de base.</w:t>
      </w: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9" w:name="_Toc183427998"/>
      <w:r w:rsidRPr="00C1260D">
        <w:t>Questions des soumissionnaires</w:t>
      </w:r>
      <w:bookmarkEnd w:id="9"/>
    </w:p>
    <w:p w14:paraId="66430F7E" w14:textId="5F0306BA" w:rsidR="00FC37A1" w:rsidRDefault="00811CB3" w:rsidP="00FC37A1">
      <w:pPr>
        <w:jc w:val="both"/>
        <w:rPr>
          <w:rFonts w:cs="Arial"/>
          <w:szCs w:val="22"/>
        </w:rPr>
      </w:pPr>
      <w:r w:rsidRPr="00C1260D">
        <w:rPr>
          <w:rFonts w:cs="Arial"/>
          <w:szCs w:val="22"/>
        </w:rPr>
        <w:t>Les questions éventuelles des soumissionnaires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w:t>
      </w:r>
      <w:r w:rsidR="00FC37A1" w:rsidRPr="00CB12A5">
        <w:rPr>
          <w:rFonts w:cs="Arial"/>
          <w:b/>
          <w:szCs w:val="22"/>
        </w:rPr>
        <w:t>érialisation des procédures de passation des marchés du CEA</w:t>
      </w:r>
      <w:r w:rsidR="00703F2D" w:rsidRPr="00CB12A5">
        <w:rPr>
          <w:rFonts w:cs="Arial"/>
          <w:b/>
          <w:szCs w:val="22"/>
        </w:rPr>
        <w:t xml:space="preserve"> (PLACE)</w:t>
      </w:r>
      <w:r w:rsidR="00703F2D" w:rsidRPr="00CB12A5">
        <w:rPr>
          <w:rFonts w:cs="Arial"/>
          <w:szCs w:val="22"/>
        </w:rPr>
        <w:t xml:space="preserve"> </w:t>
      </w:r>
      <w:r w:rsidR="00FC37A1" w:rsidRPr="00CB12A5">
        <w:rPr>
          <w:rFonts w:cs="Arial"/>
          <w:szCs w:val="22"/>
        </w:rPr>
        <w:t xml:space="preserve">au plus tard </w:t>
      </w:r>
      <w:r w:rsidR="000506DC">
        <w:rPr>
          <w:rFonts w:cs="Arial"/>
          <w:szCs w:val="22"/>
        </w:rPr>
        <w:t>sept (7</w:t>
      </w:r>
      <w:r w:rsidR="00FC37A1" w:rsidRPr="00CB12A5">
        <w:rPr>
          <w:rFonts w:cs="Arial"/>
          <w:szCs w:val="22"/>
        </w:rPr>
        <w:t xml:space="preserve">) jours avant la date limite de remise des </w:t>
      </w:r>
      <w:r w:rsidR="00703F2D" w:rsidRPr="00CB12A5">
        <w:rPr>
          <w:rFonts w:cs="Arial"/>
          <w:szCs w:val="22"/>
        </w:rPr>
        <w:t>offres.</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173E94" w:rsidP="00FC37A1">
      <w:pPr>
        <w:jc w:val="both"/>
        <w:rPr>
          <w:rStyle w:val="Lienhypertexte"/>
          <w:rFonts w:cs="Arial"/>
          <w:szCs w:val="22"/>
        </w:rPr>
      </w:pPr>
      <w:hyperlink r:id="rId8"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0" w:name="_Toc183427999"/>
      <w:r w:rsidRPr="00C1260D">
        <w:t>Conditions de prix</w:t>
      </w:r>
      <w:bookmarkEnd w:id="10"/>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1" w:name="_Toc183428000"/>
      <w:r w:rsidRPr="00C1260D">
        <w:t>Sous-traitance</w:t>
      </w:r>
      <w:bookmarkEnd w:id="11"/>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B12A5" w:rsidRDefault="00811CB3" w:rsidP="003C2BF2">
      <w:pPr>
        <w:jc w:val="both"/>
        <w:rPr>
          <w:rFonts w:cs="Arial"/>
          <w:szCs w:val="22"/>
        </w:rPr>
      </w:pPr>
      <w:r w:rsidRPr="00C1260D">
        <w:rPr>
          <w:rFonts w:cs="Arial"/>
          <w:szCs w:val="22"/>
        </w:rPr>
        <w:lastRenderedPageBreak/>
        <w:t>Le CEA se réserve le droit de demander la communication du (des) contrat(s) de sous-</w:t>
      </w:r>
      <w:r w:rsidRPr="00CB12A5">
        <w:rPr>
          <w:rFonts w:cs="Arial"/>
          <w:szCs w:val="22"/>
        </w:rPr>
        <w:t xml:space="preserve">traitance ou (et) de ne pas accepter un (des) sous-traitant(s) proposé(s). </w:t>
      </w:r>
    </w:p>
    <w:p w14:paraId="6922EAFC" w14:textId="160AAA5D" w:rsidR="00811CB3" w:rsidRPr="00C1260D" w:rsidRDefault="00FF669A" w:rsidP="003C2BF2">
      <w:pPr>
        <w:jc w:val="both"/>
        <w:rPr>
          <w:rFonts w:cs="Arial"/>
          <w:szCs w:val="22"/>
        </w:rPr>
      </w:pPr>
      <w:r w:rsidRPr="00CB12A5">
        <w:rPr>
          <w:rFonts w:cs="Arial"/>
          <w:szCs w:val="22"/>
        </w:rPr>
        <w:t xml:space="preserve">Le soumissionnaire doit s’adresser au correspondant commercial du CEA, Service </w:t>
      </w:r>
      <w:r w:rsidR="00846642" w:rsidRPr="00CB12A5">
        <w:rPr>
          <w:rFonts w:cs="Arial"/>
          <w:szCs w:val="22"/>
        </w:rPr>
        <w:t xml:space="preserve">des Marchés et </w:t>
      </w:r>
      <w:r w:rsidRPr="00CB12A5">
        <w:rPr>
          <w:rFonts w:cs="Arial"/>
          <w:szCs w:val="22"/>
        </w:rPr>
        <w:t>Achats pour obtenir le formulaire de demande d’acceptation de sous-traitant.</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2" w:name="_Toc467160625"/>
      <w:bookmarkStart w:id="13" w:name="_Toc467160626"/>
      <w:bookmarkStart w:id="14" w:name="_Toc183428001"/>
      <w:bookmarkEnd w:id="12"/>
      <w:bookmarkEnd w:id="13"/>
      <w:r w:rsidRPr="00C1260D">
        <w:t>Confidentialité</w:t>
      </w:r>
      <w:bookmarkEnd w:id="14"/>
    </w:p>
    <w:p w14:paraId="575CDE94" w14:textId="64DB0069"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CB12A5">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5" w:name="_Toc467160628"/>
      <w:bookmarkStart w:id="16" w:name="_Toc183428002"/>
      <w:bookmarkEnd w:id="15"/>
      <w:r w:rsidRPr="00C1260D">
        <w:t>Validité des offres</w:t>
      </w:r>
      <w:bookmarkEnd w:id="16"/>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w:t>
      </w:r>
      <w:r w:rsidRPr="00CB12A5">
        <w:rPr>
          <w:rFonts w:cs="Arial"/>
          <w:szCs w:val="22"/>
        </w:rPr>
        <w:t xml:space="preserve">durée de </w:t>
      </w:r>
      <w:r w:rsidR="00363AB2" w:rsidRPr="00CB12A5">
        <w:rPr>
          <w:rFonts w:cs="Arial"/>
          <w:szCs w:val="22"/>
        </w:rPr>
        <w:t>quatre</w:t>
      </w:r>
      <w:r w:rsidRPr="00CB12A5">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7" w:name="_Toc467160630"/>
      <w:bookmarkStart w:id="18" w:name="_Toc183428003"/>
      <w:bookmarkEnd w:id="17"/>
      <w:r w:rsidRPr="00C1260D">
        <w:t>Utilisation de la plateforme de dématérialisation du CEA</w:t>
      </w:r>
      <w:r w:rsidR="00703F2D">
        <w:t xml:space="preserve"> (PLACE)</w:t>
      </w:r>
      <w:bookmarkEnd w:id="18"/>
    </w:p>
    <w:p w14:paraId="401204FE" w14:textId="4849B29D" w:rsidR="00F6247F" w:rsidRPr="00C1260D" w:rsidRDefault="00811CB3" w:rsidP="00F6247F">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19" w:name="_Toc183428004"/>
      <w:r w:rsidRPr="00C1260D">
        <w:t xml:space="preserve">PRESENTATION </w:t>
      </w:r>
      <w:r w:rsidRPr="00223180">
        <w:t>DE</w:t>
      </w:r>
      <w:r w:rsidR="00195384" w:rsidRPr="00223180">
        <w:t xml:space="preserve"> LA CANDIDATURE</w:t>
      </w:r>
      <w:r w:rsidRPr="00223180">
        <w:t xml:space="preserve"> ET DE L’OFFRE</w:t>
      </w:r>
      <w:bookmarkEnd w:id="19"/>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0" w:name="_Toc183428005"/>
      <w:r w:rsidRPr="00223180">
        <w:t xml:space="preserve">Dossier </w:t>
      </w:r>
      <w:r w:rsidR="004A6C53" w:rsidRPr="00223180">
        <w:t>« Candidature » :</w:t>
      </w:r>
      <w:bookmarkEnd w:id="20"/>
    </w:p>
    <w:p w14:paraId="1720D8B0" w14:textId="77777777" w:rsidR="00D6097E" w:rsidRDefault="00D6097E" w:rsidP="00D6097E"/>
    <w:p w14:paraId="4D692382" w14:textId="3DF097F9"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173E94" w:rsidP="005D4FE5">
      <w:pPr>
        <w:jc w:val="center"/>
        <w:rPr>
          <w:rStyle w:val="Lienhypertexte"/>
          <w:rFonts w:cs="Arial"/>
          <w:i/>
          <w:szCs w:val="22"/>
        </w:rPr>
      </w:pPr>
      <w:hyperlink r:id="rId9"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0"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075C3965" w14:textId="5DE7912C" w:rsidR="005D4FE5" w:rsidRPr="00CB12A5" w:rsidRDefault="005D4FE5" w:rsidP="005D4FE5">
      <w:pPr>
        <w:pStyle w:val="Paragraphedeliste"/>
        <w:numPr>
          <w:ilvl w:val="0"/>
          <w:numId w:val="29"/>
        </w:numPr>
        <w:jc w:val="both"/>
        <w:rPr>
          <w:rFonts w:cs="Arial"/>
          <w:szCs w:val="22"/>
        </w:rPr>
      </w:pPr>
      <w:r w:rsidRPr="00CB12A5">
        <w:rPr>
          <w:rFonts w:cs="Arial"/>
          <w:szCs w:val="22"/>
        </w:rPr>
        <w:t>Une liste des principales livraisons effectuées au cours des trois dernières années, indiquant le montant, la date et le destinataire public ou privé. Les livraisons et les prestations de services sont prouvées par des attestations du destinataire ou, à défaut, par une déclaration de l'opérateur économique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1" w:name="_Toc183428006"/>
      <w:r w:rsidRPr="00223180">
        <w:t xml:space="preserve">Dossier </w:t>
      </w:r>
      <w:r w:rsidR="004A6C53" w:rsidRPr="00223180">
        <w:t>« Offre</w:t>
      </w:r>
      <w:r w:rsidRPr="00223180">
        <w:t xml:space="preserve"> </w:t>
      </w:r>
      <w:r w:rsidR="004A6C53" w:rsidRPr="00223180">
        <w:t>» :</w:t>
      </w:r>
      <w:bookmarkEnd w:id="21"/>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2" w:name="_Toc183428007"/>
      <w:r w:rsidRPr="00C1260D">
        <w:t>Offre administrative :</w:t>
      </w:r>
      <w:bookmarkEnd w:id="22"/>
    </w:p>
    <w:p w14:paraId="736E7FFC" w14:textId="77777777" w:rsidR="00791791" w:rsidRPr="00C1260D" w:rsidRDefault="00791791" w:rsidP="003C2BF2">
      <w:pPr>
        <w:pStyle w:val="Paragraphedeliste"/>
        <w:rPr>
          <w:rFonts w:cs="Arial"/>
          <w:szCs w:val="22"/>
        </w:rPr>
      </w:pPr>
    </w:p>
    <w:p w14:paraId="7130D8CF" w14:textId="7BC92070" w:rsidR="00791791" w:rsidRPr="00C1260D" w:rsidRDefault="00481CFF" w:rsidP="003C2BF2">
      <w:pPr>
        <w:numPr>
          <w:ilvl w:val="0"/>
          <w:numId w:val="15"/>
        </w:numPr>
        <w:ind w:left="360"/>
        <w:jc w:val="both"/>
        <w:rPr>
          <w:rFonts w:cs="Arial"/>
          <w:szCs w:val="22"/>
        </w:rPr>
      </w:pPr>
      <w:r w:rsidRPr="00C1260D">
        <w:rPr>
          <w:rFonts w:cs="Arial"/>
          <w:szCs w:val="22"/>
        </w:rPr>
        <w:t>Les attestations d’assurance civile, professionnelle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Default="00811CB3" w:rsidP="003C2BF2">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97EC178" w14:textId="249B8431" w:rsidR="00791791" w:rsidRPr="00CB12A5" w:rsidRDefault="00791791" w:rsidP="00CB12A5">
      <w:pPr>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070FC2E1" w14:textId="76FE0457" w:rsidR="00BF0B28" w:rsidRDefault="00AE424B" w:rsidP="00CB12A5">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r w:rsidR="00CB12A5" w:rsidRPr="00C1260D">
        <w:rPr>
          <w:rFonts w:cs="Arial"/>
          <w:szCs w:val="22"/>
        </w:rPr>
        <w:t xml:space="preserve"> </w:t>
      </w:r>
    </w:p>
    <w:p w14:paraId="09F97BDD" w14:textId="77777777" w:rsidR="00CB12A5" w:rsidRPr="00C1260D" w:rsidRDefault="00CB12A5" w:rsidP="00CB12A5">
      <w:pPr>
        <w:ind w:left="360"/>
        <w:jc w:val="both"/>
        <w:rPr>
          <w:rFonts w:cs="Arial"/>
          <w:szCs w:val="22"/>
        </w:rPr>
      </w:pPr>
    </w:p>
    <w:p w14:paraId="7A8591F6" w14:textId="6E56643B" w:rsidR="004A6C53" w:rsidRPr="00C1260D" w:rsidRDefault="004A6C53" w:rsidP="003C2BF2">
      <w:pPr>
        <w:pStyle w:val="Titre3"/>
      </w:pPr>
      <w:bookmarkStart w:id="23" w:name="_Toc467160637"/>
      <w:bookmarkStart w:id="24" w:name="_Toc467160638"/>
      <w:bookmarkStart w:id="25" w:name="_Toc183428008"/>
      <w:bookmarkEnd w:id="23"/>
      <w:bookmarkEnd w:id="24"/>
      <w:r w:rsidRPr="00C1260D">
        <w:t>Offre technique :</w:t>
      </w:r>
      <w:bookmarkEnd w:id="25"/>
    </w:p>
    <w:p w14:paraId="7F034D15" w14:textId="1CF08B09" w:rsidR="00B63DA4" w:rsidRPr="00C1260D" w:rsidRDefault="00B63DA4" w:rsidP="00B63DA4">
      <w:pPr>
        <w:jc w:val="both"/>
        <w:rPr>
          <w:rFonts w:cs="Arial"/>
          <w:szCs w:val="22"/>
        </w:rPr>
      </w:pPr>
      <w:r w:rsidRPr="00C1260D">
        <w:rPr>
          <w:rFonts w:cs="Arial"/>
          <w:szCs w:val="22"/>
        </w:rPr>
        <w:t xml:space="preserve">L’offre technique devra </w:t>
      </w:r>
      <w:r w:rsidR="000506DC" w:rsidRPr="00C1260D">
        <w:rPr>
          <w:rFonts w:cs="Arial"/>
          <w:szCs w:val="22"/>
        </w:rPr>
        <w:t>à</w:t>
      </w:r>
      <w:r w:rsidRPr="00C1260D">
        <w:rPr>
          <w:rFonts w:cs="Arial"/>
          <w:szCs w:val="22"/>
        </w:rPr>
        <w:t xml:space="preserve"> minima présenter les points suivants :</w:t>
      </w:r>
    </w:p>
    <w:p w14:paraId="70E4AF8A" w14:textId="464E900A" w:rsidR="00B63DA4" w:rsidRDefault="00B63DA4" w:rsidP="00B63DA4">
      <w:pPr>
        <w:numPr>
          <w:ilvl w:val="0"/>
          <w:numId w:val="10"/>
        </w:numPr>
        <w:jc w:val="both"/>
        <w:rPr>
          <w:rFonts w:cs="Arial"/>
          <w:szCs w:val="22"/>
        </w:rPr>
      </w:pPr>
      <w:r w:rsidRPr="00C1260D">
        <w:rPr>
          <w:rFonts w:cs="Arial"/>
          <w:szCs w:val="22"/>
        </w:rPr>
        <w:t xml:space="preserve">Le délai de réalisation / fabrication et/ou </w:t>
      </w:r>
      <w:r w:rsidRPr="00CB12A5">
        <w:rPr>
          <w:rFonts w:cs="Arial"/>
          <w:szCs w:val="22"/>
        </w:rPr>
        <w:t>livraison de la fourniture.</w:t>
      </w:r>
    </w:p>
    <w:p w14:paraId="4EF8BA8E" w14:textId="087E858F" w:rsidR="004F746C" w:rsidRPr="004F746C" w:rsidRDefault="004F746C" w:rsidP="004F746C">
      <w:pPr>
        <w:pStyle w:val="Paragraphedeliste"/>
        <w:numPr>
          <w:ilvl w:val="0"/>
          <w:numId w:val="10"/>
        </w:numPr>
        <w:jc w:val="both"/>
        <w:rPr>
          <w:rFonts w:cs="Arial"/>
          <w:szCs w:val="22"/>
        </w:rPr>
      </w:pPr>
      <w:r w:rsidRPr="00CB12A5">
        <w:rPr>
          <w:rFonts w:cs="Arial"/>
          <w:szCs w:val="22"/>
        </w:rPr>
        <w:t>Une description de l'outillage, du matériel et de l'équipement technique dont le candidat disposera pour la réalisation du marché public ;</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6" w:name="_Toc369006681"/>
      <w:bookmarkStart w:id="27" w:name="_Toc183428009"/>
      <w:r w:rsidRPr="00C1260D">
        <w:t>Offre commerciale :</w:t>
      </w:r>
      <w:bookmarkEnd w:id="26"/>
      <w:bookmarkEnd w:id="27"/>
    </w:p>
    <w:p w14:paraId="62D052A3" w14:textId="1D7206E6" w:rsidR="00CB12A5" w:rsidRDefault="00CB12A5" w:rsidP="00CB12A5">
      <w:pPr>
        <w:autoSpaceDE w:val="0"/>
        <w:autoSpaceDN w:val="0"/>
        <w:adjustRightInd w:val="0"/>
        <w:rPr>
          <w:rFonts w:cs="Arial"/>
          <w:szCs w:val="22"/>
        </w:rPr>
      </w:pPr>
      <w:r w:rsidRPr="008E3953">
        <w:rPr>
          <w:rFonts w:cs="Arial"/>
          <w:szCs w:val="22"/>
        </w:rPr>
        <w:t xml:space="preserve">Une offre commerciale (annexe 3 du Règlement de Consultation « </w:t>
      </w:r>
      <w:r w:rsidRPr="00CB12A5">
        <w:rPr>
          <w:rFonts w:cs="Arial"/>
          <w:szCs w:val="22"/>
        </w:rPr>
        <w:t xml:space="preserve">Tableaux de décomposition de </w:t>
      </w:r>
      <w:r w:rsidR="00F81F32" w:rsidRPr="00CB12A5">
        <w:rPr>
          <w:rFonts w:cs="Arial"/>
          <w:szCs w:val="22"/>
        </w:rPr>
        <w:t>prix</w:t>
      </w:r>
      <w:r w:rsidR="00F81F32" w:rsidRPr="008E3953">
        <w:rPr>
          <w:rFonts w:cs="Arial"/>
          <w:szCs w:val="22"/>
        </w:rPr>
        <w:t xml:space="preserve"> »</w:t>
      </w:r>
      <w:r w:rsidRPr="008E3953">
        <w:rPr>
          <w:rFonts w:cs="Arial"/>
          <w:szCs w:val="22"/>
        </w:rPr>
        <w:t xml:space="preserve"> </w:t>
      </w:r>
      <w:r>
        <w:rPr>
          <w:rFonts w:cs="Arial"/>
          <w:szCs w:val="22"/>
        </w:rPr>
        <w:t>complétée</w:t>
      </w:r>
      <w:r w:rsidRPr="008E3953">
        <w:rPr>
          <w:rFonts w:cs="Arial"/>
          <w:szCs w:val="22"/>
        </w:rPr>
        <w:t xml:space="preserve">) détaillant le prix de la fourniture décomposé comme suit : </w:t>
      </w:r>
    </w:p>
    <w:p w14:paraId="6CFF19AB" w14:textId="77777777" w:rsidR="00CB12A5" w:rsidRDefault="00CB12A5" w:rsidP="00CB12A5">
      <w:pPr>
        <w:autoSpaceDE w:val="0"/>
        <w:autoSpaceDN w:val="0"/>
        <w:adjustRightInd w:val="0"/>
        <w:rPr>
          <w:rFonts w:cs="Arial"/>
          <w:szCs w:val="22"/>
        </w:rPr>
      </w:pPr>
    </w:p>
    <w:p w14:paraId="093D807F" w14:textId="77777777" w:rsidR="00047936" w:rsidRDefault="00CB12A5" w:rsidP="00CB12A5">
      <w:pPr>
        <w:autoSpaceDE w:val="0"/>
        <w:autoSpaceDN w:val="0"/>
        <w:adjustRightInd w:val="0"/>
        <w:rPr>
          <w:rFonts w:cs="Arial"/>
          <w:szCs w:val="22"/>
        </w:rPr>
      </w:pPr>
      <w:r>
        <w:rPr>
          <w:rFonts w:cs="Arial"/>
          <w:szCs w:val="22"/>
        </w:rPr>
        <w:t xml:space="preserve">- </w:t>
      </w:r>
      <w:r w:rsidRPr="006B06C6">
        <w:rPr>
          <w:rFonts w:cs="Arial"/>
          <w:szCs w:val="22"/>
        </w:rPr>
        <w:t xml:space="preserve">le détail du prix unitaire de la fourniture - FCA </w:t>
      </w:r>
      <w:r w:rsidR="00047936">
        <w:rPr>
          <w:rFonts w:cs="Arial"/>
          <w:szCs w:val="22"/>
        </w:rPr>
        <w:t>(Convention Incoterms ICC 2020)</w:t>
      </w:r>
    </w:p>
    <w:p w14:paraId="7C388658" w14:textId="69976F29" w:rsidR="00047936" w:rsidRDefault="00047936" w:rsidP="00CB12A5">
      <w:pPr>
        <w:autoSpaceDE w:val="0"/>
        <w:autoSpaceDN w:val="0"/>
        <w:adjustRightInd w:val="0"/>
        <w:rPr>
          <w:rFonts w:cs="Arial"/>
          <w:szCs w:val="22"/>
        </w:rPr>
      </w:pPr>
      <w:r>
        <w:rPr>
          <w:rFonts w:cs="Arial"/>
          <w:szCs w:val="22"/>
        </w:rPr>
        <w:t>ET/OU</w:t>
      </w:r>
    </w:p>
    <w:p w14:paraId="1763C503" w14:textId="2AC6C77E" w:rsidR="00047936" w:rsidRDefault="00047936" w:rsidP="00CB12A5">
      <w:pPr>
        <w:autoSpaceDE w:val="0"/>
        <w:autoSpaceDN w:val="0"/>
        <w:adjustRightInd w:val="0"/>
        <w:rPr>
          <w:rFonts w:cs="Arial"/>
          <w:szCs w:val="22"/>
        </w:rPr>
      </w:pPr>
      <w:r>
        <w:rPr>
          <w:rFonts w:cs="Arial"/>
          <w:szCs w:val="22"/>
        </w:rPr>
        <w:lastRenderedPageBreak/>
        <w:t xml:space="preserve">- </w:t>
      </w:r>
      <w:r w:rsidRPr="006B06C6">
        <w:rPr>
          <w:rFonts w:cs="Arial"/>
          <w:szCs w:val="22"/>
        </w:rPr>
        <w:t>le détail du prix unitaire de la fourniture -DAP CEA Grenoble (Convention Incoterms ICC 2020)</w:t>
      </w:r>
    </w:p>
    <w:p w14:paraId="1188B45A" w14:textId="57CA0541" w:rsidR="00CB12A5" w:rsidRPr="006B06C6" w:rsidRDefault="00CB12A5" w:rsidP="00CB12A5">
      <w:pPr>
        <w:autoSpaceDE w:val="0"/>
        <w:autoSpaceDN w:val="0"/>
        <w:adjustRightInd w:val="0"/>
        <w:rPr>
          <w:rFonts w:cs="Arial"/>
          <w:szCs w:val="22"/>
        </w:rPr>
      </w:pPr>
      <w:r w:rsidRPr="006B06C6">
        <w:rPr>
          <w:rFonts w:cs="Arial"/>
          <w:szCs w:val="22"/>
        </w:rPr>
        <w:t xml:space="preserve"> </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8" w:name="_Toc183428010"/>
      <w:r w:rsidRPr="00223180">
        <w:t>REMISE DES OFFRES ET DES CANDIDATURES</w:t>
      </w:r>
      <w:bookmarkEnd w:id="28"/>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29" w:name="_Toc183428011"/>
      <w:r w:rsidRPr="00AC096A">
        <w:t>Date limite de remise des candidatures et des offres</w:t>
      </w:r>
      <w:bookmarkEnd w:id="29"/>
    </w:p>
    <w:p w14:paraId="4DEBDB42" w14:textId="31F81A91"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0506DC">
        <w:rPr>
          <w:rFonts w:cs="Arial"/>
          <w:b/>
          <w:szCs w:val="22"/>
        </w:rPr>
        <w:t>Lundi 13</w:t>
      </w:r>
      <w:r w:rsidR="004F746C">
        <w:rPr>
          <w:rFonts w:cs="Arial"/>
          <w:b/>
          <w:szCs w:val="22"/>
        </w:rPr>
        <w:t xml:space="preserve"> janvier</w:t>
      </w:r>
      <w:r w:rsidRPr="00C1260D">
        <w:rPr>
          <w:rFonts w:cs="Arial"/>
          <w:b/>
          <w:szCs w:val="22"/>
        </w:rPr>
        <w:t xml:space="preserve"> </w:t>
      </w:r>
      <w:r w:rsidR="004F746C">
        <w:rPr>
          <w:rFonts w:cs="Arial"/>
          <w:b/>
          <w:szCs w:val="22"/>
        </w:rPr>
        <w:t>2025</w:t>
      </w:r>
      <w:r w:rsidR="00906A77" w:rsidRPr="00C1260D">
        <w:rPr>
          <w:rFonts w:cs="Arial"/>
          <w:b/>
          <w:szCs w:val="22"/>
        </w:rPr>
        <w:t xml:space="preserve"> </w:t>
      </w:r>
      <w:r w:rsidR="00F81F32">
        <w:rPr>
          <w:rFonts w:cs="Arial"/>
          <w:b/>
          <w:szCs w:val="22"/>
        </w:rPr>
        <w:t>avant 12</w:t>
      </w:r>
      <w:r w:rsidRPr="00C1260D">
        <w:rPr>
          <w:rFonts w:cs="Arial"/>
          <w:b/>
          <w:szCs w:val="22"/>
        </w:rPr>
        <w:t xml:space="preserve"> heures</w:t>
      </w:r>
      <w:r w:rsidRPr="00C1260D">
        <w:rPr>
          <w:rFonts w:cs="Arial"/>
          <w:szCs w:val="22"/>
        </w:rPr>
        <w:t xml:space="preserve"> (délai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0" w:name="_Toc183428012"/>
      <w:r w:rsidRPr="00AC096A">
        <w:t>Forme de remise des candidatures et des offres</w:t>
      </w:r>
      <w:bookmarkEnd w:id="30"/>
    </w:p>
    <w:p w14:paraId="23DBB01E" w14:textId="77777777" w:rsidR="00BA3ABC" w:rsidRPr="00C1260D" w:rsidRDefault="00BA3ABC" w:rsidP="00BA3ABC">
      <w:pPr>
        <w:pStyle w:val="Titre3"/>
      </w:pPr>
      <w:bookmarkStart w:id="31" w:name="_Toc467160650"/>
      <w:bookmarkStart w:id="32" w:name="_Toc183428013"/>
      <w:bookmarkEnd w:id="31"/>
      <w:r w:rsidRPr="00C1260D">
        <w:t>Version dématérialisée</w:t>
      </w:r>
      <w:bookmarkEnd w:id="32"/>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173E94" w:rsidP="00FA1932">
      <w:pPr>
        <w:jc w:val="both"/>
        <w:rPr>
          <w:rFonts w:cs="Arial"/>
          <w:szCs w:val="22"/>
        </w:rPr>
      </w:pPr>
      <w:hyperlink r:id="rId11"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28DE8AD7" w:rsidR="00BA3ABC" w:rsidRPr="00C1260D" w:rsidRDefault="00062324" w:rsidP="00BA3ABC">
      <w:pPr>
        <w:jc w:val="both"/>
        <w:rPr>
          <w:rFonts w:cs="Arial"/>
          <w:szCs w:val="22"/>
        </w:rPr>
      </w:pPr>
      <w:r w:rsidRPr="00BB7B1F">
        <w:rPr>
          <w:rFonts w:cs="Arial"/>
          <w:szCs w:val="22"/>
        </w:rPr>
        <w:t>Le soumissionnaire</w:t>
      </w:r>
      <w:r w:rsidRPr="0049041C">
        <w:rPr>
          <w:rFonts w:cs="Arial"/>
          <w:szCs w:val="22"/>
        </w:rPr>
        <w:t xml:space="preserve"> </w:t>
      </w:r>
      <w:r w:rsidR="00BA3ABC" w:rsidRPr="00C1260D">
        <w:rPr>
          <w:rFonts w:cs="Arial"/>
          <w:szCs w:val="22"/>
        </w:rPr>
        <w:t>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46C66C02" w14:textId="68BF875D" w:rsidR="009F1511" w:rsidRPr="009F1511" w:rsidRDefault="00BA3ABC" w:rsidP="009F1511">
      <w:pPr>
        <w:jc w:val="both"/>
        <w:rPr>
          <w:rFonts w:cs="Arial"/>
          <w:szCs w:val="22"/>
        </w:rPr>
      </w:pPr>
      <w:r w:rsidRPr="00C1260D">
        <w:rPr>
          <w:rFonts w:cs="Arial"/>
          <w:szCs w:val="22"/>
        </w:rPr>
        <w:t>Elle doit être envoyée dans les délais impartis pour la remise des candidatures et des offres</w:t>
      </w:r>
      <w:r w:rsidR="009F1511" w:rsidRPr="009F1511">
        <w:rPr>
          <w:rFonts w:cs="Arial"/>
          <w:szCs w:val="22"/>
        </w:rPr>
        <w:t xml:space="preserve"> à l’adresse indiquée ci-après :</w:t>
      </w:r>
    </w:p>
    <w:p w14:paraId="452A5CF2" w14:textId="77777777" w:rsidR="009F1511" w:rsidRPr="00F81F32" w:rsidRDefault="009F1511" w:rsidP="009F1511">
      <w:pPr>
        <w:jc w:val="both"/>
        <w:rPr>
          <w:rFonts w:cs="Arial"/>
          <w:szCs w:val="22"/>
        </w:rPr>
      </w:pPr>
    </w:p>
    <w:p w14:paraId="053C900D" w14:textId="77777777" w:rsidR="009F1511" w:rsidRPr="00F81F32" w:rsidRDefault="009F1511" w:rsidP="009F1511">
      <w:pPr>
        <w:jc w:val="center"/>
        <w:rPr>
          <w:rFonts w:cs="Arial"/>
          <w:szCs w:val="22"/>
        </w:rPr>
      </w:pPr>
      <w:r w:rsidRPr="00F81F32">
        <w:rPr>
          <w:rFonts w:cs="Arial"/>
          <w:szCs w:val="22"/>
        </w:rPr>
        <w:t>CEA Grenoble</w:t>
      </w:r>
    </w:p>
    <w:p w14:paraId="7F6EF7EB" w14:textId="13CE589C" w:rsidR="009F1511" w:rsidRPr="00F81F32" w:rsidRDefault="009F1511" w:rsidP="009F1511">
      <w:pPr>
        <w:jc w:val="center"/>
        <w:rPr>
          <w:rFonts w:cs="Arial"/>
          <w:szCs w:val="22"/>
        </w:rPr>
      </w:pPr>
      <w:r w:rsidRPr="00F81F32">
        <w:rPr>
          <w:rFonts w:cs="Arial"/>
          <w:szCs w:val="22"/>
        </w:rPr>
        <w:t xml:space="preserve">Service </w:t>
      </w:r>
      <w:r w:rsidR="00846642" w:rsidRPr="00F81F32">
        <w:rPr>
          <w:rFonts w:cs="Arial"/>
          <w:szCs w:val="22"/>
        </w:rPr>
        <w:t xml:space="preserve">des Marchés et </w:t>
      </w:r>
      <w:r w:rsidRPr="00F81F32">
        <w:rPr>
          <w:rFonts w:cs="Arial"/>
          <w:szCs w:val="22"/>
        </w:rPr>
        <w:t>Achats</w:t>
      </w:r>
    </w:p>
    <w:p w14:paraId="5F29F139" w14:textId="34D9D012" w:rsidR="009F1511" w:rsidRPr="00F81F32" w:rsidRDefault="009F1511" w:rsidP="009F1511">
      <w:pPr>
        <w:jc w:val="center"/>
        <w:rPr>
          <w:rFonts w:cs="Arial"/>
          <w:szCs w:val="22"/>
        </w:rPr>
      </w:pPr>
      <w:r w:rsidRPr="00F81F32">
        <w:rPr>
          <w:rFonts w:cs="Arial"/>
          <w:szCs w:val="22"/>
        </w:rPr>
        <w:t xml:space="preserve">17, </w:t>
      </w:r>
      <w:r w:rsidR="00846642" w:rsidRPr="00F81F32">
        <w:rPr>
          <w:rFonts w:cs="Arial"/>
          <w:szCs w:val="22"/>
        </w:rPr>
        <w:t xml:space="preserve">avenue </w:t>
      </w:r>
      <w:r w:rsidRPr="00F81F32">
        <w:rPr>
          <w:rFonts w:cs="Arial"/>
          <w:szCs w:val="22"/>
        </w:rPr>
        <w:t>des Martyrs</w:t>
      </w:r>
    </w:p>
    <w:p w14:paraId="6718057A" w14:textId="77777777" w:rsidR="009F1511" w:rsidRPr="00F81F32" w:rsidRDefault="009F1511" w:rsidP="009F1511">
      <w:pPr>
        <w:jc w:val="center"/>
        <w:rPr>
          <w:rFonts w:cs="Arial"/>
          <w:szCs w:val="22"/>
        </w:rPr>
      </w:pPr>
      <w:r w:rsidRPr="00F81F32">
        <w:rPr>
          <w:rFonts w:cs="Arial"/>
          <w:szCs w:val="22"/>
        </w:rPr>
        <w:t>38054 GRENOBLE Cedex 09</w:t>
      </w:r>
    </w:p>
    <w:p w14:paraId="1F96F722" w14:textId="1A55441E" w:rsidR="009F1511" w:rsidRPr="00F81F32" w:rsidRDefault="009F1511" w:rsidP="009F1511">
      <w:pPr>
        <w:jc w:val="center"/>
        <w:rPr>
          <w:rFonts w:cs="Arial"/>
          <w:szCs w:val="22"/>
          <w:u w:val="single"/>
        </w:rPr>
      </w:pPr>
      <w:r w:rsidRPr="00F81F32">
        <w:rPr>
          <w:rFonts w:cs="Arial"/>
          <w:szCs w:val="22"/>
          <w:u w:val="single"/>
        </w:rPr>
        <w:t xml:space="preserve">A l’attention de </w:t>
      </w:r>
      <w:r w:rsidR="00F81F32" w:rsidRPr="00F81F32">
        <w:rPr>
          <w:rFonts w:cs="Arial"/>
          <w:szCs w:val="22"/>
          <w:u w:val="single"/>
        </w:rPr>
        <w:t>Kevin DI CARO – Pièce 402</w:t>
      </w:r>
    </w:p>
    <w:p w14:paraId="343BD74B" w14:textId="4BA54B33" w:rsidR="00BA3ABC" w:rsidRPr="00C1260D" w:rsidRDefault="00BA3ABC" w:rsidP="00BA3ABC">
      <w:pPr>
        <w:jc w:val="both"/>
        <w:rPr>
          <w:rFonts w:cs="Arial"/>
          <w:szCs w:val="22"/>
        </w:rPr>
      </w:pPr>
    </w:p>
    <w:p w14:paraId="76BF2365" w14:textId="77777777" w:rsidR="00BA3ABC" w:rsidRPr="00C1260D" w:rsidRDefault="00BA3ABC" w:rsidP="000640FB">
      <w:pPr>
        <w:jc w:val="both"/>
        <w:rPr>
          <w:rFonts w:cs="Arial"/>
          <w:szCs w:val="22"/>
        </w:rPr>
      </w:pPr>
      <w:r w:rsidRPr="00C1260D">
        <w:rPr>
          <w:rFonts w:cs="Arial"/>
          <w:szCs w:val="22"/>
        </w:rPr>
        <w:t>La copie de sauvegarde sera ouverte :</w:t>
      </w:r>
    </w:p>
    <w:p w14:paraId="1DBDE104" w14:textId="77777777" w:rsidR="00BA3ABC" w:rsidRPr="00C1260D" w:rsidRDefault="00BA3ABC">
      <w:pPr>
        <w:jc w:val="both"/>
        <w:rPr>
          <w:rFonts w:cs="Arial"/>
          <w:szCs w:val="22"/>
        </w:rPr>
      </w:pPr>
      <w:r w:rsidRPr="00C1260D">
        <w:rPr>
          <w:rFonts w:cs="Arial"/>
          <w:szCs w:val="22"/>
        </w:rPr>
        <w:t>- lorsqu’est détecté un programme informatique malveillant dans les candidatures et les offres transmises par voie dématérialisée.</w:t>
      </w:r>
    </w:p>
    <w:p w14:paraId="186E0BBB" w14:textId="77777777" w:rsidR="00BA3ABC" w:rsidRPr="00C1260D" w:rsidRDefault="00BA3ABC">
      <w:pPr>
        <w:jc w:val="both"/>
        <w:rPr>
          <w:rFonts w:cs="Arial"/>
          <w:szCs w:val="22"/>
        </w:rPr>
      </w:pPr>
      <w:r w:rsidRPr="00C1260D">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176A95DB" w14:textId="77777777" w:rsidR="004918E5" w:rsidRDefault="004918E5" w:rsidP="00074A32"/>
    <w:p w14:paraId="544D1870" w14:textId="77777777" w:rsidR="004918E5" w:rsidRDefault="004918E5" w:rsidP="004918E5">
      <w:pPr>
        <w:pStyle w:val="Titre1"/>
        <w:jc w:val="both"/>
      </w:pPr>
      <w:bookmarkStart w:id="33" w:name="_Toc488938159"/>
      <w:bookmarkStart w:id="34" w:name="_Toc183428014"/>
      <w:r>
        <w:t>VERIFICATION DES CANDIDATURES ET JUGEMENT DES OFFRES</w:t>
      </w:r>
      <w:bookmarkEnd w:id="33"/>
      <w:bookmarkEnd w:id="34"/>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5" w:name="_Toc488938160"/>
      <w:bookmarkStart w:id="36" w:name="_Toc183428015"/>
      <w:r>
        <w:t>Vérification des candidatures</w:t>
      </w:r>
      <w:bookmarkEnd w:id="35"/>
      <w:bookmarkEnd w:id="36"/>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7" w:name="_Toc183428016"/>
      <w:r>
        <w:t xml:space="preserve">Critères de sélection des </w:t>
      </w:r>
      <w:r w:rsidRPr="00AC096A">
        <w:t>offres</w:t>
      </w:r>
      <w:bookmarkEnd w:id="37"/>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4F2AB000" w14:textId="33D59C41" w:rsidR="00BD179D" w:rsidRPr="0089521E" w:rsidRDefault="00BE1B7B" w:rsidP="00BD179D">
      <w:pPr>
        <w:numPr>
          <w:ilvl w:val="0"/>
          <w:numId w:val="17"/>
        </w:numPr>
        <w:jc w:val="both"/>
        <w:rPr>
          <w:rFonts w:cs="Arial"/>
          <w:szCs w:val="22"/>
        </w:rPr>
      </w:pPr>
      <w:r w:rsidRPr="0089521E">
        <w:rPr>
          <w:rFonts w:cs="Arial"/>
          <w:szCs w:val="22"/>
        </w:rPr>
        <w:t>Prix</w:t>
      </w:r>
      <w:r w:rsidR="00F81F32" w:rsidRPr="0089521E">
        <w:rPr>
          <w:rFonts w:cs="Arial"/>
          <w:szCs w:val="22"/>
        </w:rPr>
        <w:t xml:space="preserve"> de la Fourniture</w:t>
      </w:r>
      <w:r w:rsidR="00BD179D" w:rsidRPr="0089521E">
        <w:rPr>
          <w:rFonts w:cs="Arial"/>
          <w:szCs w:val="22"/>
        </w:rPr>
        <w:t xml:space="preserve"> : 50%</w:t>
      </w:r>
    </w:p>
    <w:p w14:paraId="11EFED98" w14:textId="2120F45B" w:rsidR="0089521E" w:rsidRPr="0089521E" w:rsidRDefault="0089521E" w:rsidP="0089521E">
      <w:pPr>
        <w:numPr>
          <w:ilvl w:val="0"/>
          <w:numId w:val="17"/>
        </w:numPr>
        <w:jc w:val="both"/>
        <w:rPr>
          <w:rFonts w:cs="Arial"/>
          <w:szCs w:val="22"/>
        </w:rPr>
      </w:pPr>
      <w:r w:rsidRPr="0089521E">
        <w:rPr>
          <w:rFonts w:cs="Arial"/>
          <w:szCs w:val="22"/>
        </w:rPr>
        <w:lastRenderedPageBreak/>
        <w:t>Organisation et moyens déployés pour le suivi de l’usinage des pièces</w:t>
      </w:r>
      <w:r>
        <w:rPr>
          <w:rFonts w:cs="Arial"/>
          <w:szCs w:val="22"/>
        </w:rPr>
        <w:t xml:space="preserve"> </w:t>
      </w:r>
      <w:r w:rsidRPr="0089521E">
        <w:rPr>
          <w:rFonts w:cs="Arial"/>
          <w:szCs w:val="22"/>
        </w:rPr>
        <w:t xml:space="preserve">: </w:t>
      </w:r>
      <w:r>
        <w:rPr>
          <w:rFonts w:cs="Arial"/>
          <w:szCs w:val="22"/>
        </w:rPr>
        <w:t>4</w:t>
      </w:r>
      <w:r w:rsidRPr="0089521E">
        <w:rPr>
          <w:rFonts w:cs="Arial"/>
          <w:szCs w:val="22"/>
        </w:rPr>
        <w:t>0 %</w:t>
      </w:r>
    </w:p>
    <w:p w14:paraId="53962DDF" w14:textId="56D055EF" w:rsidR="00B01070" w:rsidRPr="0089521E" w:rsidRDefault="00FB0D44" w:rsidP="0089521E">
      <w:pPr>
        <w:numPr>
          <w:ilvl w:val="0"/>
          <w:numId w:val="17"/>
        </w:numPr>
        <w:jc w:val="both"/>
        <w:rPr>
          <w:rFonts w:cs="Arial"/>
          <w:szCs w:val="22"/>
        </w:rPr>
      </w:pPr>
      <w:r>
        <w:rPr>
          <w:rFonts w:cs="Arial"/>
          <w:szCs w:val="22"/>
        </w:rPr>
        <w:t>Délai</w:t>
      </w:r>
      <w:r w:rsidR="00C07D8A">
        <w:rPr>
          <w:rFonts w:cs="Arial"/>
          <w:szCs w:val="22"/>
        </w:rPr>
        <w:t xml:space="preserve"> de livraison : </w:t>
      </w:r>
      <w:r w:rsidR="00F81F32" w:rsidRPr="0089521E">
        <w:rPr>
          <w:rFonts w:cs="Arial"/>
          <w:szCs w:val="22"/>
        </w:rPr>
        <w:t>10</w:t>
      </w:r>
      <w:r w:rsidR="00B01070" w:rsidRPr="0089521E">
        <w:rPr>
          <w:rFonts w:cs="Arial"/>
          <w:szCs w:val="22"/>
        </w:rPr>
        <w:t>%</w:t>
      </w:r>
    </w:p>
    <w:p w14:paraId="436AA6EB" w14:textId="77777777" w:rsidR="00140E32" w:rsidRPr="00C1260D" w:rsidRDefault="00140E32"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4A2D6F10" w14:textId="60711575" w:rsidR="00811CB3" w:rsidRPr="00C1260D" w:rsidRDefault="00811CB3" w:rsidP="003C2BF2">
      <w:pPr>
        <w:jc w:val="both"/>
        <w:rPr>
          <w:rFonts w:cs="Arial"/>
          <w:szCs w:val="22"/>
        </w:rPr>
      </w:pPr>
    </w:p>
    <w:p w14:paraId="5D8ECA5D" w14:textId="39DD494A" w:rsidR="00A74ABD" w:rsidRPr="00C1260D" w:rsidRDefault="00A74ABD" w:rsidP="00A74ABD">
      <w:pPr>
        <w:pBdr>
          <w:top w:val="single" w:sz="4" w:space="1" w:color="auto"/>
          <w:left w:val="single" w:sz="4" w:space="4" w:color="auto"/>
          <w:bottom w:val="single" w:sz="4" w:space="1" w:color="auto"/>
          <w:right w:val="single" w:sz="4" w:space="4" w:color="auto"/>
        </w:pBdr>
        <w:jc w:val="both"/>
        <w:rPr>
          <w:rFonts w:cs="Arial"/>
          <w:b/>
          <w:szCs w:val="22"/>
        </w:rPr>
      </w:pPr>
      <w:r w:rsidRPr="00074A32">
        <w:rPr>
          <w:rFonts w:cs="Arial"/>
          <w:b/>
          <w:szCs w:val="22"/>
        </w:rPr>
        <w:t>Nota : Il est précisé que le CEA se réserve la possibilité de négocier ou de ne pas négocier les offres</w:t>
      </w:r>
      <w:r w:rsidR="00AE2A16" w:rsidRPr="00074A32">
        <w:rPr>
          <w:rFonts w:cs="Arial"/>
          <w:b/>
          <w:szCs w:val="22"/>
        </w:rPr>
        <w:t xml:space="preserve"> </w:t>
      </w:r>
      <w:r w:rsidRPr="00074A32">
        <w:rPr>
          <w:rFonts w:cs="Arial"/>
          <w:b/>
          <w:szCs w:val="22"/>
        </w:rPr>
        <w:t>après remise des offres au titre de la présente consultation.</w:t>
      </w:r>
    </w:p>
    <w:p w14:paraId="7BCBABCF" w14:textId="069B6724"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8" w:name="_Toc183428017"/>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8"/>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39" w:name="_Toc183428018"/>
      <w:r w:rsidRPr="00C1260D">
        <w:t>RENSEIGNEMENTS COMPLEMENTAIRES</w:t>
      </w:r>
      <w:bookmarkEnd w:id="39"/>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173E94" w:rsidP="0018699B">
      <w:pPr>
        <w:jc w:val="both"/>
        <w:rPr>
          <w:rStyle w:val="Lienhypertexte"/>
          <w:rFonts w:cs="Arial"/>
          <w:szCs w:val="22"/>
        </w:rPr>
      </w:pPr>
      <w:hyperlink r:id="rId12"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0" w:name="_Toc183428019"/>
      <w:r w:rsidRPr="00C1260D">
        <w:t>Interlocuteurs techniques</w:t>
      </w:r>
      <w:bookmarkEnd w:id="40"/>
    </w:p>
    <w:p w14:paraId="49D8D608" w14:textId="42C29EBF" w:rsidR="00443D6D" w:rsidRPr="00443D6D" w:rsidRDefault="00443D6D" w:rsidP="00443D6D">
      <w:pPr>
        <w:pStyle w:val="Paragraphedeliste"/>
        <w:numPr>
          <w:ilvl w:val="0"/>
          <w:numId w:val="38"/>
        </w:numPr>
        <w:tabs>
          <w:tab w:val="left" w:pos="3420"/>
          <w:tab w:val="left" w:pos="5940"/>
        </w:tabs>
        <w:jc w:val="both"/>
        <w:rPr>
          <w:rFonts w:cs="Arial"/>
          <w:bCs/>
          <w:szCs w:val="22"/>
        </w:rPr>
      </w:pPr>
      <w:r w:rsidRPr="00443D6D">
        <w:rPr>
          <w:rFonts w:cs="Arial"/>
          <w:bCs/>
          <w:szCs w:val="22"/>
        </w:rPr>
        <w:t xml:space="preserve">Sylvain MARTIN              </w:t>
      </w:r>
      <w:r>
        <w:rPr>
          <w:rFonts w:cs="Arial"/>
          <w:bCs/>
          <w:szCs w:val="22"/>
        </w:rPr>
        <w:t xml:space="preserve">  </w:t>
      </w:r>
      <w:r w:rsidRPr="00443D6D">
        <w:rPr>
          <w:rFonts w:cs="Arial"/>
          <w:bCs/>
          <w:szCs w:val="22"/>
        </w:rPr>
        <w:t xml:space="preserve"> DRF/IRIG/DSBT/LCCS</w:t>
      </w:r>
      <w:r w:rsidRPr="00443D6D">
        <w:rPr>
          <w:rFonts w:cs="Arial"/>
          <w:bCs/>
          <w:szCs w:val="22"/>
        </w:rPr>
        <w:tab/>
        <w:t>Tél : 04.38.78.31.71</w:t>
      </w:r>
    </w:p>
    <w:p w14:paraId="411E897D" w14:textId="77777777" w:rsidR="00443D6D" w:rsidRDefault="00443D6D" w:rsidP="00443D6D">
      <w:pPr>
        <w:tabs>
          <w:tab w:val="left" w:pos="3420"/>
          <w:tab w:val="left" w:pos="5940"/>
        </w:tabs>
        <w:ind w:left="357"/>
        <w:jc w:val="both"/>
        <w:rPr>
          <w:rFonts w:cs="Arial"/>
          <w:bCs/>
          <w:szCs w:val="22"/>
        </w:rPr>
      </w:pPr>
    </w:p>
    <w:p w14:paraId="4B8D5BBF" w14:textId="18F9A714" w:rsidR="00443D6D" w:rsidRPr="00443D6D" w:rsidRDefault="00443D6D" w:rsidP="00443D6D">
      <w:pPr>
        <w:pStyle w:val="Paragraphedeliste"/>
        <w:numPr>
          <w:ilvl w:val="0"/>
          <w:numId w:val="38"/>
        </w:numPr>
        <w:tabs>
          <w:tab w:val="left" w:pos="3420"/>
          <w:tab w:val="left" w:pos="5940"/>
        </w:tabs>
        <w:jc w:val="both"/>
        <w:rPr>
          <w:rFonts w:cs="Arial"/>
          <w:bCs/>
          <w:szCs w:val="22"/>
        </w:rPr>
      </w:pPr>
      <w:r w:rsidRPr="00443D6D">
        <w:rPr>
          <w:rFonts w:cs="Arial"/>
          <w:bCs/>
          <w:szCs w:val="22"/>
        </w:rPr>
        <w:t>Jean-Louis DURAND</w:t>
      </w:r>
      <w:r>
        <w:rPr>
          <w:rFonts w:cs="Arial"/>
          <w:bCs/>
          <w:szCs w:val="22"/>
        </w:rPr>
        <w:t xml:space="preserve">        </w:t>
      </w:r>
      <w:r w:rsidRPr="00443D6D">
        <w:rPr>
          <w:rFonts w:cs="Arial"/>
          <w:bCs/>
          <w:szCs w:val="22"/>
        </w:rPr>
        <w:t xml:space="preserve"> DRF/IRIG/DSBT/LCCS</w:t>
      </w:r>
      <w:r w:rsidRPr="00443D6D">
        <w:rPr>
          <w:rFonts w:cs="Arial"/>
          <w:bCs/>
          <w:szCs w:val="22"/>
        </w:rPr>
        <w:tab/>
        <w:t>Tél : 04.38.78.01.65</w:t>
      </w:r>
    </w:p>
    <w:p w14:paraId="36B1EEF0" w14:textId="77777777" w:rsidR="00443D6D" w:rsidRDefault="00443D6D" w:rsidP="00443D6D">
      <w:pPr>
        <w:tabs>
          <w:tab w:val="left" w:pos="3420"/>
          <w:tab w:val="left" w:pos="5940"/>
        </w:tabs>
        <w:ind w:left="357"/>
        <w:jc w:val="both"/>
        <w:rPr>
          <w:rFonts w:cs="Arial"/>
          <w:bCs/>
          <w:szCs w:val="22"/>
        </w:rPr>
      </w:pPr>
    </w:p>
    <w:p w14:paraId="632842E7" w14:textId="4E1F6737" w:rsidR="00443D6D" w:rsidRPr="00443D6D" w:rsidRDefault="00443D6D" w:rsidP="00443D6D">
      <w:pPr>
        <w:pStyle w:val="Paragraphedeliste"/>
        <w:numPr>
          <w:ilvl w:val="0"/>
          <w:numId w:val="38"/>
        </w:numPr>
        <w:tabs>
          <w:tab w:val="left" w:pos="3420"/>
          <w:tab w:val="left" w:pos="5940"/>
        </w:tabs>
        <w:jc w:val="both"/>
        <w:rPr>
          <w:rFonts w:cs="Arial"/>
          <w:bCs/>
          <w:szCs w:val="22"/>
        </w:rPr>
      </w:pPr>
      <w:r w:rsidRPr="00443D6D">
        <w:rPr>
          <w:rFonts w:cs="Arial"/>
          <w:bCs/>
          <w:szCs w:val="22"/>
        </w:rPr>
        <w:t xml:space="preserve">Florian BANCEL            </w:t>
      </w:r>
      <w:r>
        <w:rPr>
          <w:rFonts w:cs="Arial"/>
          <w:bCs/>
          <w:szCs w:val="22"/>
        </w:rPr>
        <w:t xml:space="preserve"> </w:t>
      </w:r>
      <w:r w:rsidRPr="00443D6D">
        <w:rPr>
          <w:rFonts w:cs="Arial"/>
          <w:bCs/>
          <w:szCs w:val="22"/>
        </w:rPr>
        <w:t xml:space="preserve">   DRF/IRIG/DSBT/LCCS</w:t>
      </w:r>
      <w:r w:rsidRPr="00443D6D">
        <w:rPr>
          <w:rFonts w:cs="Arial"/>
          <w:bCs/>
          <w:szCs w:val="22"/>
        </w:rPr>
        <w:tab/>
        <w:t>Tél : 04.38.78.61.47</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1" w:name="_Toc183428020"/>
      <w:r w:rsidRPr="00C1260D">
        <w:t>Interlocuteurs commerciaux</w:t>
      </w:r>
      <w:bookmarkEnd w:id="41"/>
    </w:p>
    <w:p w14:paraId="381B5E3A" w14:textId="556CF3B6" w:rsidR="00F81F32" w:rsidRPr="00443D6D" w:rsidRDefault="00443D6D" w:rsidP="00443D6D">
      <w:pPr>
        <w:pStyle w:val="Paragraphedeliste"/>
        <w:numPr>
          <w:ilvl w:val="0"/>
          <w:numId w:val="19"/>
        </w:numPr>
        <w:tabs>
          <w:tab w:val="left" w:pos="3420"/>
          <w:tab w:val="left" w:pos="5940"/>
        </w:tabs>
        <w:jc w:val="both"/>
        <w:rPr>
          <w:rFonts w:cs="Arial"/>
          <w:bCs/>
          <w:szCs w:val="22"/>
        </w:rPr>
      </w:pPr>
      <w:r>
        <w:rPr>
          <w:rFonts w:cs="Arial"/>
          <w:bCs/>
          <w:szCs w:val="22"/>
        </w:rPr>
        <w:t>Kevin DI</w:t>
      </w:r>
      <w:r w:rsidR="00F81F32" w:rsidRPr="00443D6D">
        <w:rPr>
          <w:rFonts w:cs="Arial"/>
          <w:bCs/>
          <w:szCs w:val="22"/>
        </w:rPr>
        <w:t xml:space="preserve"> CARO       Services des Marchés et Achats</w:t>
      </w:r>
      <w:r w:rsidR="00F81F32" w:rsidRPr="00443D6D">
        <w:rPr>
          <w:rFonts w:cs="Arial"/>
          <w:bCs/>
          <w:szCs w:val="22"/>
        </w:rPr>
        <w:tab/>
        <w:t>Tél : 06 70 94 26 20</w:t>
      </w:r>
    </w:p>
    <w:p w14:paraId="0CFAAB5E" w14:textId="77777777" w:rsidR="00F81F32" w:rsidRPr="00966515" w:rsidRDefault="00F81F32" w:rsidP="00F81F32">
      <w:pPr>
        <w:tabs>
          <w:tab w:val="left" w:pos="3420"/>
          <w:tab w:val="left" w:pos="5940"/>
        </w:tabs>
        <w:jc w:val="both"/>
        <w:rPr>
          <w:rFonts w:cs="Arial"/>
          <w:bCs/>
          <w:szCs w:val="22"/>
        </w:rPr>
      </w:pPr>
    </w:p>
    <w:p w14:paraId="078CF5E4" w14:textId="32BD8BC1" w:rsidR="00F81F32" w:rsidRPr="00443D6D" w:rsidRDefault="00F81F32" w:rsidP="00443D6D">
      <w:pPr>
        <w:pStyle w:val="Paragraphedeliste"/>
        <w:numPr>
          <w:ilvl w:val="0"/>
          <w:numId w:val="19"/>
        </w:numPr>
        <w:tabs>
          <w:tab w:val="left" w:pos="3420"/>
          <w:tab w:val="left" w:pos="5940"/>
        </w:tabs>
        <w:jc w:val="both"/>
        <w:rPr>
          <w:rFonts w:cs="Arial"/>
          <w:bCs/>
          <w:szCs w:val="22"/>
        </w:rPr>
      </w:pPr>
      <w:r w:rsidRPr="00443D6D">
        <w:rPr>
          <w:rFonts w:cs="Arial"/>
          <w:bCs/>
          <w:szCs w:val="22"/>
        </w:rPr>
        <w:t>Isabelle BOREL      Services des Marchés et Achats</w:t>
      </w:r>
      <w:r w:rsidRPr="00443D6D">
        <w:rPr>
          <w:rFonts w:cs="Arial"/>
          <w:bCs/>
          <w:szCs w:val="22"/>
        </w:rPr>
        <w:tab/>
        <w:t>Tél : 04.38.78.13.36</w:t>
      </w:r>
    </w:p>
    <w:p w14:paraId="53500E85" w14:textId="180E3A95" w:rsidR="002843EB" w:rsidRDefault="002843EB" w:rsidP="003C2BF2">
      <w:pPr>
        <w:rPr>
          <w:rFonts w:cs="Arial"/>
          <w:i/>
          <w:szCs w:val="22"/>
        </w:rPr>
      </w:pPr>
    </w:p>
    <w:p w14:paraId="74EA16AE" w14:textId="77777777" w:rsidR="00F81F32" w:rsidRDefault="00F81F32"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2" w:name="_Toc183428021"/>
      <w:r w:rsidRPr="00C1260D">
        <w:t>SUIVI DES FOURNISSEURS</w:t>
      </w:r>
      <w:bookmarkEnd w:id="42"/>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r w:rsidRPr="00C1260D">
        <w:rPr>
          <w:rFonts w:cs="Arial"/>
          <w:szCs w:val="22"/>
        </w:rPr>
        <w:t>oooOooo</w:t>
      </w:r>
    </w:p>
    <w:sectPr w:rsidR="00811CB3" w:rsidRPr="00C1260D" w:rsidSect="00FC27A3">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46A61" w14:textId="77777777" w:rsidR="00CB5080" w:rsidRDefault="00CB5080">
      <w:r>
        <w:separator/>
      </w:r>
    </w:p>
  </w:endnote>
  <w:endnote w:type="continuationSeparator" w:id="0">
    <w:p w14:paraId="0EC1530C" w14:textId="77777777" w:rsidR="00CB5080" w:rsidRDefault="00CB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Futura">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EF52" w14:textId="6A7485F4" w:rsidR="00CB5080" w:rsidRPr="00656E6D" w:rsidRDefault="00CB5080"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F81F32" w:rsidRPr="00F81F32">
      <w:rPr>
        <w:sz w:val="16"/>
        <w:szCs w:val="16"/>
      </w:rPr>
      <w:t>B24-05507-KD</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173E94">
      <w:rPr>
        <w:rStyle w:val="Numrodepage"/>
        <w:noProof/>
        <w:sz w:val="16"/>
        <w:szCs w:val="16"/>
      </w:rPr>
      <w:t>8</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173E94">
      <w:rPr>
        <w:rStyle w:val="Numrodepage"/>
        <w:noProof/>
        <w:sz w:val="16"/>
        <w:szCs w:val="16"/>
      </w:rPr>
      <w:t>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004AF" w14:textId="77777777" w:rsidR="00CB5080" w:rsidRDefault="00CB5080" w:rsidP="00CB5080">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2D094C1" w14:textId="77777777" w:rsidR="00CB5080" w:rsidRDefault="00CB5080" w:rsidP="008720F2">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16E7683D" w14:textId="77777777" w:rsidR="00CB5080" w:rsidRDefault="00CB5080" w:rsidP="008720F2">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4696A183" w14:textId="77777777" w:rsidR="00CB5080" w:rsidRDefault="00CB5080" w:rsidP="008720F2">
    <w:pPr>
      <w:spacing w:line="216" w:lineRule="auto"/>
      <w:ind w:left="19" w:right="6566"/>
    </w:pPr>
    <w:r>
      <w:rPr>
        <w:rFonts w:eastAsia="Arial" w:cs="Arial"/>
        <w:color w:val="767171"/>
        <w:sz w:val="12"/>
      </w:rPr>
      <w:t>T. +33 (0)4 38 78 34 49</w:t>
    </w:r>
    <w:r>
      <w:rPr>
        <w:rFonts w:ascii="Calibri" w:eastAsia="Calibri" w:hAnsi="Calibri" w:cs="Calibri"/>
        <w:color w:val="262626"/>
        <w:sz w:val="14"/>
      </w:rPr>
      <w:t xml:space="preserve"> </w:t>
    </w:r>
    <w:r>
      <w:rPr>
        <w:rFonts w:eastAsia="Arial" w:cs="Arial"/>
        <w:b/>
        <w:sz w:val="14"/>
        <w:u w:val="single" w:color="E50019"/>
      </w:rPr>
      <w:t>cecile.silva@cea.fr</w:t>
    </w:r>
    <w:r>
      <w:rPr>
        <w:rFonts w:ascii="Calibri" w:eastAsia="Calibri" w:hAnsi="Calibri" w:cs="Calibri"/>
        <w:b/>
      </w:rPr>
      <w:t xml:space="preserve"> </w:t>
    </w:r>
  </w:p>
  <w:p w14:paraId="1BBEF5A9" w14:textId="77777777" w:rsidR="00CB5080" w:rsidRDefault="00CB5080" w:rsidP="008720F2">
    <w:pPr>
      <w:spacing w:after="117"/>
      <w:ind w:left="19"/>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CB5080" w:rsidRDefault="00CB5080" w:rsidP="008720F2">
    <w:pPr>
      <w:pStyle w:val="Pieddepage"/>
    </w:pPr>
  </w:p>
  <w:p w14:paraId="2F4BF994" w14:textId="0C13CDAF" w:rsidR="00CB5080" w:rsidRPr="002843EB" w:rsidRDefault="00CB5080"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3912C" w14:textId="77777777" w:rsidR="00CB5080" w:rsidRDefault="00CB5080">
      <w:r>
        <w:separator/>
      </w:r>
    </w:p>
  </w:footnote>
  <w:footnote w:type="continuationSeparator" w:id="0">
    <w:p w14:paraId="02474D34" w14:textId="77777777" w:rsidR="00CB5080" w:rsidRDefault="00CB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D4A1B" w14:textId="7CAC12EF" w:rsidR="00CB5080" w:rsidRDefault="00CB5080">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BE018F"/>
    <w:multiLevelType w:val="hybridMultilevel"/>
    <w:tmpl w:val="CBC832E0"/>
    <w:lvl w:ilvl="0" w:tplc="60FE53A2">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4"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75B2FFE"/>
    <w:multiLevelType w:val="hybridMultilevel"/>
    <w:tmpl w:val="A37C6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16"/>
  </w:num>
  <w:num w:numId="4">
    <w:abstractNumId w:val="22"/>
  </w:num>
  <w:num w:numId="5">
    <w:abstractNumId w:val="25"/>
  </w:num>
  <w:num w:numId="6">
    <w:abstractNumId w:val="13"/>
  </w:num>
  <w:num w:numId="7">
    <w:abstractNumId w:val="6"/>
  </w:num>
  <w:num w:numId="8">
    <w:abstractNumId w:val="13"/>
  </w:num>
  <w:num w:numId="9">
    <w:abstractNumId w:val="29"/>
  </w:num>
  <w:num w:numId="10">
    <w:abstractNumId w:val="15"/>
  </w:num>
  <w:num w:numId="11">
    <w:abstractNumId w:val="0"/>
  </w:num>
  <w:num w:numId="12">
    <w:abstractNumId w:val="1"/>
  </w:num>
  <w:num w:numId="13">
    <w:abstractNumId w:val="11"/>
  </w:num>
  <w:num w:numId="14">
    <w:abstractNumId w:val="14"/>
  </w:num>
  <w:num w:numId="15">
    <w:abstractNumId w:val="20"/>
  </w:num>
  <w:num w:numId="16">
    <w:abstractNumId w:val="10"/>
  </w:num>
  <w:num w:numId="17">
    <w:abstractNumId w:val="30"/>
  </w:num>
  <w:num w:numId="18">
    <w:abstractNumId w:val="23"/>
  </w:num>
  <w:num w:numId="19">
    <w:abstractNumId w:val="31"/>
  </w:num>
  <w:num w:numId="20">
    <w:abstractNumId w:val="24"/>
  </w:num>
  <w:num w:numId="21">
    <w:abstractNumId w:val="1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4"/>
  </w:num>
  <w:num w:numId="25">
    <w:abstractNumId w:val="26"/>
  </w:num>
  <w:num w:numId="26">
    <w:abstractNumId w:val="2"/>
  </w:num>
  <w:num w:numId="27">
    <w:abstractNumId w:val="12"/>
  </w:num>
  <w:num w:numId="28">
    <w:abstractNumId w:val="27"/>
  </w:num>
  <w:num w:numId="29">
    <w:abstractNumId w:val="8"/>
  </w:num>
  <w:num w:numId="30">
    <w:abstractNumId w:val="5"/>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8"/>
  </w:num>
  <w:num w:numId="34">
    <w:abstractNumId w:val="20"/>
  </w:num>
  <w:num w:numId="35">
    <w:abstractNumId w:val="19"/>
  </w:num>
  <w:num w:numId="36">
    <w:abstractNumId w:val="30"/>
  </w:num>
  <w:num w:numId="37">
    <w:abstractNumId w:val="9"/>
  </w:num>
  <w:num w:numId="3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06B3"/>
    <w:rsid w:val="00001511"/>
    <w:rsid w:val="00004D75"/>
    <w:rsid w:val="00016635"/>
    <w:rsid w:val="00016E03"/>
    <w:rsid w:val="00017E61"/>
    <w:rsid w:val="00020A97"/>
    <w:rsid w:val="00021638"/>
    <w:rsid w:val="00021734"/>
    <w:rsid w:val="00022CAD"/>
    <w:rsid w:val="00043674"/>
    <w:rsid w:val="00046577"/>
    <w:rsid w:val="00046A98"/>
    <w:rsid w:val="00047936"/>
    <w:rsid w:val="000501EF"/>
    <w:rsid w:val="000506DC"/>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3E94"/>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3D6D"/>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4F746C"/>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04AB"/>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9521E"/>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3266"/>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07D8A"/>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2A5"/>
    <w:rsid w:val="00CB1DA8"/>
    <w:rsid w:val="00CB457C"/>
    <w:rsid w:val="00CB5080"/>
    <w:rsid w:val="00CC1A6C"/>
    <w:rsid w:val="00CC4771"/>
    <w:rsid w:val="00CC5C3B"/>
    <w:rsid w:val="00CD1CAB"/>
    <w:rsid w:val="00CE5254"/>
    <w:rsid w:val="00CE76AD"/>
    <w:rsid w:val="00CF16B0"/>
    <w:rsid w:val="00CF5A57"/>
    <w:rsid w:val="00CF7512"/>
    <w:rsid w:val="00D116E3"/>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3B26"/>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1F32"/>
    <w:rsid w:val="00F842AC"/>
    <w:rsid w:val="00F8579D"/>
    <w:rsid w:val="00F913DF"/>
    <w:rsid w:val="00F94082"/>
    <w:rsid w:val="00FA1932"/>
    <w:rsid w:val="00FA3D99"/>
    <w:rsid w:val="00FA54C6"/>
    <w:rsid w:val="00FB0D44"/>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540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europa.eu/tools/espd/filter?lang=fr" TargetMode="External"/><Relationship Id="rId4" Type="http://schemas.openxmlformats.org/officeDocument/2006/relationships/settings" Target="settings.xml"/><Relationship Id="rId9" Type="http://schemas.openxmlformats.org/officeDocument/2006/relationships/hyperlink" Target="http://www.economie.gouv.fr/daj/formulaires-marches-public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F8259-1D5B-41D0-B594-B8BA9CFC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2895</Words>
  <Characters>18120</Characters>
  <Application>Microsoft Office Word</Application>
  <DocSecurity>0</DocSecurity>
  <Lines>151</Lines>
  <Paragraphs>41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20974</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DI CARO Kevin RANDSTAD</cp:lastModifiedBy>
  <cp:revision>2</cp:revision>
  <cp:lastPrinted>2007-07-04T15:41:00Z</cp:lastPrinted>
  <dcterms:created xsi:type="dcterms:W3CDTF">2024-11-26T09:20:00Z</dcterms:created>
  <dcterms:modified xsi:type="dcterms:W3CDTF">2024-11-26T09:20:00Z</dcterms:modified>
</cp:coreProperties>
</file>