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4181A557" w:rsidR="007C00B5" w:rsidRPr="009037CC" w:rsidRDefault="00BC7DC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24A03</w:t>
      </w:r>
      <w:r w:rsidR="006D070A">
        <w:rPr>
          <w:rFonts w:ascii="Calibri" w:hAnsi="Calibri" w:cstheme="majorHAnsi"/>
          <w:b/>
          <w:bCs/>
          <w:sz w:val="22"/>
          <w:szCs w:val="22"/>
        </w:rPr>
        <w:t>16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01C5C109" w14:textId="77777777" w:rsidR="006D070A" w:rsidRPr="00762557" w:rsidRDefault="006D070A" w:rsidP="006D070A">
      <w:pPr>
        <w:pStyle w:val="RedTitre1"/>
        <w:keepNext/>
        <w:framePr w:hSpace="0" w:wrap="auto" w:vAnchor="margin" w:xAlign="left" w:yAlign="inline"/>
        <w:widowControl/>
        <w:shd w:val="clear" w:color="auto" w:fill="C5E0B3"/>
        <w:rPr>
          <w:rFonts w:ascii="Corbel" w:hAnsi="Corbel" w:cstheme="majorHAnsi"/>
          <w:sz w:val="20"/>
          <w:szCs w:val="20"/>
        </w:rPr>
      </w:pPr>
      <w:r>
        <w:rPr>
          <w:rFonts w:ascii="Corbel" w:hAnsi="Corbel" w:cs="Calibri Light"/>
        </w:rPr>
        <w:t>FOURNITURE DE PRODUITS EN TEXTURES MODIFIEES POUR LES ETABLISSEMENTS DU GHT EST HERAULT ET SUD AVEYRON</w:t>
      </w:r>
    </w:p>
    <w:p w14:paraId="12833C6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FB15E3D" w14:textId="291AE822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C0168A">
        <w:rPr>
          <w:rFonts w:ascii="Calibri" w:hAnsi="Calibri" w:cs="Calibri"/>
          <w:b/>
          <w:bCs/>
          <w:sz w:val="22"/>
          <w:szCs w:val="22"/>
        </w:rPr>
        <w:t>7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606BBE18" w:rsidR="007C00B5" w:rsidRPr="009037CC" w:rsidRDefault="00C0168A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PERFORMANCE ENVIRONNEMENTALE - CADRE DE REPONSE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77777777" w:rsidR="007C00B5" w:rsidRPr="009037CC" w:rsidRDefault="007C00B5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RENSEIGNEMENTS ADMINISTRATIFS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D8AFB80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DF47D2" w14:textId="77777777" w:rsidR="008270DF" w:rsidRPr="009037CC" w:rsidRDefault="008270DF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1A2482AA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AA110F" w14:textId="77777777" w:rsidR="003D701B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I – </w:t>
      </w:r>
      <w:r w:rsidR="003D701B">
        <w:rPr>
          <w:rFonts w:ascii="Calibri" w:hAnsi="Calibri"/>
          <w:b/>
          <w:bCs/>
          <w:sz w:val="22"/>
          <w:szCs w:val="22"/>
          <w:highlight w:val="cyan"/>
        </w:rPr>
        <w:t>CRITERE 2 VALEUR TECHNIQUE</w:t>
      </w:r>
    </w:p>
    <w:p w14:paraId="00C72FF2" w14:textId="795D5605" w:rsidR="00415020" w:rsidRDefault="00415020" w:rsidP="007C00B5">
      <w:pPr>
        <w:rPr>
          <w:rFonts w:ascii="Calibri" w:hAnsi="Calibri"/>
          <w:sz w:val="22"/>
          <w:szCs w:val="22"/>
        </w:rPr>
      </w:pPr>
    </w:p>
    <w:p w14:paraId="0CB9FB66" w14:textId="0F6ED710" w:rsidR="003D701B" w:rsidRPr="009037CC" w:rsidRDefault="003D701B" w:rsidP="007C00B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:</w:t>
      </w:r>
    </w:p>
    <w:p w14:paraId="7DD6F6C7" w14:textId="77777777" w:rsidR="00415020" w:rsidRPr="009037CC" w:rsidRDefault="00415020" w:rsidP="007C00B5">
      <w:pPr>
        <w:rPr>
          <w:rFonts w:ascii="Calibri" w:hAnsi="Calibri"/>
          <w:sz w:val="22"/>
          <w:szCs w:val="22"/>
        </w:rPr>
      </w:pPr>
    </w:p>
    <w:p w14:paraId="63818643" w14:textId="7B089253" w:rsidR="0059259E" w:rsidRPr="009037CC" w:rsidRDefault="0059259E" w:rsidP="00FE0AD9">
      <w:pPr>
        <w:rPr>
          <w:rFonts w:ascii="Calibri" w:hAnsi="Calibri"/>
          <w:b/>
          <w:sz w:val="22"/>
          <w:szCs w:val="22"/>
        </w:rPr>
      </w:pPr>
    </w:p>
    <w:p w14:paraId="0C823AD5" w14:textId="5A769D6C" w:rsidR="0059259E" w:rsidRPr="009037CC" w:rsidRDefault="00CB5A9C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A</w:t>
      </w:r>
      <w:r w:rsidR="0059259E"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 xml:space="preserve"> – ECHANTILLONS</w:t>
      </w:r>
    </w:p>
    <w:p w14:paraId="59865519" w14:textId="77777777" w:rsidR="0059259E" w:rsidRPr="009037CC" w:rsidRDefault="0059259E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03B666" w14:textId="66DC2460" w:rsidR="00191E39" w:rsidRPr="009037CC" w:rsidRDefault="0059259E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 nombre d’échantillons à livrer est fixé à l’annexe 1 </w:t>
      </w:r>
      <w:r w:rsidR="00191E39" w:rsidRPr="009037CC">
        <w:rPr>
          <w:rFonts w:ascii="Calibri" w:hAnsi="Calibri" w:cstheme="majorHAnsi"/>
          <w:bCs/>
          <w:sz w:val="22"/>
          <w:szCs w:val="22"/>
        </w:rPr>
        <w:t>du</w:t>
      </w:r>
      <w:r w:rsidRPr="009037CC">
        <w:rPr>
          <w:rFonts w:ascii="Calibri" w:hAnsi="Calibri" w:cstheme="majorHAnsi"/>
          <w:bCs/>
          <w:sz w:val="22"/>
          <w:szCs w:val="22"/>
        </w:rPr>
        <w:t xml:space="preserve"> règlement de consultation</w:t>
      </w:r>
      <w:r w:rsidR="00C14FF9" w:rsidRPr="009037CC">
        <w:rPr>
          <w:rFonts w:ascii="Calibri" w:hAnsi="Calibri" w:cstheme="majorHAnsi"/>
          <w:bCs/>
          <w:sz w:val="22"/>
          <w:szCs w:val="22"/>
        </w:rPr>
        <w:t xml:space="preserve"> (RC)</w:t>
      </w:r>
      <w:r w:rsidR="00191E39" w:rsidRPr="009037CC">
        <w:rPr>
          <w:rFonts w:ascii="Calibri" w:hAnsi="Calibri" w:cstheme="majorHAnsi"/>
          <w:bCs/>
          <w:sz w:val="22"/>
          <w:szCs w:val="22"/>
        </w:rPr>
        <w:t>.</w:t>
      </w:r>
    </w:p>
    <w:p w14:paraId="2E6FAEF7" w14:textId="77777777" w:rsidR="009037CC" w:rsidRPr="009037CC" w:rsidRDefault="009037CC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</w:p>
    <w:p w14:paraId="2D58F643" w14:textId="791B7BF7" w:rsidR="0059259E" w:rsidRPr="009037CC" w:rsidRDefault="00191E39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>Les modalités d’envoi des échantillons sont détaillées à l’article 5.1 du RC</w:t>
      </w:r>
      <w:r w:rsidR="00C14FF9" w:rsidRPr="009037CC">
        <w:rPr>
          <w:rFonts w:ascii="Calibri" w:hAnsi="Calibri" w:cstheme="majorHAnsi"/>
          <w:bCs/>
          <w:sz w:val="22"/>
          <w:szCs w:val="22"/>
        </w:rPr>
        <w:t>.</w:t>
      </w:r>
      <w:r w:rsidR="0059259E" w:rsidRPr="009037CC">
        <w:rPr>
          <w:rFonts w:ascii="Calibri" w:hAnsi="Calibri" w:cstheme="majorHAnsi"/>
          <w:bCs/>
          <w:sz w:val="22"/>
          <w:szCs w:val="22"/>
        </w:rPr>
        <w:t xml:space="preserve"> </w:t>
      </w:r>
    </w:p>
    <w:p w14:paraId="12E28021" w14:textId="2A3D2D52" w:rsidR="0059259E" w:rsidRDefault="0059259E" w:rsidP="00FE0AD9">
      <w:pPr>
        <w:rPr>
          <w:rFonts w:ascii="Calibri" w:hAnsi="Calibri"/>
          <w:sz w:val="22"/>
          <w:szCs w:val="22"/>
        </w:rPr>
      </w:pPr>
    </w:p>
    <w:p w14:paraId="08007896" w14:textId="151EC526" w:rsidR="003D701B" w:rsidRDefault="003D701B" w:rsidP="00FE0AD9">
      <w:pPr>
        <w:rPr>
          <w:rFonts w:ascii="Calibri" w:hAnsi="Calibri"/>
          <w:sz w:val="22"/>
          <w:szCs w:val="22"/>
        </w:rPr>
      </w:pPr>
    </w:p>
    <w:p w14:paraId="587DEE30" w14:textId="0CF20FC9" w:rsidR="003D701B" w:rsidRDefault="003D701B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3D701B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B- FICHES TECHNIQUE</w:t>
      </w:r>
      <w:r w:rsidR="00D92A04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S</w:t>
      </w:r>
    </w:p>
    <w:p w14:paraId="3D5442E0" w14:textId="64964F55" w:rsid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</w:p>
    <w:p w14:paraId="756E666A" w14:textId="275BD7FC" w:rsid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</w:p>
    <w:p w14:paraId="0979B28C" w14:textId="45A6EB7A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A93910">
        <w:rPr>
          <w:rFonts w:ascii="Calibri" w:hAnsi="Calibri" w:cs="Calibri"/>
          <w:b/>
          <w:bCs/>
          <w:color w:val="FF0000"/>
          <w:sz w:val="22"/>
          <w:szCs w:val="22"/>
        </w:rPr>
        <w:t>Les fiches techniques sont exigées pour l’ensemble des références inscrites aux bordereaux de prix</w:t>
      </w:r>
    </w:p>
    <w:p w14:paraId="2FA48582" w14:textId="2AB87C96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  <w:sectPr w:rsidR="00A93910" w:rsidRPr="00A93910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  <w:r w:rsidRPr="00A93910">
        <w:rPr>
          <w:rFonts w:ascii="Calibri" w:hAnsi="Calibri" w:cs="Calibri"/>
          <w:b/>
          <w:bCs/>
          <w:color w:val="FF0000"/>
          <w:sz w:val="22"/>
          <w:szCs w:val="22"/>
        </w:rPr>
        <w:t>L’absence de fiches techniques rendra l’offre du candidat irrégulière</w:t>
      </w:r>
    </w:p>
    <w:p w14:paraId="23CDC85A" w14:textId="53B731BF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4A7364" w:rsidRPr="009037CC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0CF80C7A" w14:textId="10EC456A" w:rsidR="00C729C5" w:rsidRDefault="004A7364" w:rsidP="009037CC">
      <w:pPr>
        <w:jc w:val="center"/>
        <w:rPr>
          <w:rFonts w:ascii="Calibri" w:hAnsi="Calibri"/>
          <w:i/>
          <w:sz w:val="22"/>
          <w:szCs w:val="22"/>
        </w:rPr>
      </w:pPr>
      <w:r w:rsidRPr="009037CC">
        <w:rPr>
          <w:rFonts w:ascii="Calibri" w:hAnsi="Calibri"/>
          <w:i/>
          <w:sz w:val="22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p w14:paraId="4A664108" w14:textId="77777777" w:rsidR="009037CC" w:rsidRPr="009037CC" w:rsidRDefault="009037CC" w:rsidP="005C3B9A">
      <w:pPr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7700E0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6186EBD" w14:textId="32DAAAFD" w:rsidR="007700E0" w:rsidRPr="007700E0" w:rsidRDefault="007700E0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Méthode de notation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Sauf mentions différentes indiquées plus bas(*) Chaque item  sera noté comme suit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insuffisant ou absence de réponse ou absence de justifications quand demandées  = 0/1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acceptable ou partielle = 0,5/1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très satisfaisante =1/1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la note attribuée sera la somme des notes obtenues par items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En cas de non remise du cadre de réponse  la note de 0 sera appliquée au critère</w:t>
            </w:r>
          </w:p>
        </w:tc>
      </w:tr>
      <w:tr w:rsidR="007700E0" w:rsidRPr="007700E0" w14:paraId="64521EBF" w14:textId="77777777" w:rsidTr="007700E0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C4BC571" w14:textId="77777777" w:rsidR="005C3B9A" w:rsidRPr="009037CC" w:rsidRDefault="005C3B9A" w:rsidP="005C3B9A">
      <w:pPr>
        <w:rPr>
          <w:rFonts w:ascii="Calibri" w:hAnsi="Calibri"/>
          <w:sz w:val="22"/>
          <w:szCs w:val="22"/>
        </w:rPr>
      </w:pPr>
    </w:p>
    <w:tbl>
      <w:tblPr>
        <w:tblW w:w="538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33"/>
        <w:gridCol w:w="1661"/>
        <w:gridCol w:w="2829"/>
        <w:gridCol w:w="1296"/>
      </w:tblGrid>
      <w:tr w:rsidR="00D1054A" w:rsidRPr="009037CC" w14:paraId="6474E227" w14:textId="7EBEA54B" w:rsidTr="00986537">
        <w:trPr>
          <w:trHeight w:val="30"/>
          <w:jc w:val="center"/>
        </w:trPr>
        <w:tc>
          <w:tcPr>
            <w:tcW w:w="3008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7E6E6"/>
            <w:noWrap/>
            <w:vAlign w:val="center"/>
            <w:hideMark/>
          </w:tcPr>
          <w:p w14:paraId="6EC1D8D4" w14:textId="77777777" w:rsidR="002148A8" w:rsidRPr="009037CC" w:rsidRDefault="002148A8" w:rsidP="004A73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TRANSPORT/ LIVRAISON DES FOURNITURES DANS LE CADRE DU MARCHE </w:t>
            </w:r>
          </w:p>
        </w:tc>
        <w:tc>
          <w:tcPr>
            <w:tcW w:w="136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noWrap/>
            <w:vAlign w:val="center"/>
            <w:hideMark/>
          </w:tcPr>
          <w:p w14:paraId="1DA82039" w14:textId="33545489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Eléments de preuve attendus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72D82920" w14:textId="38B5962D" w:rsidR="002148A8" w:rsidRPr="009037CC" w:rsidRDefault="002148A8" w:rsidP="002148A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Note attribuée</w:t>
            </w:r>
          </w:p>
        </w:tc>
      </w:tr>
      <w:tr w:rsidR="00D1054A" w:rsidRPr="009037CC" w14:paraId="45868918" w14:textId="69AEACA1" w:rsidTr="00B236D0">
        <w:trPr>
          <w:trHeight w:val="9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3F3D" w14:textId="29B5B5DE" w:rsidR="00C20F57" w:rsidRPr="009037CC" w:rsidRDefault="00C20F57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1B962718" w14:textId="77777777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• Mode de transport principal entre le lieu de fabrication du produit et le lieu d'expédition </w:t>
            </w:r>
            <w:bookmarkStart w:id="0" w:name="_GoBack"/>
            <w:bookmarkEnd w:id="0"/>
          </w:p>
          <w:p w14:paraId="448920E2" w14:textId="6956FE72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14691E" w14:textId="77777777" w:rsidR="00D1054A" w:rsidRDefault="00C20F57" w:rsidP="00C20F57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C63D3E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Précisez le mode de </w:t>
            </w:r>
            <w:r w:rsidR="0072601D" w:rsidRPr="00C63D3E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transport </w:t>
            </w:r>
            <w:r w:rsidR="00D1054A">
              <w:rPr>
                <w:rFonts w:ascii="Calibri" w:hAnsi="Calibri" w:cs="Calibri"/>
                <w:color w:val="FF0000"/>
                <w:sz w:val="22"/>
                <w:szCs w:val="22"/>
              </w:rPr>
              <w:t>utilisé</w:t>
            </w:r>
          </w:p>
          <w:p w14:paraId="17CE28CC" w14:textId="4A7C2E98" w:rsidR="00D1054A" w:rsidRDefault="00D1054A" w:rsidP="00C20F57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pour l’ensemble</w:t>
            </w:r>
          </w:p>
          <w:p w14:paraId="752A6E96" w14:textId="42001263" w:rsidR="00C20F57" w:rsidRPr="00C63D3E" w:rsidRDefault="00D1054A" w:rsidP="00C20F57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des produits objet du marché </w:t>
            </w:r>
            <w:r w:rsidR="0072601D" w:rsidRPr="00C63D3E">
              <w:rPr>
                <w:rFonts w:ascii="Calibri" w:hAnsi="Calibri" w:cs="Calibri"/>
                <w:color w:val="FF0000"/>
                <w:sz w:val="22"/>
                <w:szCs w:val="22"/>
              </w:rPr>
              <w:t>:</w:t>
            </w:r>
          </w:p>
          <w:p w14:paraId="5BBF5D09" w14:textId="2B5D466E" w:rsidR="002148A8" w:rsidRPr="00C63D3E" w:rsidRDefault="002148A8" w:rsidP="009E4DE7">
            <w:pPr>
              <w:rPr>
                <w:rFonts w:ascii="Calibri" w:hAnsi="Calibri" w:cs="Calibri"/>
                <w:color w:val="FF0000"/>
                <w:szCs w:val="22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16D" w14:textId="7C59841D" w:rsidR="002148A8" w:rsidRPr="007700E0" w:rsidRDefault="007700E0" w:rsidP="007700E0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700E0">
              <w:rPr>
                <w:rFonts w:ascii="Calibri" w:hAnsi="Calibri" w:cs="Calibri"/>
                <w:color w:val="000000"/>
                <w:szCs w:val="22"/>
              </w:rPr>
              <w:t>Descriptif  du mode de transport route/ air/ fer/ mer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 xml:space="preserve">si route = camions, voitures, vélo ? 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>et descriptif  des véhicules du candidat ou du prestataire de transport : nombre, catégorie,crit'air etc.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8E01" w14:textId="2F0C445D" w:rsidR="002148A8" w:rsidRPr="009037CC" w:rsidRDefault="002148A8" w:rsidP="00C20F57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C20F57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D1054A" w:rsidRPr="009037CC" w14:paraId="0240ADC2" w14:textId="3B519D52" w:rsidTr="007D2D9D">
        <w:trPr>
          <w:trHeight w:val="15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DA6" w14:textId="77777777" w:rsidR="00591CB6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Avez-vous défini une politique pour optimiser la conduite et réduire les distances parcourues</w:t>
            </w:r>
            <w:r w:rsidR="00591CB6">
              <w:rPr>
                <w:rFonts w:ascii="Calibri" w:hAnsi="Calibri" w:cs="Calibri"/>
                <w:b/>
                <w:bCs/>
                <w:sz w:val="22"/>
                <w:szCs w:val="22"/>
              </w:rPr>
              <w:t> ?</w:t>
            </w:r>
          </w:p>
          <w:p w14:paraId="0FB367F5" w14:textId="1A445C6D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Menez-vous des démarches pour réduire les émissions de CO2 dans les transports des fournitures objets du marché  ?</w:t>
            </w:r>
          </w:p>
          <w:p w14:paraId="5546468B" w14:textId="26356778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D20C3" w14:textId="3759EC29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21EA8783" wp14:editId="2896AC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11" name="Image 11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3D5D6516" wp14:editId="0243D373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0" name="Image 10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AE794A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(véhicules électriques, agents formés à l'éco conduite …)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8499" w14:textId="77777777" w:rsidR="0007535C" w:rsidRDefault="0007535C" w:rsidP="000753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Descriptif du candidat ou du prestataire de transport (éco-conduite, choix d’un type de transport, véhicules « propres » optimisation des tournées de livraison (taux de remplissage des véhicules, réduction des trajets à vide, horaires de livraison évitant les congestions, etc.).…),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présentation  de l'outil  de gestion ou en l'absence d'outil  de la manière d'optimiser </w:t>
            </w:r>
          </w:p>
          <w:p w14:paraId="6E6FB1F2" w14:textId="35C8A59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2E6D" w14:textId="784A79F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D1054A" w:rsidRPr="009037CC" w14:paraId="2DADB118" w14:textId="25BAEB0F" w:rsidTr="007D2D9D">
        <w:trPr>
          <w:trHeight w:val="142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595B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Conditionnement de transport (palettes ou autre) : matériaux recyclés ou labellisés FSC ou PEFC (ou équivalent)?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2AF2B7" w14:textId="0C68BEF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3096184" wp14:editId="136B09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7" name="Image 7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29EEF14D" wp14:editId="71CE42A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6" name="Image 6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AE3D96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5492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Déclaration du fabricant des conditionnements ou d’un organisme indépendant, établie au nom du candidat et précisant le type de conditionnement concerné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61AA" w14:textId="7543AB5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D1054A" w:rsidRPr="009037CC" w14:paraId="24274D11" w14:textId="1E27679D" w:rsidTr="007D2D9D">
        <w:trPr>
          <w:trHeight w:val="204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A7F4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 xml:space="preserve">Conditionnement de transport (palettes ou autre) :  matériaux recyclables? </w:t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  <w:t>Si non, devenir 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8B2B5D" w14:textId="3D56B09A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4EABE379" wp14:editId="6080840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38150" cy="209550"/>
                  <wp:effectExtent l="0" t="0" r="0" b="0"/>
                  <wp:wrapNone/>
                  <wp:docPr id="4" name="Image 4" descr="C:\Users\01602097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01602097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33428441" wp14:editId="647E7C0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3" name="Image 3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0B3BAB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165" w14:textId="24F2EE36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 xml:space="preserve">Déclaration du fabricant des conditionnements ou d’un organisme indépendant, établie au nom du candidat et précisant le type de conditionnement concerné 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fillière de récyclage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5FE" w14:textId="412DFBA9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D1054A" w:rsidRPr="009037CC" w14:paraId="30882D8E" w14:textId="7758C7CF" w:rsidTr="007D2D9D">
        <w:trPr>
          <w:trHeight w:val="1927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3EE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Avez-vous défini une politique de réduction / d'amélioration des conditionnements de transports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48145" w14:textId="51AF0250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19D88FA7" wp14:editId="10380F4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2" name="Image 2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0BAB92" wp14:editId="343AE95D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" name="Image 1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6FE332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D8AB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Certificat ou descriptif du candidat ou du prestataire de transport (allègement du poids, du volume, écoconception de l'emballage pour faciliter le recyclage, utilisation d’un matériau unique…)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7AD" w14:textId="062265F3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14:paraId="135E7348" w14:textId="37DFFD92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270F9DBC" w14:textId="6287157B" w:rsidR="006558E3" w:rsidRDefault="006558E3" w:rsidP="00FE0AD9">
      <w:pPr>
        <w:rPr>
          <w:rFonts w:ascii="Calibri" w:hAnsi="Calibri"/>
          <w:sz w:val="22"/>
          <w:szCs w:val="22"/>
        </w:rPr>
      </w:pPr>
    </w:p>
    <w:p w14:paraId="734FF80E" w14:textId="5DEC3243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5113E0" w14:textId="4674428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52A14AE" w14:textId="6A6841E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CB5544C" w14:textId="136FBA7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51D67A" w14:textId="1E9DDF5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98DB7FE" w14:textId="3CD8454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E6322B" w14:textId="4D1F8E1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9BB6FE" w14:textId="46C7FA8D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E3C99F" w14:textId="3DBA766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55E5778" w14:textId="7F4E5F0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A141FF" w14:textId="516DD08B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E6368A" w14:textId="26C7485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62FF7EB" w14:textId="3946CDE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C572250" w14:textId="65CC44C1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297E1A4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C2ADD8" w14:textId="78941D12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2C2111" w14:textId="68FD67C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C8459D9" w14:textId="5C77B80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7DB57A7" w14:textId="34BE989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EF049CC" w14:textId="334BDD6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792DB5" w14:textId="43DB2D3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A62036D" w14:textId="2D2A423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3C0F9A" w14:textId="202F60F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4A6906F" w14:textId="14FFC37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2FAC7EF" w14:textId="59D4E08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6B6B0E6" w14:textId="39AD4C2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8507EBD" w14:textId="531B066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D287C5" w14:textId="7DAF7A4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F34E09" w14:textId="4405918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4ABBA5C" w14:textId="6B19339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DDDFDB" w14:textId="77777777" w:rsidR="00986537" w:rsidRPr="009037CC" w:rsidRDefault="00986537" w:rsidP="00FE0AD9">
      <w:pPr>
        <w:rPr>
          <w:rFonts w:ascii="Calibri" w:hAnsi="Calibri"/>
          <w:sz w:val="22"/>
          <w:szCs w:val="22"/>
        </w:rPr>
      </w:pPr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7777777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Pr="009037CC">
        <w:rPr>
          <w:rFonts w:ascii="Calibri" w:hAnsi="Calibri"/>
          <w:b/>
          <w:sz w:val="22"/>
          <w:szCs w:val="22"/>
          <w:u w:val="single"/>
        </w:rPr>
        <w:t>ORGANISATION DES APPROVISIONNEMENTS</w:t>
      </w:r>
    </w:p>
    <w:p w14:paraId="64061A8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326FF27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Quel mode de passation des commandes est disponible dans votre entreprise :</w:t>
      </w:r>
    </w:p>
    <w:p w14:paraId="3A176BC9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</w:p>
    <w:p w14:paraId="2F8ED829" w14:textId="03C4FD96" w:rsidR="006558E3" w:rsidRPr="009037CC" w:rsidRDefault="006558E3" w:rsidP="006558E3">
      <w:pPr>
        <w:pStyle w:val="Standard"/>
        <w:jc w:val="center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téléphone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</w:t>
      </w:r>
      <w:r w:rsidR="00C63D3E">
        <w:rPr>
          <w:rFonts w:ascii="Calibri" w:eastAsia="Webdings" w:hAnsi="Calibri" w:cstheme="majorHAnsi"/>
          <w:sz w:val="22"/>
          <w:szCs w:val="22"/>
        </w:rPr>
        <w:t>Télecopie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="00C63D3E">
        <w:rPr>
          <w:rFonts w:ascii="Calibri" w:eastAsia="Webdings" w:hAnsi="Calibri" w:cstheme="majorHAnsi"/>
          <w:sz w:val="22"/>
          <w:szCs w:val="22"/>
        </w:rPr>
        <w:t xml:space="preserve"> courriel  - internet</w:t>
      </w:r>
    </w:p>
    <w:p w14:paraId="16076414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34971C2C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42093B6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Existe-t-il des plages horaires dédiées à la passation des commandes :</w:t>
      </w:r>
    </w:p>
    <w:p w14:paraId="10CF6AC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0040674E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oui 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  <w:t xml:space="preserve"> </w:t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ab/>
        <w:t>non</w:t>
      </w:r>
    </w:p>
    <w:p w14:paraId="41C7DD5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B837A26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>Merci de préciser :</w:t>
      </w:r>
    </w:p>
    <w:p w14:paraId="6DF1CB5C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013742B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355C7741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757C62A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D5A1306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4E29D2E3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358C1DB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B5DBC3E" w14:textId="202E88F1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F5001A" w:rsidRPr="009037CC">
        <w:rPr>
          <w:rFonts w:ascii="Calibri" w:hAnsi="Calibri"/>
          <w:b/>
          <w:sz w:val="22"/>
          <w:szCs w:val="22"/>
          <w:u w:val="single"/>
        </w:rPr>
        <w:t>DELAI D’</w:t>
      </w:r>
      <w:r w:rsidRPr="009037CC">
        <w:rPr>
          <w:rFonts w:ascii="Calibri" w:hAnsi="Calibri"/>
          <w:b/>
          <w:sz w:val="22"/>
          <w:szCs w:val="22"/>
          <w:u w:val="single"/>
        </w:rPr>
        <w:t>APPROVISIONNEMENTS</w:t>
      </w:r>
    </w:p>
    <w:p w14:paraId="360B7589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0A8C88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 xml:space="preserve">Passation des commandes pour une livraison : </w:t>
      </w:r>
    </w:p>
    <w:p w14:paraId="1621F95A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067B38F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156041D4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8CA236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6DBDFC63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C88627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07365CD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4B94E712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A716925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>Dépannage exceptionnel :</w:t>
      </w:r>
    </w:p>
    <w:p w14:paraId="5BDB6E7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0C2A4DD0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A </w:t>
      </w:r>
    </w:p>
    <w:p w14:paraId="4DF7D1F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73EF3C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051B0D96" w14:textId="77777777" w:rsidR="006558E3" w:rsidRPr="009037CC" w:rsidRDefault="006558E3" w:rsidP="006558E3">
      <w:pPr>
        <w:jc w:val="both"/>
        <w:rPr>
          <w:rFonts w:ascii="Calibri" w:hAnsi="Calibri" w:cs="Arial"/>
          <w:sz w:val="22"/>
          <w:szCs w:val="22"/>
        </w:rPr>
      </w:pPr>
    </w:p>
    <w:p w14:paraId="79E4E35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5CF38FF9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6C363473" w14:textId="27122569" w:rsidR="006558E3" w:rsidRPr="009037CC" w:rsidRDefault="006558E3" w:rsidP="002148A8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7687193C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9E1D282" w14:textId="1EA3CBB6" w:rsidR="00AE4FEB" w:rsidRPr="009037CC" w:rsidRDefault="00AE4FEB" w:rsidP="002B29F6">
      <w:pPr>
        <w:rPr>
          <w:rFonts w:ascii="Calibri" w:hAnsi="Calibri"/>
          <w:sz w:val="22"/>
          <w:szCs w:val="22"/>
        </w:rPr>
      </w:pP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6AA14B4B" w14:textId="77777777" w:rsidR="00541A60" w:rsidRPr="009037CC" w:rsidRDefault="00541A60" w:rsidP="002B29F6">
      <w:pPr>
        <w:rPr>
          <w:rFonts w:ascii="Calibri" w:hAnsi="Calibri"/>
          <w:sz w:val="22"/>
          <w:szCs w:val="22"/>
        </w:rPr>
      </w:pPr>
    </w:p>
    <w:p w14:paraId="6C15E19E" w14:textId="564D5CC3" w:rsidR="00CB5A9C" w:rsidRPr="009037CC" w:rsidRDefault="00B74595" w:rsidP="00CB5A9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 w:rsidR="00CB5A9C" w:rsidRPr="009037CC">
        <w:rPr>
          <w:rFonts w:ascii="Calibri" w:hAnsi="Calibri"/>
          <w:b/>
          <w:sz w:val="22"/>
          <w:szCs w:val="22"/>
        </w:rPr>
        <w:t xml:space="preserve"> –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 xml:space="preserve">ORGANISATION </w:t>
      </w:r>
      <w:r w:rsidR="009037CC" w:rsidRPr="009037CC">
        <w:rPr>
          <w:rFonts w:ascii="Calibri" w:hAnsi="Calibri"/>
          <w:b/>
          <w:sz w:val="22"/>
          <w:szCs w:val="22"/>
          <w:u w:val="single"/>
        </w:rPr>
        <w:t xml:space="preserve">ET MODALITES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>DES LIVRAISONS</w:t>
      </w:r>
    </w:p>
    <w:p w14:paraId="4BAAA201" w14:textId="70273C96" w:rsidR="00CB5A9C" w:rsidRPr="009037CC" w:rsidRDefault="00CB5A9C" w:rsidP="002B29F6">
      <w:pPr>
        <w:rPr>
          <w:rFonts w:ascii="Calibri" w:hAnsi="Calibri"/>
          <w:sz w:val="22"/>
          <w:szCs w:val="22"/>
        </w:rPr>
      </w:pPr>
    </w:p>
    <w:p w14:paraId="2C4C3AA2" w14:textId="17E44765" w:rsidR="00CB5A9C" w:rsidRPr="009037CC" w:rsidRDefault="009E4DE7" w:rsidP="002B29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CANDIDAT DECRI</w:t>
      </w:r>
      <w:r w:rsidR="00CB5A9C" w:rsidRPr="009037CC">
        <w:rPr>
          <w:rFonts w:ascii="Calibri" w:hAnsi="Calibri"/>
          <w:sz w:val="22"/>
          <w:szCs w:val="22"/>
        </w:rPr>
        <w:t xml:space="preserve">RA SON ORGANISATION </w:t>
      </w:r>
      <w:r w:rsidR="009037CC" w:rsidRPr="009037CC">
        <w:rPr>
          <w:rFonts w:ascii="Calibri" w:hAnsi="Calibri"/>
          <w:sz w:val="22"/>
          <w:szCs w:val="22"/>
        </w:rPr>
        <w:t xml:space="preserve">TYPE </w:t>
      </w:r>
      <w:r w:rsidR="00CB5A9C" w:rsidRPr="009037CC">
        <w:rPr>
          <w:rFonts w:ascii="Calibri" w:hAnsi="Calibri"/>
          <w:sz w:val="22"/>
          <w:szCs w:val="22"/>
        </w:rPr>
        <w:t>DE LIVRAISON (JOUR, HEURES, TRANSPORT)</w:t>
      </w:r>
    </w:p>
    <w:p w14:paraId="1729119E" w14:textId="46F816B2" w:rsidR="009037CC" w:rsidRDefault="009037CC" w:rsidP="002B29F6">
      <w:pPr>
        <w:rPr>
          <w:rFonts w:ascii="Calibri" w:hAnsi="Calibri"/>
          <w:sz w:val="22"/>
          <w:szCs w:val="22"/>
        </w:rPr>
      </w:pPr>
    </w:p>
    <w:p w14:paraId="54C80856" w14:textId="77777777" w:rsidR="00293FC6" w:rsidRPr="009037CC" w:rsidRDefault="00293FC6" w:rsidP="002B29F6">
      <w:pPr>
        <w:rPr>
          <w:rFonts w:ascii="Calibri" w:hAnsi="Calibri"/>
          <w:sz w:val="22"/>
          <w:szCs w:val="22"/>
        </w:rPr>
      </w:pPr>
    </w:p>
    <w:p w14:paraId="636AC219" w14:textId="77777777" w:rsidR="009037CC" w:rsidRP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FD261AE" w14:textId="0D454AF7" w:rsidR="002D7947" w:rsidRDefault="002D7947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037CC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0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B5"/>
    <w:rsid w:val="00016C24"/>
    <w:rsid w:val="00061DB0"/>
    <w:rsid w:val="00066FDE"/>
    <w:rsid w:val="0007535C"/>
    <w:rsid w:val="000A46D0"/>
    <w:rsid w:val="00112B70"/>
    <w:rsid w:val="00117090"/>
    <w:rsid w:val="00191E39"/>
    <w:rsid w:val="001B04C9"/>
    <w:rsid w:val="001E5E90"/>
    <w:rsid w:val="00203FAD"/>
    <w:rsid w:val="002148A8"/>
    <w:rsid w:val="00240D11"/>
    <w:rsid w:val="002548B5"/>
    <w:rsid w:val="002703B0"/>
    <w:rsid w:val="00272E53"/>
    <w:rsid w:val="002749E5"/>
    <w:rsid w:val="00293FC6"/>
    <w:rsid w:val="002B29F6"/>
    <w:rsid w:val="002C45CE"/>
    <w:rsid w:val="002D7947"/>
    <w:rsid w:val="002E042A"/>
    <w:rsid w:val="002F3D55"/>
    <w:rsid w:val="002F6B5A"/>
    <w:rsid w:val="00305479"/>
    <w:rsid w:val="00393453"/>
    <w:rsid w:val="003D701B"/>
    <w:rsid w:val="003F5AE2"/>
    <w:rsid w:val="00415020"/>
    <w:rsid w:val="004304A5"/>
    <w:rsid w:val="00454030"/>
    <w:rsid w:val="004762F0"/>
    <w:rsid w:val="00487D56"/>
    <w:rsid w:val="004A7364"/>
    <w:rsid w:val="004E636C"/>
    <w:rsid w:val="004F53E5"/>
    <w:rsid w:val="00541A60"/>
    <w:rsid w:val="00547523"/>
    <w:rsid w:val="00573A5A"/>
    <w:rsid w:val="00591CB6"/>
    <w:rsid w:val="0059259E"/>
    <w:rsid w:val="005C3B9A"/>
    <w:rsid w:val="00622AF2"/>
    <w:rsid w:val="0063677A"/>
    <w:rsid w:val="006558E3"/>
    <w:rsid w:val="006D070A"/>
    <w:rsid w:val="006D23E1"/>
    <w:rsid w:val="0072601D"/>
    <w:rsid w:val="0074727A"/>
    <w:rsid w:val="007700E0"/>
    <w:rsid w:val="00797D04"/>
    <w:rsid w:val="007B41B4"/>
    <w:rsid w:val="007C00B5"/>
    <w:rsid w:val="007C17EE"/>
    <w:rsid w:val="007D2D9D"/>
    <w:rsid w:val="007E170E"/>
    <w:rsid w:val="007F4886"/>
    <w:rsid w:val="008270DF"/>
    <w:rsid w:val="00837510"/>
    <w:rsid w:val="00892F85"/>
    <w:rsid w:val="008B26B4"/>
    <w:rsid w:val="008D3849"/>
    <w:rsid w:val="008D5D89"/>
    <w:rsid w:val="008F7DF5"/>
    <w:rsid w:val="009037CC"/>
    <w:rsid w:val="00924A77"/>
    <w:rsid w:val="009309BD"/>
    <w:rsid w:val="009366D4"/>
    <w:rsid w:val="00943CC7"/>
    <w:rsid w:val="0097762B"/>
    <w:rsid w:val="00986537"/>
    <w:rsid w:val="009A5730"/>
    <w:rsid w:val="009E4DE7"/>
    <w:rsid w:val="009F1FD8"/>
    <w:rsid w:val="00A01364"/>
    <w:rsid w:val="00A26AE0"/>
    <w:rsid w:val="00A37F06"/>
    <w:rsid w:val="00A55D3A"/>
    <w:rsid w:val="00A668A6"/>
    <w:rsid w:val="00A93910"/>
    <w:rsid w:val="00AD21EE"/>
    <w:rsid w:val="00AE03A1"/>
    <w:rsid w:val="00AE4FEB"/>
    <w:rsid w:val="00B236D0"/>
    <w:rsid w:val="00B342D0"/>
    <w:rsid w:val="00B55B84"/>
    <w:rsid w:val="00B74595"/>
    <w:rsid w:val="00B761CA"/>
    <w:rsid w:val="00B821D5"/>
    <w:rsid w:val="00B845A4"/>
    <w:rsid w:val="00BC7DC5"/>
    <w:rsid w:val="00C0168A"/>
    <w:rsid w:val="00C14FF9"/>
    <w:rsid w:val="00C20F57"/>
    <w:rsid w:val="00C3669C"/>
    <w:rsid w:val="00C60C3C"/>
    <w:rsid w:val="00C63D3E"/>
    <w:rsid w:val="00C729C5"/>
    <w:rsid w:val="00C73F9F"/>
    <w:rsid w:val="00CB5A9C"/>
    <w:rsid w:val="00CF7CE6"/>
    <w:rsid w:val="00D01675"/>
    <w:rsid w:val="00D1054A"/>
    <w:rsid w:val="00D32ADE"/>
    <w:rsid w:val="00D427B2"/>
    <w:rsid w:val="00D76A9F"/>
    <w:rsid w:val="00D871E9"/>
    <w:rsid w:val="00D92A04"/>
    <w:rsid w:val="00DB7168"/>
    <w:rsid w:val="00DF659C"/>
    <w:rsid w:val="00EE2316"/>
    <w:rsid w:val="00F5001A"/>
    <w:rsid w:val="00F870DF"/>
    <w:rsid w:val="00F87F0C"/>
    <w:rsid w:val="00F9501E"/>
    <w:rsid w:val="00FB599F"/>
    <w:rsid w:val="00FE0AD9"/>
    <w:rsid w:val="00FE4DB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B081-440F-4E02-B84E-1A020E84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CLAPAREDE METILDE</cp:lastModifiedBy>
  <cp:revision>12</cp:revision>
  <dcterms:created xsi:type="dcterms:W3CDTF">2025-01-27T08:24:00Z</dcterms:created>
  <dcterms:modified xsi:type="dcterms:W3CDTF">2025-03-28T12:43:00Z</dcterms:modified>
</cp:coreProperties>
</file>