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1 rue Berbier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6D701D"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w:t>
      </w:r>
      <w:r w:rsidR="006D701D">
        <w:rPr>
          <w:b/>
          <w:sz w:val="18"/>
          <w:szCs w:val="18"/>
        </w:rPr>
        <w:t>3</w:t>
      </w:r>
      <w:r w:rsidR="00F44098" w:rsidRPr="00F44098">
        <w:t xml:space="preserve"> </w:t>
      </w:r>
      <w:r w:rsidR="00F44098" w:rsidRPr="00F44098">
        <w:rPr>
          <w:b/>
          <w:sz w:val="18"/>
          <w:szCs w:val="18"/>
        </w:rPr>
        <w:t xml:space="preserve">Tapis </w:t>
      </w:r>
      <w:r w:rsidR="006D701D" w:rsidRPr="006D701D">
        <w:rPr>
          <w:b/>
          <w:sz w:val="18"/>
          <w:szCs w:val="18"/>
        </w:rPr>
        <w:t>« monarchie de Juillet ou Second Empire »</w:t>
      </w:r>
      <w:bookmarkStart w:id="0" w:name="_GoBack"/>
      <w:bookmarkEnd w:id="0"/>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1" w:name="_bookmark0"/>
      <w:bookmarkEnd w:id="1"/>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(à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(à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(à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(à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(cocher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r w:rsidRPr="00184208">
        <w:rPr>
          <w:i/>
          <w:spacing w:val="-10"/>
          <w:sz w:val="20"/>
        </w:rPr>
        <w:t xml:space="preserve">:  </w:t>
      </w:r>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56C4C" w:rsidRDefault="00756C4C" w:rsidP="00756C4C">
      <w:pPr>
        <w:pStyle w:val="Paragraphedeliste"/>
        <w:tabs>
          <w:tab w:val="left" w:pos="1257"/>
        </w:tabs>
        <w:spacing w:before="119"/>
        <w:ind w:firstLine="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701"/>
        <w:gridCol w:w="1417"/>
        <w:gridCol w:w="1665"/>
      </w:tblGrid>
      <w:tr w:rsidR="00FA5C84" w:rsidRPr="008272F3" w:rsidTr="00FA5C84">
        <w:trPr>
          <w:trHeight w:val="1005"/>
          <w:jc w:val="center"/>
        </w:trPr>
        <w:tc>
          <w:tcPr>
            <w:tcW w:w="3232" w:type="dxa"/>
            <w:tcBorders>
              <w:top w:val="double" w:sz="4" w:space="0" w:color="auto"/>
              <w:left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Prestation exécutée</w:t>
            </w:r>
            <w:r w:rsidR="00756C4C" w:rsidRPr="008272F3">
              <w:rPr>
                <w:sz w:val="20"/>
                <w:szCs w:val="20"/>
              </w:rPr>
              <w:t xml:space="preserve"> – </w:t>
            </w:r>
          </w:p>
          <w:p w:rsidR="00756C4C" w:rsidRPr="008272F3" w:rsidRDefault="00756C4C" w:rsidP="00AC19D2">
            <w:pPr>
              <w:tabs>
                <w:tab w:val="left" w:pos="851"/>
                <w:tab w:val="left" w:pos="3402"/>
              </w:tabs>
              <w:jc w:val="center"/>
              <w:rPr>
                <w:sz w:val="20"/>
                <w:szCs w:val="20"/>
              </w:rPr>
            </w:pPr>
            <w:r w:rsidRPr="008272F3">
              <w:rPr>
                <w:sz w:val="20"/>
                <w:szCs w:val="20"/>
              </w:rPr>
              <w:t xml:space="preserve">Bien </w:t>
            </w:r>
            <w:r w:rsidR="00F44098">
              <w:rPr>
                <w:sz w:val="20"/>
                <w:szCs w:val="20"/>
              </w:rPr>
              <w:t xml:space="preserve">GMT </w:t>
            </w:r>
            <w:r w:rsidR="00AC19D2">
              <w:rPr>
                <w:sz w:val="20"/>
                <w:szCs w:val="20"/>
              </w:rPr>
              <w:t>32785</w:t>
            </w:r>
          </w:p>
        </w:tc>
        <w:tc>
          <w:tcPr>
            <w:tcW w:w="1701"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p>
          <w:p w:rsidR="00FA5C84" w:rsidRPr="008272F3" w:rsidRDefault="00FA5C84" w:rsidP="00FA5C84">
            <w:pPr>
              <w:tabs>
                <w:tab w:val="left" w:pos="851"/>
                <w:tab w:val="left" w:pos="3402"/>
              </w:tabs>
              <w:jc w:val="center"/>
              <w:rPr>
                <w:sz w:val="20"/>
                <w:szCs w:val="20"/>
              </w:rPr>
            </w:pPr>
            <w:r w:rsidRPr="008272F3">
              <w:rPr>
                <w:sz w:val="20"/>
                <w:szCs w:val="20"/>
              </w:rPr>
              <w:t>Montant total en € HT</w:t>
            </w:r>
          </w:p>
          <w:p w:rsidR="00FA5C84" w:rsidRPr="008272F3" w:rsidRDefault="00FA5C84" w:rsidP="00FA5C84">
            <w:pPr>
              <w:tabs>
                <w:tab w:val="left" w:pos="851"/>
                <w:tab w:val="left" w:pos="3402"/>
              </w:tabs>
              <w:jc w:val="center"/>
              <w:rPr>
                <w:sz w:val="20"/>
                <w:szCs w:val="20"/>
              </w:rPr>
            </w:pPr>
          </w:p>
        </w:tc>
        <w:tc>
          <w:tcPr>
            <w:tcW w:w="1417"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TVA (….%)</w:t>
            </w:r>
          </w:p>
        </w:tc>
        <w:tc>
          <w:tcPr>
            <w:tcW w:w="1665" w:type="dxa"/>
            <w:tcBorders>
              <w:top w:val="double" w:sz="4" w:space="0" w:color="auto"/>
              <w:bottom w:val="double" w:sz="4" w:space="0" w:color="auto"/>
              <w:right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Montant total en € TTC</w:t>
            </w:r>
          </w:p>
        </w:tc>
      </w:tr>
      <w:tr w:rsidR="00FA5C84" w:rsidRPr="00550984" w:rsidTr="00FA5C84">
        <w:trPr>
          <w:trHeight w:hRule="exact" w:val="851"/>
          <w:jc w:val="center"/>
        </w:trPr>
        <w:tc>
          <w:tcPr>
            <w:tcW w:w="3232" w:type="dxa"/>
            <w:tcBorders>
              <w:top w:val="double" w:sz="4" w:space="0" w:color="auto"/>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lastRenderedPageBreak/>
              <w:t>Constat d’état</w:t>
            </w:r>
          </w:p>
        </w:tc>
        <w:tc>
          <w:tcPr>
            <w:tcW w:w="1701"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top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Nettoyage</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Restauration</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 xml:space="preserve">Conditionnement </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bottom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Rapport de restauration</w:t>
            </w:r>
          </w:p>
        </w:tc>
        <w:tc>
          <w:tcPr>
            <w:tcW w:w="1701"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bottom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bl>
    <w:p w:rsidR="0000664C" w:rsidRDefault="0000664C" w:rsidP="00F665B0">
      <w:pPr>
        <w:pStyle w:val="Corpsdetexte"/>
        <w:spacing w:before="8"/>
        <w:rPr>
          <w:sz w:val="28"/>
        </w:rPr>
      </w:pPr>
    </w:p>
    <w:p w:rsidR="0000664C" w:rsidRDefault="0000664C"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6D701D"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r w:rsidR="00F665B0" w:rsidRPr="008272F3">
          <w:rPr>
            <w:i/>
            <w:color w:val="0000FF"/>
            <w:position w:val="2"/>
            <w:sz w:val="20"/>
            <w:szCs w:val="20"/>
            <w:u w:val="single" w:color="0000FF"/>
          </w:rPr>
          <w:t>nonies</w:t>
        </w:r>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 xml:space="preserve">Compte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lastRenderedPageBreak/>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r>
        <w:rPr>
          <w:spacing w:val="-5"/>
          <w:u w:val="single"/>
        </w:rPr>
        <w:t>OU</w:t>
      </w:r>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r>
        <w:rPr>
          <w:spacing w:val="-5"/>
          <w:u w:val="single"/>
        </w:rPr>
        <w:t>OU</w:t>
      </w:r>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D701D">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D701D">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455822"/>
    <w:rsid w:val="00495E4F"/>
    <w:rsid w:val="004C2CD3"/>
    <w:rsid w:val="005A1011"/>
    <w:rsid w:val="005E163F"/>
    <w:rsid w:val="006D701D"/>
    <w:rsid w:val="00756C4C"/>
    <w:rsid w:val="00782D02"/>
    <w:rsid w:val="007A4ADA"/>
    <w:rsid w:val="008272F3"/>
    <w:rsid w:val="008C4025"/>
    <w:rsid w:val="00A6592A"/>
    <w:rsid w:val="00AC19D2"/>
    <w:rsid w:val="00C270B6"/>
    <w:rsid w:val="00C43A9C"/>
    <w:rsid w:val="00C74083"/>
    <w:rsid w:val="00CB144B"/>
    <w:rsid w:val="00CC1348"/>
    <w:rsid w:val="00DA2551"/>
    <w:rsid w:val="00EF5C4D"/>
    <w:rsid w:val="00F44098"/>
    <w:rsid w:val="00F665B0"/>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81E08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2676</Words>
  <Characters>14720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4</cp:revision>
  <dcterms:created xsi:type="dcterms:W3CDTF">2024-11-22T14:07:00Z</dcterms:created>
  <dcterms:modified xsi:type="dcterms:W3CDTF">2024-11-25T07:25:00Z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