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0A5CA" w14:textId="716A71C6" w:rsidR="008F4620" w:rsidRDefault="00065BA9" w:rsidP="00760704">
      <w:pPr>
        <w:pStyle w:val="RedaliaNormal"/>
        <w:jc w:val="center"/>
        <w:rPr>
          <w:sz w:val="40"/>
          <w:szCs w:val="40"/>
        </w:rPr>
      </w:pPr>
      <w:r>
        <w:rPr>
          <w:noProof/>
        </w:rPr>
        <w:drawing>
          <wp:inline distT="0" distB="0" distL="0" distR="0" wp14:anchorId="53375B46" wp14:editId="75163E8C">
            <wp:extent cx="3338195" cy="10007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8195" cy="1000760"/>
                    </a:xfrm>
                    <a:prstGeom prst="rect">
                      <a:avLst/>
                    </a:prstGeom>
                    <a:solidFill>
                      <a:srgbClr val="FFFFFF"/>
                    </a:solidFill>
                    <a:ln>
                      <a:noFill/>
                    </a:ln>
                  </pic:spPr>
                </pic:pic>
              </a:graphicData>
            </a:graphic>
          </wp:inline>
        </w:drawing>
      </w:r>
    </w:p>
    <w:p w14:paraId="57088ED4" w14:textId="17678F90" w:rsidR="004F1852" w:rsidRDefault="00760704" w:rsidP="001D0BEA">
      <w:pPr>
        <w:pStyle w:val="RedaliaTitredocument"/>
      </w:pPr>
      <w:r w:rsidRPr="002B4067">
        <w:t>ACCORD-CADRE</w:t>
      </w:r>
      <w:r w:rsidR="001D0BEA" w:rsidRPr="001D0BEA">
        <w:t xml:space="preserve"> </w:t>
      </w:r>
    </w:p>
    <w:p w14:paraId="35106486" w14:textId="2ED907AF" w:rsidR="001D0BEA" w:rsidRDefault="001D0BEA" w:rsidP="001D0BEA">
      <w:pPr>
        <w:pStyle w:val="RedaliaTitredocument"/>
      </w:pPr>
      <w:r>
        <w:t>DE SERVICES</w:t>
      </w:r>
    </w:p>
    <w:p w14:paraId="774C3BC6" w14:textId="77777777" w:rsidR="008F4620" w:rsidRDefault="008F4620">
      <w:pPr>
        <w:pStyle w:val="RedaliaSoustitredocument"/>
      </w:pPr>
    </w:p>
    <w:p w14:paraId="712E1AA5" w14:textId="77777777" w:rsidR="00760704" w:rsidRPr="00760704" w:rsidRDefault="00760704" w:rsidP="00760704">
      <w:pPr>
        <w:widowControl w:val="0"/>
        <w:tabs>
          <w:tab w:val="left" w:leader="dot" w:pos="8505"/>
        </w:tabs>
        <w:suppressAutoHyphens/>
        <w:spacing w:before="40"/>
        <w:jc w:val="center"/>
        <w:textAlignment w:val="auto"/>
        <w:rPr>
          <w:rFonts w:ascii="Arial" w:hAnsi="Arial"/>
          <w:sz w:val="28"/>
        </w:rPr>
      </w:pPr>
      <w:r w:rsidRPr="00760704">
        <w:rPr>
          <w:rFonts w:ascii="Arial" w:hAnsi="Arial"/>
          <w:b/>
          <w:sz w:val="40"/>
        </w:rPr>
        <w:t>Cahier des Clauses Particulières</w:t>
      </w:r>
    </w:p>
    <w:p w14:paraId="435BFD84" w14:textId="10C13031" w:rsidR="008F4620" w:rsidRDefault="00760704" w:rsidP="00760704">
      <w:pPr>
        <w:pStyle w:val="RedaliaSoustitredocument"/>
        <w:rPr>
          <w:rFonts w:ascii="Calibri" w:hAnsi="Calibri" w:cs="Calibri"/>
          <w:b/>
          <w:sz w:val="40"/>
        </w:rPr>
      </w:pPr>
      <w:proofErr w:type="gramStart"/>
      <w:r w:rsidRPr="00760704">
        <w:rPr>
          <w:rFonts w:ascii="Calibri" w:hAnsi="Calibri" w:cs="Calibri"/>
          <w:b/>
          <w:sz w:val="40"/>
        </w:rPr>
        <w:t>valant</w:t>
      </w:r>
      <w:proofErr w:type="gramEnd"/>
      <w:r w:rsidRPr="00760704">
        <w:rPr>
          <w:rFonts w:ascii="Calibri" w:hAnsi="Calibri" w:cs="Calibri"/>
          <w:b/>
          <w:sz w:val="40"/>
        </w:rPr>
        <w:t xml:space="preserve"> Acte d’Engagement</w:t>
      </w:r>
    </w:p>
    <w:p w14:paraId="44C2F3FB" w14:textId="77777777" w:rsidR="00AD72C2" w:rsidRDefault="00AD72C2" w:rsidP="00AD72C2">
      <w:pPr>
        <w:pStyle w:val="RedaliaNormal"/>
      </w:pPr>
    </w:p>
    <w:p w14:paraId="7925DDB8" w14:textId="30170AE2" w:rsidR="00AD72C2" w:rsidRPr="000F5085" w:rsidRDefault="00AD72C2" w:rsidP="000F5085">
      <w:pPr>
        <w:pStyle w:val="RedaliaNormal"/>
        <w:jc w:val="center"/>
        <w:rPr>
          <w:b/>
          <w:bCs/>
          <w:sz w:val="28"/>
          <w:szCs w:val="28"/>
        </w:rPr>
      </w:pPr>
      <w:r w:rsidRPr="000F5085">
        <w:rPr>
          <w:b/>
          <w:bCs/>
          <w:sz w:val="28"/>
          <w:szCs w:val="28"/>
        </w:rPr>
        <w:t>N° 24MA41035</w:t>
      </w:r>
    </w:p>
    <w:p w14:paraId="3B197909" w14:textId="77777777" w:rsidR="008F4620" w:rsidRDefault="00193ACD">
      <w:pPr>
        <w:pStyle w:val="RdaliaTitreparagraphe"/>
      </w:pPr>
      <w:r>
        <w:t>Pouvoir adjudicateur</w:t>
      </w:r>
    </w:p>
    <w:p w14:paraId="5B451E11" w14:textId="77777777" w:rsidR="008F4620" w:rsidRDefault="00193ACD">
      <w:pPr>
        <w:pStyle w:val="RedaliaNormal"/>
      </w:pPr>
      <w:r>
        <w:rPr>
          <w:b/>
          <w:bCs/>
        </w:rPr>
        <w:t>Agence de l'eau Rhin-Meuse</w:t>
      </w:r>
    </w:p>
    <w:p w14:paraId="059F5D2D" w14:textId="77777777" w:rsidR="008F4620" w:rsidRDefault="00193ACD">
      <w:pPr>
        <w:pStyle w:val="RedaliaNormal"/>
      </w:pPr>
      <w:r>
        <w:t xml:space="preserve">Adresse :   Chemin du </w:t>
      </w:r>
      <w:proofErr w:type="spellStart"/>
      <w:r>
        <w:t>Longeau</w:t>
      </w:r>
      <w:proofErr w:type="spellEnd"/>
      <w:r>
        <w:t xml:space="preserve"> BP 30019 57160 ROZERIEULLES  </w:t>
      </w:r>
    </w:p>
    <w:p w14:paraId="4DC64982" w14:textId="77777777" w:rsidR="008F4620" w:rsidRDefault="00193ACD">
      <w:pPr>
        <w:pStyle w:val="RedaliaNormal"/>
      </w:pPr>
      <w:r>
        <w:t>Téléphone : +33387344700</w:t>
      </w:r>
    </w:p>
    <w:p w14:paraId="4AFEE8FA" w14:textId="77777777" w:rsidR="008F4620" w:rsidRDefault="00193ACD">
      <w:pPr>
        <w:pStyle w:val="RedaliaNormal"/>
      </w:pPr>
      <w:r>
        <w:t>Télécopie : +33387604985</w:t>
      </w:r>
    </w:p>
    <w:p w14:paraId="303C961D" w14:textId="77777777" w:rsidR="008F4620" w:rsidRDefault="00193ACD">
      <w:pPr>
        <w:pStyle w:val="RdaliaTitreparagraphe"/>
      </w:pPr>
      <w:r>
        <w:t>Représentant du pouvoir adjudicateur</w:t>
      </w:r>
    </w:p>
    <w:p w14:paraId="1F57A177" w14:textId="77777777" w:rsidR="008F4620" w:rsidRDefault="00193ACD">
      <w:pPr>
        <w:pStyle w:val="RedaliaNormal"/>
      </w:pPr>
      <w:r>
        <w:t>Monsieur le Directeur Général de l'Agence de l'eau Rhin-Meuse</w:t>
      </w:r>
    </w:p>
    <w:p w14:paraId="7FDA1E47" w14:textId="2ADFE555" w:rsidR="008F4620" w:rsidRDefault="00193ACD">
      <w:pPr>
        <w:pStyle w:val="RdaliaTitreparagraphe"/>
      </w:pPr>
      <w:r>
        <w:t xml:space="preserve">Objet </w:t>
      </w:r>
    </w:p>
    <w:p w14:paraId="437C5546" w14:textId="77777777" w:rsidR="008F4620" w:rsidRDefault="008F4620">
      <w:pPr>
        <w:pStyle w:val="RedaliaNormal"/>
      </w:pPr>
    </w:p>
    <w:p w14:paraId="3803B3A8" w14:textId="77777777" w:rsidR="00F86CC1" w:rsidRDefault="00F86CC1" w:rsidP="00760704">
      <w:pPr>
        <w:pStyle w:val="RedaliaNormal"/>
        <w:jc w:val="center"/>
        <w:rPr>
          <w:b/>
          <w:bCs/>
          <w:sz w:val="32"/>
          <w:szCs w:val="32"/>
        </w:rPr>
      </w:pPr>
      <w:r>
        <w:rPr>
          <w:b/>
          <w:bCs/>
          <w:sz w:val="32"/>
          <w:szCs w:val="32"/>
        </w:rPr>
        <w:t>Prestation de service social</w:t>
      </w:r>
    </w:p>
    <w:p w14:paraId="54034971" w14:textId="722CB409" w:rsidR="00760704" w:rsidRPr="00FE3563" w:rsidRDefault="00F86CC1" w:rsidP="00760704">
      <w:pPr>
        <w:pStyle w:val="RedaliaNormal"/>
        <w:jc w:val="center"/>
        <w:rPr>
          <w:sz w:val="24"/>
          <w:szCs w:val="22"/>
        </w:rPr>
      </w:pPr>
      <w:proofErr w:type="gramStart"/>
      <w:r>
        <w:rPr>
          <w:b/>
          <w:bCs/>
          <w:sz w:val="32"/>
          <w:szCs w:val="32"/>
        </w:rPr>
        <w:t>à</w:t>
      </w:r>
      <w:proofErr w:type="gramEnd"/>
      <w:r>
        <w:rPr>
          <w:b/>
          <w:bCs/>
          <w:sz w:val="32"/>
          <w:szCs w:val="32"/>
        </w:rPr>
        <w:t xml:space="preserve"> l’Agence de l’eau Rhin-Meuse</w:t>
      </w:r>
    </w:p>
    <w:p w14:paraId="1D626F27" w14:textId="72429B04" w:rsidR="008F4620" w:rsidRDefault="008F4620">
      <w:pPr>
        <w:pStyle w:val="LO-Normal"/>
      </w:pPr>
    </w:p>
    <w:p w14:paraId="644EED2E" w14:textId="6AB9478F" w:rsidR="008F4620" w:rsidRDefault="000915FB" w:rsidP="000915FB">
      <w:pPr>
        <w:pStyle w:val="LO-Normal"/>
      </w:pPr>
      <w:r>
        <w:br w:type="page"/>
      </w:r>
    </w:p>
    <w:p w14:paraId="42EDD886" w14:textId="60FB2A9D" w:rsidR="008F4620" w:rsidRDefault="00193ACD">
      <w:pPr>
        <w:pStyle w:val="RdaliaTitredossier"/>
      </w:pPr>
      <w:r>
        <w:lastRenderedPageBreak/>
        <w:t>Sommaire</w:t>
      </w:r>
    </w:p>
    <w:p w14:paraId="1E9EB7EE" w14:textId="4A02F8B5" w:rsidR="000915FB" w:rsidRPr="000915FB" w:rsidRDefault="000915FB">
      <w:pPr>
        <w:pStyle w:val="RdaliaTitredossier"/>
        <w:rPr>
          <w:sz w:val="12"/>
          <w:szCs w:val="2"/>
        </w:rPr>
      </w:pPr>
    </w:p>
    <w:p w14:paraId="0DB547DD" w14:textId="77777777" w:rsidR="000915FB" w:rsidRPr="000915FB" w:rsidRDefault="000915FB" w:rsidP="000915FB">
      <w:pPr>
        <w:widowControl w:val="0"/>
        <w:suppressAutoHyphens/>
        <w:textAlignment w:val="auto"/>
        <w:rPr>
          <w:rFonts w:ascii="Arial" w:hAnsi="Arial"/>
          <w:sz w:val="22"/>
        </w:rPr>
      </w:pPr>
    </w:p>
    <w:p w14:paraId="57C02B97" w14:textId="093E1BCB" w:rsidR="000915FB" w:rsidRDefault="000915FB" w:rsidP="000915FB">
      <w:pPr>
        <w:suppressAutoHyphens/>
        <w:textAlignment w:val="auto"/>
        <w:rPr>
          <w:rFonts w:ascii="Calibri" w:hAnsi="Calibri" w:cs="Calibri"/>
        </w:rPr>
      </w:pPr>
    </w:p>
    <w:p w14:paraId="2EBCEAA0" w14:textId="77777777" w:rsidR="00391ABD" w:rsidRPr="000915FB" w:rsidRDefault="00391ABD" w:rsidP="000915FB">
      <w:pPr>
        <w:suppressAutoHyphens/>
        <w:textAlignment w:val="auto"/>
        <w:rPr>
          <w:rFonts w:ascii="Calibri" w:hAnsi="Calibri" w:cs="Calibri"/>
        </w:rPr>
      </w:pPr>
    </w:p>
    <w:p w14:paraId="75447FF0" w14:textId="2A424AD0" w:rsidR="00142D31" w:rsidRDefault="00391ABD">
      <w:pPr>
        <w:pStyle w:val="TM1"/>
        <w:tabs>
          <w:tab w:val="right" w:leader="dot" w:pos="9060"/>
        </w:tabs>
        <w:rPr>
          <w:rFonts w:asciiTheme="minorHAnsi" w:eastAsiaTheme="minorEastAsia" w:hAnsiTheme="minorHAnsi" w:cstheme="minorBidi"/>
          <w:b w:val="0"/>
          <w:noProof/>
          <w:kern w:val="2"/>
          <w:sz w:val="22"/>
          <w:szCs w:val="22"/>
          <w14:ligatures w14:val="standardContextual"/>
        </w:rPr>
      </w:pPr>
      <w:r>
        <w:fldChar w:fldCharType="begin"/>
      </w:r>
      <w:r>
        <w:instrText xml:space="preserve"> TOC \o "1-3" \h \z \u </w:instrText>
      </w:r>
      <w:r>
        <w:fldChar w:fldCharType="separate"/>
      </w:r>
      <w:hyperlink w:anchor="_Toc179450200" w:history="1">
        <w:r w:rsidR="00142D31" w:rsidRPr="008771FD">
          <w:rPr>
            <w:rStyle w:val="Lienhypertexte"/>
            <w:noProof/>
          </w:rPr>
          <w:t>1. Préambule</w:t>
        </w:r>
        <w:r w:rsidR="00142D31">
          <w:rPr>
            <w:noProof/>
            <w:webHidden/>
          </w:rPr>
          <w:tab/>
        </w:r>
        <w:r w:rsidR="00142D31">
          <w:rPr>
            <w:noProof/>
            <w:webHidden/>
          </w:rPr>
          <w:fldChar w:fldCharType="begin"/>
        </w:r>
        <w:r w:rsidR="00142D31">
          <w:rPr>
            <w:noProof/>
            <w:webHidden/>
          </w:rPr>
          <w:instrText xml:space="preserve"> PAGEREF _Toc179450200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5FED08DB" w14:textId="7F830B59"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01" w:history="1">
        <w:r w:rsidR="00142D31" w:rsidRPr="008771FD">
          <w:rPr>
            <w:rStyle w:val="Lienhypertexte"/>
            <w:noProof/>
          </w:rPr>
          <w:t>2. Objet – Dispositions générales</w:t>
        </w:r>
        <w:r w:rsidR="00142D31">
          <w:rPr>
            <w:noProof/>
            <w:webHidden/>
          </w:rPr>
          <w:tab/>
        </w:r>
        <w:r w:rsidR="00142D31">
          <w:rPr>
            <w:noProof/>
            <w:webHidden/>
          </w:rPr>
          <w:fldChar w:fldCharType="begin"/>
        </w:r>
        <w:r w:rsidR="00142D31">
          <w:rPr>
            <w:noProof/>
            <w:webHidden/>
          </w:rPr>
          <w:instrText xml:space="preserve"> PAGEREF _Toc179450201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23799E57" w14:textId="1E247786"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02" w:history="1">
        <w:r w:rsidR="00142D31" w:rsidRPr="008771FD">
          <w:rPr>
            <w:rStyle w:val="Lienhypertexte"/>
            <w:noProof/>
          </w:rPr>
          <w:t>2.1 Objet</w:t>
        </w:r>
        <w:r w:rsidR="00142D31">
          <w:rPr>
            <w:noProof/>
            <w:webHidden/>
          </w:rPr>
          <w:tab/>
        </w:r>
        <w:r w:rsidR="00142D31">
          <w:rPr>
            <w:noProof/>
            <w:webHidden/>
          </w:rPr>
          <w:fldChar w:fldCharType="begin"/>
        </w:r>
        <w:r w:rsidR="00142D31">
          <w:rPr>
            <w:noProof/>
            <w:webHidden/>
          </w:rPr>
          <w:instrText xml:space="preserve"> PAGEREF _Toc179450202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0BBC2ED9" w14:textId="20AB578F"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03" w:history="1">
        <w:r w:rsidR="00142D31" w:rsidRPr="008771FD">
          <w:rPr>
            <w:rStyle w:val="Lienhypertexte"/>
            <w:noProof/>
          </w:rPr>
          <w:t>2.2 Tranches / lots / phases / accord-cadre à bons de commande</w:t>
        </w:r>
        <w:r w:rsidR="00142D31">
          <w:rPr>
            <w:noProof/>
            <w:webHidden/>
          </w:rPr>
          <w:tab/>
        </w:r>
        <w:r w:rsidR="00142D31">
          <w:rPr>
            <w:noProof/>
            <w:webHidden/>
          </w:rPr>
          <w:fldChar w:fldCharType="begin"/>
        </w:r>
        <w:r w:rsidR="00142D31">
          <w:rPr>
            <w:noProof/>
            <w:webHidden/>
          </w:rPr>
          <w:instrText xml:space="preserve"> PAGEREF _Toc179450203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4D5DF9FF" w14:textId="097DB2B5"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04" w:history="1">
        <w:r w:rsidR="00142D31" w:rsidRPr="008771FD">
          <w:rPr>
            <w:rStyle w:val="Lienhypertexte"/>
            <w:noProof/>
          </w:rPr>
          <w:t>2.2.1 Tranches</w:t>
        </w:r>
        <w:r w:rsidR="00142D31">
          <w:rPr>
            <w:noProof/>
            <w:webHidden/>
          </w:rPr>
          <w:tab/>
        </w:r>
        <w:r w:rsidR="00142D31">
          <w:rPr>
            <w:noProof/>
            <w:webHidden/>
          </w:rPr>
          <w:fldChar w:fldCharType="begin"/>
        </w:r>
        <w:r w:rsidR="00142D31">
          <w:rPr>
            <w:noProof/>
            <w:webHidden/>
          </w:rPr>
          <w:instrText xml:space="preserve"> PAGEREF _Toc179450204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294C8A33" w14:textId="2032A256"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05" w:history="1">
        <w:r w:rsidR="00142D31" w:rsidRPr="008771FD">
          <w:rPr>
            <w:rStyle w:val="Lienhypertexte"/>
            <w:noProof/>
          </w:rPr>
          <w:t>2.2.2 Lots</w:t>
        </w:r>
        <w:r w:rsidR="00142D31">
          <w:rPr>
            <w:noProof/>
            <w:webHidden/>
          </w:rPr>
          <w:tab/>
        </w:r>
        <w:r w:rsidR="00142D31">
          <w:rPr>
            <w:noProof/>
            <w:webHidden/>
          </w:rPr>
          <w:fldChar w:fldCharType="begin"/>
        </w:r>
        <w:r w:rsidR="00142D31">
          <w:rPr>
            <w:noProof/>
            <w:webHidden/>
          </w:rPr>
          <w:instrText xml:space="preserve"> PAGEREF _Toc179450205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785E82D7" w14:textId="6D15A1D0"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06" w:history="1">
        <w:r w:rsidR="00142D31" w:rsidRPr="008771FD">
          <w:rPr>
            <w:rStyle w:val="Lienhypertexte"/>
            <w:noProof/>
          </w:rPr>
          <w:t>2.2.3 Phases</w:t>
        </w:r>
        <w:r w:rsidR="00142D31">
          <w:rPr>
            <w:noProof/>
            <w:webHidden/>
          </w:rPr>
          <w:tab/>
        </w:r>
        <w:r w:rsidR="00142D31">
          <w:rPr>
            <w:noProof/>
            <w:webHidden/>
          </w:rPr>
          <w:fldChar w:fldCharType="begin"/>
        </w:r>
        <w:r w:rsidR="00142D31">
          <w:rPr>
            <w:noProof/>
            <w:webHidden/>
          </w:rPr>
          <w:instrText xml:space="preserve"> PAGEREF _Toc179450206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5CCE7AC6" w14:textId="031C4BE2"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07" w:history="1">
        <w:r w:rsidR="00142D31" w:rsidRPr="008771FD">
          <w:rPr>
            <w:rStyle w:val="Lienhypertexte"/>
            <w:noProof/>
          </w:rPr>
          <w:t>2.2.4 Accord-cadre à bons de commande</w:t>
        </w:r>
        <w:r w:rsidR="00142D31">
          <w:rPr>
            <w:noProof/>
            <w:webHidden/>
          </w:rPr>
          <w:tab/>
        </w:r>
        <w:r w:rsidR="00142D31">
          <w:rPr>
            <w:noProof/>
            <w:webHidden/>
          </w:rPr>
          <w:fldChar w:fldCharType="begin"/>
        </w:r>
        <w:r w:rsidR="00142D31">
          <w:rPr>
            <w:noProof/>
            <w:webHidden/>
          </w:rPr>
          <w:instrText xml:space="preserve"> PAGEREF _Toc179450207 \h </w:instrText>
        </w:r>
        <w:r w:rsidR="00142D31">
          <w:rPr>
            <w:noProof/>
            <w:webHidden/>
          </w:rPr>
        </w:r>
        <w:r w:rsidR="00142D31">
          <w:rPr>
            <w:noProof/>
            <w:webHidden/>
          </w:rPr>
          <w:fldChar w:fldCharType="separate"/>
        </w:r>
        <w:r w:rsidR="00142D31">
          <w:rPr>
            <w:noProof/>
            <w:webHidden/>
          </w:rPr>
          <w:t>5</w:t>
        </w:r>
        <w:r w:rsidR="00142D31">
          <w:rPr>
            <w:noProof/>
            <w:webHidden/>
          </w:rPr>
          <w:fldChar w:fldCharType="end"/>
        </w:r>
      </w:hyperlink>
    </w:p>
    <w:p w14:paraId="7848E3C1" w14:textId="11447562"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08" w:history="1">
        <w:r w:rsidR="00142D31" w:rsidRPr="008771FD">
          <w:rPr>
            <w:rStyle w:val="Lienhypertexte"/>
            <w:noProof/>
          </w:rPr>
          <w:t>2.3 Obligation de confidentialité et protection des données à caractère personnel</w:t>
        </w:r>
        <w:r w:rsidR="00142D31">
          <w:rPr>
            <w:noProof/>
            <w:webHidden/>
          </w:rPr>
          <w:tab/>
        </w:r>
        <w:r w:rsidR="00142D31">
          <w:rPr>
            <w:noProof/>
            <w:webHidden/>
          </w:rPr>
          <w:fldChar w:fldCharType="begin"/>
        </w:r>
        <w:r w:rsidR="00142D31">
          <w:rPr>
            <w:noProof/>
            <w:webHidden/>
          </w:rPr>
          <w:instrText xml:space="preserve"> PAGEREF _Toc179450208 \h </w:instrText>
        </w:r>
        <w:r w:rsidR="00142D31">
          <w:rPr>
            <w:noProof/>
            <w:webHidden/>
          </w:rPr>
        </w:r>
        <w:r w:rsidR="00142D31">
          <w:rPr>
            <w:noProof/>
            <w:webHidden/>
          </w:rPr>
          <w:fldChar w:fldCharType="separate"/>
        </w:r>
        <w:r w:rsidR="00142D31">
          <w:rPr>
            <w:noProof/>
            <w:webHidden/>
          </w:rPr>
          <w:t>6</w:t>
        </w:r>
        <w:r w:rsidR="00142D31">
          <w:rPr>
            <w:noProof/>
            <w:webHidden/>
          </w:rPr>
          <w:fldChar w:fldCharType="end"/>
        </w:r>
      </w:hyperlink>
    </w:p>
    <w:p w14:paraId="1F565D8C" w14:textId="205E2940"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09" w:history="1">
        <w:r w:rsidR="00142D31" w:rsidRPr="008771FD">
          <w:rPr>
            <w:rStyle w:val="Lienhypertexte"/>
            <w:noProof/>
          </w:rPr>
          <w:t>2.4 Traitement des données</w:t>
        </w:r>
        <w:r w:rsidR="00142D31">
          <w:rPr>
            <w:noProof/>
            <w:webHidden/>
          </w:rPr>
          <w:tab/>
        </w:r>
        <w:r w:rsidR="00142D31">
          <w:rPr>
            <w:noProof/>
            <w:webHidden/>
          </w:rPr>
          <w:fldChar w:fldCharType="begin"/>
        </w:r>
        <w:r w:rsidR="00142D31">
          <w:rPr>
            <w:noProof/>
            <w:webHidden/>
          </w:rPr>
          <w:instrText xml:space="preserve"> PAGEREF _Toc179450209 \h </w:instrText>
        </w:r>
        <w:r w:rsidR="00142D31">
          <w:rPr>
            <w:noProof/>
            <w:webHidden/>
          </w:rPr>
        </w:r>
        <w:r w:rsidR="00142D31">
          <w:rPr>
            <w:noProof/>
            <w:webHidden/>
          </w:rPr>
          <w:fldChar w:fldCharType="separate"/>
        </w:r>
        <w:r w:rsidR="00142D31">
          <w:rPr>
            <w:noProof/>
            <w:webHidden/>
          </w:rPr>
          <w:t>6</w:t>
        </w:r>
        <w:r w:rsidR="00142D31">
          <w:rPr>
            <w:noProof/>
            <w:webHidden/>
          </w:rPr>
          <w:fldChar w:fldCharType="end"/>
        </w:r>
      </w:hyperlink>
    </w:p>
    <w:p w14:paraId="4F4F9634" w14:textId="5572DA3A"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10" w:history="1">
        <w:r w:rsidR="00142D31" w:rsidRPr="008771FD">
          <w:rPr>
            <w:rStyle w:val="Lienhypertexte"/>
            <w:noProof/>
          </w:rPr>
          <w:t>3. Durée – Reconduction – Délais et modalités d’exécution</w:t>
        </w:r>
        <w:r w:rsidR="00142D31">
          <w:rPr>
            <w:noProof/>
            <w:webHidden/>
          </w:rPr>
          <w:tab/>
        </w:r>
        <w:r w:rsidR="00142D31">
          <w:rPr>
            <w:noProof/>
            <w:webHidden/>
          </w:rPr>
          <w:fldChar w:fldCharType="begin"/>
        </w:r>
        <w:r w:rsidR="00142D31">
          <w:rPr>
            <w:noProof/>
            <w:webHidden/>
          </w:rPr>
          <w:instrText xml:space="preserve"> PAGEREF _Toc179450210 \h </w:instrText>
        </w:r>
        <w:r w:rsidR="00142D31">
          <w:rPr>
            <w:noProof/>
            <w:webHidden/>
          </w:rPr>
        </w:r>
        <w:r w:rsidR="00142D31">
          <w:rPr>
            <w:noProof/>
            <w:webHidden/>
          </w:rPr>
          <w:fldChar w:fldCharType="separate"/>
        </w:r>
        <w:r w:rsidR="00142D31">
          <w:rPr>
            <w:noProof/>
            <w:webHidden/>
          </w:rPr>
          <w:t>7</w:t>
        </w:r>
        <w:r w:rsidR="00142D31">
          <w:rPr>
            <w:noProof/>
            <w:webHidden/>
          </w:rPr>
          <w:fldChar w:fldCharType="end"/>
        </w:r>
      </w:hyperlink>
    </w:p>
    <w:p w14:paraId="3B423AA2" w14:textId="00935357"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1" w:history="1">
        <w:r w:rsidR="00142D31" w:rsidRPr="008771FD">
          <w:rPr>
            <w:rStyle w:val="Lienhypertexte"/>
            <w:noProof/>
          </w:rPr>
          <w:t>3.1 Durée - délais d’exécution</w:t>
        </w:r>
        <w:r w:rsidR="00142D31">
          <w:rPr>
            <w:noProof/>
            <w:webHidden/>
          </w:rPr>
          <w:tab/>
        </w:r>
        <w:r w:rsidR="00142D31">
          <w:rPr>
            <w:noProof/>
            <w:webHidden/>
          </w:rPr>
          <w:fldChar w:fldCharType="begin"/>
        </w:r>
        <w:r w:rsidR="00142D31">
          <w:rPr>
            <w:noProof/>
            <w:webHidden/>
          </w:rPr>
          <w:instrText xml:space="preserve"> PAGEREF _Toc179450211 \h </w:instrText>
        </w:r>
        <w:r w:rsidR="00142D31">
          <w:rPr>
            <w:noProof/>
            <w:webHidden/>
          </w:rPr>
        </w:r>
        <w:r w:rsidR="00142D31">
          <w:rPr>
            <w:noProof/>
            <w:webHidden/>
          </w:rPr>
          <w:fldChar w:fldCharType="separate"/>
        </w:r>
        <w:r w:rsidR="00142D31">
          <w:rPr>
            <w:noProof/>
            <w:webHidden/>
          </w:rPr>
          <w:t>7</w:t>
        </w:r>
        <w:r w:rsidR="00142D31">
          <w:rPr>
            <w:noProof/>
            <w:webHidden/>
          </w:rPr>
          <w:fldChar w:fldCharType="end"/>
        </w:r>
      </w:hyperlink>
    </w:p>
    <w:p w14:paraId="76D02859" w14:textId="72F77163"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2" w:history="1">
        <w:r w:rsidR="00142D31" w:rsidRPr="008771FD">
          <w:rPr>
            <w:rStyle w:val="Lienhypertexte"/>
            <w:noProof/>
          </w:rPr>
          <w:t>3.2 Prolongation des délais d’exécution</w:t>
        </w:r>
        <w:r w:rsidR="00142D31">
          <w:rPr>
            <w:noProof/>
            <w:webHidden/>
          </w:rPr>
          <w:tab/>
        </w:r>
        <w:r w:rsidR="00142D31">
          <w:rPr>
            <w:noProof/>
            <w:webHidden/>
          </w:rPr>
          <w:fldChar w:fldCharType="begin"/>
        </w:r>
        <w:r w:rsidR="00142D31">
          <w:rPr>
            <w:noProof/>
            <w:webHidden/>
          </w:rPr>
          <w:instrText xml:space="preserve"> PAGEREF _Toc179450212 \h </w:instrText>
        </w:r>
        <w:r w:rsidR="00142D31">
          <w:rPr>
            <w:noProof/>
            <w:webHidden/>
          </w:rPr>
        </w:r>
        <w:r w:rsidR="00142D31">
          <w:rPr>
            <w:noProof/>
            <w:webHidden/>
          </w:rPr>
          <w:fldChar w:fldCharType="separate"/>
        </w:r>
        <w:r w:rsidR="00142D31">
          <w:rPr>
            <w:noProof/>
            <w:webHidden/>
          </w:rPr>
          <w:t>7</w:t>
        </w:r>
        <w:r w:rsidR="00142D31">
          <w:rPr>
            <w:noProof/>
            <w:webHidden/>
          </w:rPr>
          <w:fldChar w:fldCharType="end"/>
        </w:r>
      </w:hyperlink>
    </w:p>
    <w:p w14:paraId="2AA8D3D2" w14:textId="5DD6778B"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3" w:history="1">
        <w:r w:rsidR="00142D31" w:rsidRPr="008771FD">
          <w:rPr>
            <w:rStyle w:val="Lienhypertexte"/>
            <w:noProof/>
          </w:rPr>
          <w:t>3.3 Reconduction</w:t>
        </w:r>
        <w:r w:rsidR="00142D31">
          <w:rPr>
            <w:noProof/>
            <w:webHidden/>
          </w:rPr>
          <w:tab/>
        </w:r>
        <w:r w:rsidR="00142D31">
          <w:rPr>
            <w:noProof/>
            <w:webHidden/>
          </w:rPr>
          <w:fldChar w:fldCharType="begin"/>
        </w:r>
        <w:r w:rsidR="00142D31">
          <w:rPr>
            <w:noProof/>
            <w:webHidden/>
          </w:rPr>
          <w:instrText xml:space="preserve"> PAGEREF _Toc179450213 \h </w:instrText>
        </w:r>
        <w:r w:rsidR="00142D31">
          <w:rPr>
            <w:noProof/>
            <w:webHidden/>
          </w:rPr>
        </w:r>
        <w:r w:rsidR="00142D31">
          <w:rPr>
            <w:noProof/>
            <w:webHidden/>
          </w:rPr>
          <w:fldChar w:fldCharType="separate"/>
        </w:r>
        <w:r w:rsidR="00142D31">
          <w:rPr>
            <w:noProof/>
            <w:webHidden/>
          </w:rPr>
          <w:t>7</w:t>
        </w:r>
        <w:r w:rsidR="00142D31">
          <w:rPr>
            <w:noProof/>
            <w:webHidden/>
          </w:rPr>
          <w:fldChar w:fldCharType="end"/>
        </w:r>
      </w:hyperlink>
    </w:p>
    <w:p w14:paraId="29D2F1F0" w14:textId="05277E3E"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4" w:history="1">
        <w:r w:rsidR="00142D31" w:rsidRPr="008771FD">
          <w:rPr>
            <w:rStyle w:val="Lienhypertexte"/>
            <w:noProof/>
          </w:rPr>
          <w:t>3.4 Sous-traitance</w:t>
        </w:r>
        <w:r w:rsidR="00142D31">
          <w:rPr>
            <w:noProof/>
            <w:webHidden/>
          </w:rPr>
          <w:tab/>
        </w:r>
        <w:r w:rsidR="00142D31">
          <w:rPr>
            <w:noProof/>
            <w:webHidden/>
          </w:rPr>
          <w:fldChar w:fldCharType="begin"/>
        </w:r>
        <w:r w:rsidR="00142D31">
          <w:rPr>
            <w:noProof/>
            <w:webHidden/>
          </w:rPr>
          <w:instrText xml:space="preserve"> PAGEREF _Toc179450214 \h </w:instrText>
        </w:r>
        <w:r w:rsidR="00142D31">
          <w:rPr>
            <w:noProof/>
            <w:webHidden/>
          </w:rPr>
        </w:r>
        <w:r w:rsidR="00142D31">
          <w:rPr>
            <w:noProof/>
            <w:webHidden/>
          </w:rPr>
          <w:fldChar w:fldCharType="separate"/>
        </w:r>
        <w:r w:rsidR="00142D31">
          <w:rPr>
            <w:noProof/>
            <w:webHidden/>
          </w:rPr>
          <w:t>8</w:t>
        </w:r>
        <w:r w:rsidR="00142D31">
          <w:rPr>
            <w:noProof/>
            <w:webHidden/>
          </w:rPr>
          <w:fldChar w:fldCharType="end"/>
        </w:r>
      </w:hyperlink>
    </w:p>
    <w:p w14:paraId="1C984514" w14:textId="6F44560D"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5" w:history="1">
        <w:r w:rsidR="00142D31" w:rsidRPr="008771FD">
          <w:rPr>
            <w:rStyle w:val="Lienhypertexte"/>
            <w:noProof/>
          </w:rPr>
          <w:t>3.5 Co-traitance</w:t>
        </w:r>
        <w:r w:rsidR="00142D31">
          <w:rPr>
            <w:noProof/>
            <w:webHidden/>
          </w:rPr>
          <w:tab/>
        </w:r>
        <w:r w:rsidR="00142D31">
          <w:rPr>
            <w:noProof/>
            <w:webHidden/>
          </w:rPr>
          <w:fldChar w:fldCharType="begin"/>
        </w:r>
        <w:r w:rsidR="00142D31">
          <w:rPr>
            <w:noProof/>
            <w:webHidden/>
          </w:rPr>
          <w:instrText xml:space="preserve"> PAGEREF _Toc179450215 \h </w:instrText>
        </w:r>
        <w:r w:rsidR="00142D31">
          <w:rPr>
            <w:noProof/>
            <w:webHidden/>
          </w:rPr>
        </w:r>
        <w:r w:rsidR="00142D31">
          <w:rPr>
            <w:noProof/>
            <w:webHidden/>
          </w:rPr>
          <w:fldChar w:fldCharType="separate"/>
        </w:r>
        <w:r w:rsidR="00142D31">
          <w:rPr>
            <w:noProof/>
            <w:webHidden/>
          </w:rPr>
          <w:t>8</w:t>
        </w:r>
        <w:r w:rsidR="00142D31">
          <w:rPr>
            <w:noProof/>
            <w:webHidden/>
          </w:rPr>
          <w:fldChar w:fldCharType="end"/>
        </w:r>
      </w:hyperlink>
    </w:p>
    <w:p w14:paraId="189ECF48" w14:textId="7B2B9CA2"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6" w:history="1">
        <w:r w:rsidR="00142D31" w:rsidRPr="008771FD">
          <w:rPr>
            <w:rStyle w:val="Lienhypertexte"/>
            <w:noProof/>
          </w:rPr>
          <w:t>3.6 Modification du marché / de l'accord-cadre</w:t>
        </w:r>
        <w:r w:rsidR="00142D31">
          <w:rPr>
            <w:noProof/>
            <w:webHidden/>
          </w:rPr>
          <w:tab/>
        </w:r>
        <w:r w:rsidR="00142D31">
          <w:rPr>
            <w:noProof/>
            <w:webHidden/>
          </w:rPr>
          <w:fldChar w:fldCharType="begin"/>
        </w:r>
        <w:r w:rsidR="00142D31">
          <w:rPr>
            <w:noProof/>
            <w:webHidden/>
          </w:rPr>
          <w:instrText xml:space="preserve"> PAGEREF _Toc179450216 \h </w:instrText>
        </w:r>
        <w:r w:rsidR="00142D31">
          <w:rPr>
            <w:noProof/>
            <w:webHidden/>
          </w:rPr>
        </w:r>
        <w:r w:rsidR="00142D31">
          <w:rPr>
            <w:noProof/>
            <w:webHidden/>
          </w:rPr>
          <w:fldChar w:fldCharType="separate"/>
        </w:r>
        <w:r w:rsidR="00142D31">
          <w:rPr>
            <w:noProof/>
            <w:webHidden/>
          </w:rPr>
          <w:t>8</w:t>
        </w:r>
        <w:r w:rsidR="00142D31">
          <w:rPr>
            <w:noProof/>
            <w:webHidden/>
          </w:rPr>
          <w:fldChar w:fldCharType="end"/>
        </w:r>
      </w:hyperlink>
    </w:p>
    <w:p w14:paraId="1F82CDC8" w14:textId="554B83C5"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17" w:history="1">
        <w:r w:rsidR="00142D31" w:rsidRPr="008771FD">
          <w:rPr>
            <w:rStyle w:val="Lienhypertexte"/>
            <w:noProof/>
          </w:rPr>
          <w:t>3.7 Prestations supplémentaires ou modificatives</w:t>
        </w:r>
        <w:r w:rsidR="00142D31">
          <w:rPr>
            <w:noProof/>
            <w:webHidden/>
          </w:rPr>
          <w:tab/>
        </w:r>
        <w:r w:rsidR="00142D31">
          <w:rPr>
            <w:noProof/>
            <w:webHidden/>
          </w:rPr>
          <w:fldChar w:fldCharType="begin"/>
        </w:r>
        <w:r w:rsidR="00142D31">
          <w:rPr>
            <w:noProof/>
            <w:webHidden/>
          </w:rPr>
          <w:instrText xml:space="preserve"> PAGEREF _Toc179450217 \h </w:instrText>
        </w:r>
        <w:r w:rsidR="00142D31">
          <w:rPr>
            <w:noProof/>
            <w:webHidden/>
          </w:rPr>
        </w:r>
        <w:r w:rsidR="00142D31">
          <w:rPr>
            <w:noProof/>
            <w:webHidden/>
          </w:rPr>
          <w:fldChar w:fldCharType="separate"/>
        </w:r>
        <w:r w:rsidR="00142D31">
          <w:rPr>
            <w:noProof/>
            <w:webHidden/>
          </w:rPr>
          <w:t>8</w:t>
        </w:r>
        <w:r w:rsidR="00142D31">
          <w:rPr>
            <w:noProof/>
            <w:webHidden/>
          </w:rPr>
          <w:fldChar w:fldCharType="end"/>
        </w:r>
      </w:hyperlink>
    </w:p>
    <w:p w14:paraId="781D3636" w14:textId="71F586A9"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18" w:history="1">
        <w:r w:rsidR="00142D31" w:rsidRPr="008771FD">
          <w:rPr>
            <w:rStyle w:val="Lienhypertexte"/>
            <w:noProof/>
          </w:rPr>
          <w:t>4. Détail des prestations –Modalités d'exécution</w:t>
        </w:r>
        <w:r w:rsidR="00142D31">
          <w:rPr>
            <w:noProof/>
            <w:webHidden/>
          </w:rPr>
          <w:tab/>
        </w:r>
        <w:r w:rsidR="00142D31">
          <w:rPr>
            <w:noProof/>
            <w:webHidden/>
          </w:rPr>
          <w:fldChar w:fldCharType="begin"/>
        </w:r>
        <w:r w:rsidR="00142D31">
          <w:rPr>
            <w:noProof/>
            <w:webHidden/>
          </w:rPr>
          <w:instrText xml:space="preserve"> PAGEREF _Toc179450218 \h </w:instrText>
        </w:r>
        <w:r w:rsidR="00142D31">
          <w:rPr>
            <w:noProof/>
            <w:webHidden/>
          </w:rPr>
        </w:r>
        <w:r w:rsidR="00142D31">
          <w:rPr>
            <w:noProof/>
            <w:webHidden/>
          </w:rPr>
          <w:fldChar w:fldCharType="separate"/>
        </w:r>
        <w:r w:rsidR="00142D31">
          <w:rPr>
            <w:noProof/>
            <w:webHidden/>
          </w:rPr>
          <w:t>8</w:t>
        </w:r>
        <w:r w:rsidR="00142D31">
          <w:rPr>
            <w:noProof/>
            <w:webHidden/>
          </w:rPr>
          <w:fldChar w:fldCharType="end"/>
        </w:r>
      </w:hyperlink>
    </w:p>
    <w:p w14:paraId="13B5BD8A" w14:textId="300AB8A6"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19" w:history="1">
        <w:r w:rsidR="00142D31" w:rsidRPr="008771FD">
          <w:rPr>
            <w:rStyle w:val="Lienhypertexte"/>
            <w:noProof/>
          </w:rPr>
          <w:t>5. Pièces constitutives du marché</w:t>
        </w:r>
        <w:r w:rsidR="00142D31">
          <w:rPr>
            <w:noProof/>
            <w:webHidden/>
          </w:rPr>
          <w:tab/>
        </w:r>
        <w:r w:rsidR="00142D31">
          <w:rPr>
            <w:noProof/>
            <w:webHidden/>
          </w:rPr>
          <w:fldChar w:fldCharType="begin"/>
        </w:r>
        <w:r w:rsidR="00142D31">
          <w:rPr>
            <w:noProof/>
            <w:webHidden/>
          </w:rPr>
          <w:instrText xml:space="preserve"> PAGEREF _Toc179450219 \h </w:instrText>
        </w:r>
        <w:r w:rsidR="00142D31">
          <w:rPr>
            <w:noProof/>
            <w:webHidden/>
          </w:rPr>
        </w:r>
        <w:r w:rsidR="00142D31">
          <w:rPr>
            <w:noProof/>
            <w:webHidden/>
          </w:rPr>
          <w:fldChar w:fldCharType="separate"/>
        </w:r>
        <w:r w:rsidR="00142D31">
          <w:rPr>
            <w:noProof/>
            <w:webHidden/>
          </w:rPr>
          <w:t>9</w:t>
        </w:r>
        <w:r w:rsidR="00142D31">
          <w:rPr>
            <w:noProof/>
            <w:webHidden/>
          </w:rPr>
          <w:fldChar w:fldCharType="end"/>
        </w:r>
      </w:hyperlink>
    </w:p>
    <w:p w14:paraId="3E351DCA" w14:textId="6FDF5399"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20" w:history="1">
        <w:r w:rsidR="00142D31" w:rsidRPr="008771FD">
          <w:rPr>
            <w:rStyle w:val="Lienhypertexte"/>
            <w:noProof/>
          </w:rPr>
          <w:t>6. Forme des notifications et informations au titulaire</w:t>
        </w:r>
        <w:r w:rsidR="00142D31">
          <w:rPr>
            <w:noProof/>
            <w:webHidden/>
          </w:rPr>
          <w:tab/>
        </w:r>
        <w:r w:rsidR="00142D31">
          <w:rPr>
            <w:noProof/>
            <w:webHidden/>
          </w:rPr>
          <w:fldChar w:fldCharType="begin"/>
        </w:r>
        <w:r w:rsidR="00142D31">
          <w:rPr>
            <w:noProof/>
            <w:webHidden/>
          </w:rPr>
          <w:instrText xml:space="preserve"> PAGEREF _Toc179450220 \h </w:instrText>
        </w:r>
        <w:r w:rsidR="00142D31">
          <w:rPr>
            <w:noProof/>
            <w:webHidden/>
          </w:rPr>
        </w:r>
        <w:r w:rsidR="00142D31">
          <w:rPr>
            <w:noProof/>
            <w:webHidden/>
          </w:rPr>
          <w:fldChar w:fldCharType="separate"/>
        </w:r>
        <w:r w:rsidR="00142D31">
          <w:rPr>
            <w:noProof/>
            <w:webHidden/>
          </w:rPr>
          <w:t>10</w:t>
        </w:r>
        <w:r w:rsidR="00142D31">
          <w:rPr>
            <w:noProof/>
            <w:webHidden/>
          </w:rPr>
          <w:fldChar w:fldCharType="end"/>
        </w:r>
      </w:hyperlink>
    </w:p>
    <w:p w14:paraId="16C4B33D" w14:textId="0F74CFDD"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21" w:history="1">
        <w:r w:rsidR="00142D31" w:rsidRPr="008771FD">
          <w:rPr>
            <w:rStyle w:val="Lienhypertexte"/>
            <w:noProof/>
          </w:rPr>
          <w:t>7. Prix – Variation du prix</w:t>
        </w:r>
        <w:r w:rsidR="00142D31">
          <w:rPr>
            <w:noProof/>
            <w:webHidden/>
          </w:rPr>
          <w:tab/>
        </w:r>
        <w:r w:rsidR="00142D31">
          <w:rPr>
            <w:noProof/>
            <w:webHidden/>
          </w:rPr>
          <w:fldChar w:fldCharType="begin"/>
        </w:r>
        <w:r w:rsidR="00142D31">
          <w:rPr>
            <w:noProof/>
            <w:webHidden/>
          </w:rPr>
          <w:instrText xml:space="preserve"> PAGEREF _Toc179450221 \h </w:instrText>
        </w:r>
        <w:r w:rsidR="00142D31">
          <w:rPr>
            <w:noProof/>
            <w:webHidden/>
          </w:rPr>
        </w:r>
        <w:r w:rsidR="00142D31">
          <w:rPr>
            <w:noProof/>
            <w:webHidden/>
          </w:rPr>
          <w:fldChar w:fldCharType="separate"/>
        </w:r>
        <w:r w:rsidR="00142D31">
          <w:rPr>
            <w:noProof/>
            <w:webHidden/>
          </w:rPr>
          <w:t>10</w:t>
        </w:r>
        <w:r w:rsidR="00142D31">
          <w:rPr>
            <w:noProof/>
            <w:webHidden/>
          </w:rPr>
          <w:fldChar w:fldCharType="end"/>
        </w:r>
      </w:hyperlink>
    </w:p>
    <w:p w14:paraId="131CF15F" w14:textId="05AAB54D"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22" w:history="1">
        <w:r w:rsidR="00142D31" w:rsidRPr="008771FD">
          <w:rPr>
            <w:rStyle w:val="Lienhypertexte"/>
            <w:noProof/>
          </w:rPr>
          <w:t>7.1 Mode d’établissement des prix</w:t>
        </w:r>
        <w:r w:rsidR="00142D31">
          <w:rPr>
            <w:noProof/>
            <w:webHidden/>
          </w:rPr>
          <w:tab/>
        </w:r>
        <w:r w:rsidR="00142D31">
          <w:rPr>
            <w:noProof/>
            <w:webHidden/>
          </w:rPr>
          <w:fldChar w:fldCharType="begin"/>
        </w:r>
        <w:r w:rsidR="00142D31">
          <w:rPr>
            <w:noProof/>
            <w:webHidden/>
          </w:rPr>
          <w:instrText xml:space="preserve"> PAGEREF _Toc179450222 \h </w:instrText>
        </w:r>
        <w:r w:rsidR="00142D31">
          <w:rPr>
            <w:noProof/>
            <w:webHidden/>
          </w:rPr>
        </w:r>
        <w:r w:rsidR="00142D31">
          <w:rPr>
            <w:noProof/>
            <w:webHidden/>
          </w:rPr>
          <w:fldChar w:fldCharType="separate"/>
        </w:r>
        <w:r w:rsidR="00142D31">
          <w:rPr>
            <w:noProof/>
            <w:webHidden/>
          </w:rPr>
          <w:t>10</w:t>
        </w:r>
        <w:r w:rsidR="00142D31">
          <w:rPr>
            <w:noProof/>
            <w:webHidden/>
          </w:rPr>
          <w:fldChar w:fldCharType="end"/>
        </w:r>
      </w:hyperlink>
    </w:p>
    <w:p w14:paraId="5864848E" w14:textId="1FDB9CB2"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23" w:history="1">
        <w:r w:rsidR="00142D31" w:rsidRPr="008771FD">
          <w:rPr>
            <w:rStyle w:val="Lienhypertexte"/>
            <w:noProof/>
          </w:rPr>
          <w:t>7.2 Contenu des prix</w:t>
        </w:r>
        <w:r w:rsidR="00142D31">
          <w:rPr>
            <w:noProof/>
            <w:webHidden/>
          </w:rPr>
          <w:tab/>
        </w:r>
        <w:r w:rsidR="00142D31">
          <w:rPr>
            <w:noProof/>
            <w:webHidden/>
          </w:rPr>
          <w:fldChar w:fldCharType="begin"/>
        </w:r>
        <w:r w:rsidR="00142D31">
          <w:rPr>
            <w:noProof/>
            <w:webHidden/>
          </w:rPr>
          <w:instrText xml:space="preserve"> PAGEREF _Toc179450223 \h </w:instrText>
        </w:r>
        <w:r w:rsidR="00142D31">
          <w:rPr>
            <w:noProof/>
            <w:webHidden/>
          </w:rPr>
        </w:r>
        <w:r w:rsidR="00142D31">
          <w:rPr>
            <w:noProof/>
            <w:webHidden/>
          </w:rPr>
          <w:fldChar w:fldCharType="separate"/>
        </w:r>
        <w:r w:rsidR="00142D31">
          <w:rPr>
            <w:noProof/>
            <w:webHidden/>
          </w:rPr>
          <w:t>10</w:t>
        </w:r>
        <w:r w:rsidR="00142D31">
          <w:rPr>
            <w:noProof/>
            <w:webHidden/>
          </w:rPr>
          <w:fldChar w:fldCharType="end"/>
        </w:r>
      </w:hyperlink>
    </w:p>
    <w:p w14:paraId="233E1A86" w14:textId="051E5CDA"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24" w:history="1">
        <w:r w:rsidR="00142D31" w:rsidRPr="008771FD">
          <w:rPr>
            <w:rStyle w:val="Lienhypertexte"/>
            <w:noProof/>
          </w:rPr>
          <w:t>7.3 Forme et variation du prix</w:t>
        </w:r>
        <w:r w:rsidR="00142D31">
          <w:rPr>
            <w:noProof/>
            <w:webHidden/>
          </w:rPr>
          <w:tab/>
        </w:r>
        <w:r w:rsidR="00142D31">
          <w:rPr>
            <w:noProof/>
            <w:webHidden/>
          </w:rPr>
          <w:fldChar w:fldCharType="begin"/>
        </w:r>
        <w:r w:rsidR="00142D31">
          <w:rPr>
            <w:noProof/>
            <w:webHidden/>
          </w:rPr>
          <w:instrText xml:space="preserve"> PAGEREF _Toc179450224 \h </w:instrText>
        </w:r>
        <w:r w:rsidR="00142D31">
          <w:rPr>
            <w:noProof/>
            <w:webHidden/>
          </w:rPr>
        </w:r>
        <w:r w:rsidR="00142D31">
          <w:rPr>
            <w:noProof/>
            <w:webHidden/>
          </w:rPr>
          <w:fldChar w:fldCharType="separate"/>
        </w:r>
        <w:r w:rsidR="00142D31">
          <w:rPr>
            <w:noProof/>
            <w:webHidden/>
          </w:rPr>
          <w:t>10</w:t>
        </w:r>
        <w:r w:rsidR="00142D31">
          <w:rPr>
            <w:noProof/>
            <w:webHidden/>
          </w:rPr>
          <w:fldChar w:fldCharType="end"/>
        </w:r>
      </w:hyperlink>
    </w:p>
    <w:p w14:paraId="208C3F7A" w14:textId="3127EFD5"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25" w:history="1">
        <w:r w:rsidR="00142D31" w:rsidRPr="008771FD">
          <w:rPr>
            <w:rStyle w:val="Lienhypertexte"/>
            <w:noProof/>
          </w:rPr>
          <w:t>8. Règlement des comptes au titulaire</w:t>
        </w:r>
        <w:r w:rsidR="00142D31">
          <w:rPr>
            <w:noProof/>
            <w:webHidden/>
          </w:rPr>
          <w:tab/>
        </w:r>
        <w:r w:rsidR="00142D31">
          <w:rPr>
            <w:noProof/>
            <w:webHidden/>
          </w:rPr>
          <w:fldChar w:fldCharType="begin"/>
        </w:r>
        <w:r w:rsidR="00142D31">
          <w:rPr>
            <w:noProof/>
            <w:webHidden/>
          </w:rPr>
          <w:instrText xml:space="preserve"> PAGEREF _Toc179450225 \h </w:instrText>
        </w:r>
        <w:r w:rsidR="00142D31">
          <w:rPr>
            <w:noProof/>
            <w:webHidden/>
          </w:rPr>
        </w:r>
        <w:r w:rsidR="00142D31">
          <w:rPr>
            <w:noProof/>
            <w:webHidden/>
          </w:rPr>
          <w:fldChar w:fldCharType="separate"/>
        </w:r>
        <w:r w:rsidR="00142D31">
          <w:rPr>
            <w:noProof/>
            <w:webHidden/>
          </w:rPr>
          <w:t>11</w:t>
        </w:r>
        <w:r w:rsidR="00142D31">
          <w:rPr>
            <w:noProof/>
            <w:webHidden/>
          </w:rPr>
          <w:fldChar w:fldCharType="end"/>
        </w:r>
      </w:hyperlink>
    </w:p>
    <w:p w14:paraId="3F6BF905" w14:textId="39F94031"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26" w:history="1">
        <w:r w:rsidR="00142D31" w:rsidRPr="008771FD">
          <w:rPr>
            <w:rStyle w:val="Lienhypertexte"/>
            <w:noProof/>
          </w:rPr>
          <w:t>8.1 Modalités de règlement du prix</w:t>
        </w:r>
        <w:r w:rsidR="00142D31">
          <w:rPr>
            <w:noProof/>
            <w:webHidden/>
          </w:rPr>
          <w:tab/>
        </w:r>
        <w:r w:rsidR="00142D31">
          <w:rPr>
            <w:noProof/>
            <w:webHidden/>
          </w:rPr>
          <w:fldChar w:fldCharType="begin"/>
        </w:r>
        <w:r w:rsidR="00142D31">
          <w:rPr>
            <w:noProof/>
            <w:webHidden/>
          </w:rPr>
          <w:instrText xml:space="preserve"> PAGEREF _Toc179450226 \h </w:instrText>
        </w:r>
        <w:r w:rsidR="00142D31">
          <w:rPr>
            <w:noProof/>
            <w:webHidden/>
          </w:rPr>
        </w:r>
        <w:r w:rsidR="00142D31">
          <w:rPr>
            <w:noProof/>
            <w:webHidden/>
          </w:rPr>
          <w:fldChar w:fldCharType="separate"/>
        </w:r>
        <w:r w:rsidR="00142D31">
          <w:rPr>
            <w:noProof/>
            <w:webHidden/>
          </w:rPr>
          <w:t>11</w:t>
        </w:r>
        <w:r w:rsidR="00142D31">
          <w:rPr>
            <w:noProof/>
            <w:webHidden/>
          </w:rPr>
          <w:fldChar w:fldCharType="end"/>
        </w:r>
      </w:hyperlink>
    </w:p>
    <w:p w14:paraId="2C3D1C85" w14:textId="54AC1699" w:rsidR="00142D31" w:rsidRDefault="00D57EC9">
      <w:pPr>
        <w:pStyle w:val="TM3"/>
        <w:tabs>
          <w:tab w:val="right" w:leader="dot" w:pos="9060"/>
        </w:tabs>
        <w:rPr>
          <w:rFonts w:asciiTheme="minorHAnsi" w:eastAsiaTheme="minorEastAsia" w:hAnsiTheme="minorHAnsi" w:cstheme="minorBidi"/>
          <w:noProof/>
          <w:kern w:val="2"/>
          <w:sz w:val="22"/>
          <w:szCs w:val="22"/>
          <w14:ligatures w14:val="standardContextual"/>
        </w:rPr>
      </w:pPr>
      <w:hyperlink w:anchor="_Toc179450227" w:history="1">
        <w:r w:rsidR="00142D31" w:rsidRPr="008771FD">
          <w:rPr>
            <w:rStyle w:val="Lienhypertexte"/>
            <w:noProof/>
          </w:rPr>
          <w:t>8.1.1 Règlement du prix</w:t>
        </w:r>
        <w:r w:rsidR="00142D31">
          <w:rPr>
            <w:noProof/>
            <w:webHidden/>
          </w:rPr>
          <w:tab/>
        </w:r>
        <w:r w:rsidR="00142D31">
          <w:rPr>
            <w:noProof/>
            <w:webHidden/>
          </w:rPr>
          <w:fldChar w:fldCharType="begin"/>
        </w:r>
        <w:r w:rsidR="00142D31">
          <w:rPr>
            <w:noProof/>
            <w:webHidden/>
          </w:rPr>
          <w:instrText xml:space="preserve"> PAGEREF _Toc179450227 \h </w:instrText>
        </w:r>
        <w:r w:rsidR="00142D31">
          <w:rPr>
            <w:noProof/>
            <w:webHidden/>
          </w:rPr>
        </w:r>
        <w:r w:rsidR="00142D31">
          <w:rPr>
            <w:noProof/>
            <w:webHidden/>
          </w:rPr>
          <w:fldChar w:fldCharType="separate"/>
        </w:r>
        <w:r w:rsidR="00142D31">
          <w:rPr>
            <w:noProof/>
            <w:webHidden/>
          </w:rPr>
          <w:t>11</w:t>
        </w:r>
        <w:r w:rsidR="00142D31">
          <w:rPr>
            <w:noProof/>
            <w:webHidden/>
          </w:rPr>
          <w:fldChar w:fldCharType="end"/>
        </w:r>
      </w:hyperlink>
    </w:p>
    <w:p w14:paraId="3F7BDCC7" w14:textId="4EECAEC3" w:rsidR="00142D31" w:rsidRDefault="00D57EC9">
      <w:pPr>
        <w:pStyle w:val="TM3"/>
        <w:tabs>
          <w:tab w:val="right" w:leader="dot" w:pos="9060"/>
        </w:tabs>
        <w:rPr>
          <w:rFonts w:asciiTheme="minorHAnsi" w:eastAsiaTheme="minorEastAsia" w:hAnsiTheme="minorHAnsi" w:cstheme="minorBidi"/>
          <w:noProof/>
          <w:kern w:val="2"/>
          <w:sz w:val="22"/>
          <w:szCs w:val="22"/>
          <w14:ligatures w14:val="standardContextual"/>
        </w:rPr>
      </w:pPr>
      <w:hyperlink w:anchor="_Toc179450228" w:history="1">
        <w:r w:rsidR="00142D31" w:rsidRPr="008771FD">
          <w:rPr>
            <w:rStyle w:val="Lienhypertexte"/>
            <w:noProof/>
          </w:rPr>
          <w:t>8.1.2 Demandes de paiement</w:t>
        </w:r>
        <w:r w:rsidR="00142D31">
          <w:rPr>
            <w:noProof/>
            <w:webHidden/>
          </w:rPr>
          <w:tab/>
        </w:r>
        <w:r w:rsidR="00142D31">
          <w:rPr>
            <w:noProof/>
            <w:webHidden/>
          </w:rPr>
          <w:fldChar w:fldCharType="begin"/>
        </w:r>
        <w:r w:rsidR="00142D31">
          <w:rPr>
            <w:noProof/>
            <w:webHidden/>
          </w:rPr>
          <w:instrText xml:space="preserve"> PAGEREF _Toc179450228 \h </w:instrText>
        </w:r>
        <w:r w:rsidR="00142D31">
          <w:rPr>
            <w:noProof/>
            <w:webHidden/>
          </w:rPr>
        </w:r>
        <w:r w:rsidR="00142D31">
          <w:rPr>
            <w:noProof/>
            <w:webHidden/>
          </w:rPr>
          <w:fldChar w:fldCharType="separate"/>
        </w:r>
        <w:r w:rsidR="00142D31">
          <w:rPr>
            <w:noProof/>
            <w:webHidden/>
          </w:rPr>
          <w:t>11</w:t>
        </w:r>
        <w:r w:rsidR="00142D31">
          <w:rPr>
            <w:noProof/>
            <w:webHidden/>
          </w:rPr>
          <w:fldChar w:fldCharType="end"/>
        </w:r>
      </w:hyperlink>
    </w:p>
    <w:p w14:paraId="0DD19C8E" w14:textId="5275B2E9" w:rsidR="00142D31" w:rsidRDefault="00D57EC9">
      <w:pPr>
        <w:pStyle w:val="TM3"/>
        <w:tabs>
          <w:tab w:val="right" w:leader="dot" w:pos="9060"/>
        </w:tabs>
        <w:rPr>
          <w:rFonts w:asciiTheme="minorHAnsi" w:eastAsiaTheme="minorEastAsia" w:hAnsiTheme="minorHAnsi" w:cstheme="minorBidi"/>
          <w:noProof/>
          <w:kern w:val="2"/>
          <w:sz w:val="22"/>
          <w:szCs w:val="22"/>
          <w14:ligatures w14:val="standardContextual"/>
        </w:rPr>
      </w:pPr>
      <w:hyperlink w:anchor="_Toc179450229" w:history="1">
        <w:r w:rsidR="00142D31" w:rsidRPr="008771FD">
          <w:rPr>
            <w:rStyle w:val="Lienhypertexte"/>
            <w:noProof/>
          </w:rPr>
          <w:t>8.1.3 Transmission des demandes de paiement</w:t>
        </w:r>
        <w:r w:rsidR="00142D31">
          <w:rPr>
            <w:noProof/>
            <w:webHidden/>
          </w:rPr>
          <w:tab/>
        </w:r>
        <w:r w:rsidR="00142D31">
          <w:rPr>
            <w:noProof/>
            <w:webHidden/>
          </w:rPr>
          <w:fldChar w:fldCharType="begin"/>
        </w:r>
        <w:r w:rsidR="00142D31">
          <w:rPr>
            <w:noProof/>
            <w:webHidden/>
          </w:rPr>
          <w:instrText xml:space="preserve"> PAGEREF _Toc179450229 \h </w:instrText>
        </w:r>
        <w:r w:rsidR="00142D31">
          <w:rPr>
            <w:noProof/>
            <w:webHidden/>
          </w:rPr>
        </w:r>
        <w:r w:rsidR="00142D31">
          <w:rPr>
            <w:noProof/>
            <w:webHidden/>
          </w:rPr>
          <w:fldChar w:fldCharType="separate"/>
        </w:r>
        <w:r w:rsidR="00142D31">
          <w:rPr>
            <w:noProof/>
            <w:webHidden/>
          </w:rPr>
          <w:t>13</w:t>
        </w:r>
        <w:r w:rsidR="00142D31">
          <w:rPr>
            <w:noProof/>
            <w:webHidden/>
          </w:rPr>
          <w:fldChar w:fldCharType="end"/>
        </w:r>
      </w:hyperlink>
    </w:p>
    <w:p w14:paraId="3D6FBA65" w14:textId="0496A050"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0" w:history="1">
        <w:r w:rsidR="00142D31" w:rsidRPr="008771FD">
          <w:rPr>
            <w:rStyle w:val="Lienhypertexte"/>
            <w:noProof/>
          </w:rPr>
          <w:t>8.2 Règlement en cas de groupements économiques</w:t>
        </w:r>
        <w:r w:rsidR="00142D31">
          <w:rPr>
            <w:noProof/>
            <w:webHidden/>
          </w:rPr>
          <w:tab/>
        </w:r>
        <w:r w:rsidR="00142D31">
          <w:rPr>
            <w:noProof/>
            <w:webHidden/>
          </w:rPr>
          <w:fldChar w:fldCharType="begin"/>
        </w:r>
        <w:r w:rsidR="00142D31">
          <w:rPr>
            <w:noProof/>
            <w:webHidden/>
          </w:rPr>
          <w:instrText xml:space="preserve"> PAGEREF _Toc179450230 \h </w:instrText>
        </w:r>
        <w:r w:rsidR="00142D31">
          <w:rPr>
            <w:noProof/>
            <w:webHidden/>
          </w:rPr>
        </w:r>
        <w:r w:rsidR="00142D31">
          <w:rPr>
            <w:noProof/>
            <w:webHidden/>
          </w:rPr>
          <w:fldChar w:fldCharType="separate"/>
        </w:r>
        <w:r w:rsidR="00142D31">
          <w:rPr>
            <w:noProof/>
            <w:webHidden/>
          </w:rPr>
          <w:t>13</w:t>
        </w:r>
        <w:r w:rsidR="00142D31">
          <w:rPr>
            <w:noProof/>
            <w:webHidden/>
          </w:rPr>
          <w:fldChar w:fldCharType="end"/>
        </w:r>
      </w:hyperlink>
    </w:p>
    <w:p w14:paraId="024E811F" w14:textId="61EA9E7B"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1" w:history="1">
        <w:r w:rsidR="00142D31" w:rsidRPr="008771FD">
          <w:rPr>
            <w:rStyle w:val="Lienhypertexte"/>
            <w:noProof/>
          </w:rPr>
          <w:t>8.3 Paiement des sous-traitants</w:t>
        </w:r>
        <w:r w:rsidR="00142D31">
          <w:rPr>
            <w:noProof/>
            <w:webHidden/>
          </w:rPr>
          <w:tab/>
        </w:r>
        <w:r w:rsidR="00142D31">
          <w:rPr>
            <w:noProof/>
            <w:webHidden/>
          </w:rPr>
          <w:fldChar w:fldCharType="begin"/>
        </w:r>
        <w:r w:rsidR="00142D31">
          <w:rPr>
            <w:noProof/>
            <w:webHidden/>
          </w:rPr>
          <w:instrText xml:space="preserve"> PAGEREF _Toc179450231 \h </w:instrText>
        </w:r>
        <w:r w:rsidR="00142D31">
          <w:rPr>
            <w:noProof/>
            <w:webHidden/>
          </w:rPr>
        </w:r>
        <w:r w:rsidR="00142D31">
          <w:rPr>
            <w:noProof/>
            <w:webHidden/>
          </w:rPr>
          <w:fldChar w:fldCharType="separate"/>
        </w:r>
        <w:r w:rsidR="00142D31">
          <w:rPr>
            <w:noProof/>
            <w:webHidden/>
          </w:rPr>
          <w:t>13</w:t>
        </w:r>
        <w:r w:rsidR="00142D31">
          <w:rPr>
            <w:noProof/>
            <w:webHidden/>
          </w:rPr>
          <w:fldChar w:fldCharType="end"/>
        </w:r>
      </w:hyperlink>
    </w:p>
    <w:p w14:paraId="18BC403B" w14:textId="3D17FD60"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2" w:history="1">
        <w:r w:rsidR="00142D31" w:rsidRPr="008771FD">
          <w:rPr>
            <w:rStyle w:val="Lienhypertexte"/>
            <w:noProof/>
          </w:rPr>
          <w:t>8.4 Paiement des cotraitants</w:t>
        </w:r>
        <w:r w:rsidR="00142D31">
          <w:rPr>
            <w:noProof/>
            <w:webHidden/>
          </w:rPr>
          <w:tab/>
        </w:r>
        <w:r w:rsidR="00142D31">
          <w:rPr>
            <w:noProof/>
            <w:webHidden/>
          </w:rPr>
          <w:fldChar w:fldCharType="begin"/>
        </w:r>
        <w:r w:rsidR="00142D31">
          <w:rPr>
            <w:noProof/>
            <w:webHidden/>
          </w:rPr>
          <w:instrText xml:space="preserve"> PAGEREF _Toc179450232 \h </w:instrText>
        </w:r>
        <w:r w:rsidR="00142D31">
          <w:rPr>
            <w:noProof/>
            <w:webHidden/>
          </w:rPr>
        </w:r>
        <w:r w:rsidR="00142D31">
          <w:rPr>
            <w:noProof/>
            <w:webHidden/>
          </w:rPr>
          <w:fldChar w:fldCharType="separate"/>
        </w:r>
        <w:r w:rsidR="00142D31">
          <w:rPr>
            <w:noProof/>
            <w:webHidden/>
          </w:rPr>
          <w:t>13</w:t>
        </w:r>
        <w:r w:rsidR="00142D31">
          <w:rPr>
            <w:noProof/>
            <w:webHidden/>
          </w:rPr>
          <w:fldChar w:fldCharType="end"/>
        </w:r>
      </w:hyperlink>
    </w:p>
    <w:p w14:paraId="08F8D33B" w14:textId="13700E33"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3" w:history="1">
        <w:r w:rsidR="00142D31" w:rsidRPr="008771FD">
          <w:rPr>
            <w:rStyle w:val="Lienhypertexte"/>
            <w:noProof/>
          </w:rPr>
          <w:t>8.5 Délais de paiement</w:t>
        </w:r>
        <w:r w:rsidR="00142D31">
          <w:rPr>
            <w:noProof/>
            <w:webHidden/>
          </w:rPr>
          <w:tab/>
        </w:r>
        <w:r w:rsidR="00142D31">
          <w:rPr>
            <w:noProof/>
            <w:webHidden/>
          </w:rPr>
          <w:fldChar w:fldCharType="begin"/>
        </w:r>
        <w:r w:rsidR="00142D31">
          <w:rPr>
            <w:noProof/>
            <w:webHidden/>
          </w:rPr>
          <w:instrText xml:space="preserve"> PAGEREF _Toc179450233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4CCC46F7" w14:textId="1027915B"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4" w:history="1">
        <w:r w:rsidR="00142D31" w:rsidRPr="008771FD">
          <w:rPr>
            <w:rStyle w:val="Lienhypertexte"/>
            <w:noProof/>
          </w:rPr>
          <w:t>8.6 Intérêts moratoires</w:t>
        </w:r>
        <w:r w:rsidR="00142D31">
          <w:rPr>
            <w:noProof/>
            <w:webHidden/>
          </w:rPr>
          <w:tab/>
        </w:r>
        <w:r w:rsidR="00142D31">
          <w:rPr>
            <w:noProof/>
            <w:webHidden/>
          </w:rPr>
          <w:fldChar w:fldCharType="begin"/>
        </w:r>
        <w:r w:rsidR="00142D31">
          <w:rPr>
            <w:noProof/>
            <w:webHidden/>
          </w:rPr>
          <w:instrText xml:space="preserve"> PAGEREF _Toc179450234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53CB44FA" w14:textId="40BE1ED5"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35" w:history="1">
        <w:r w:rsidR="00142D31" w:rsidRPr="008771FD">
          <w:rPr>
            <w:rStyle w:val="Lienhypertexte"/>
            <w:noProof/>
          </w:rPr>
          <w:t>9. Constatation de l’exécution des prestations</w:t>
        </w:r>
        <w:r w:rsidR="00142D31">
          <w:rPr>
            <w:noProof/>
            <w:webHidden/>
          </w:rPr>
          <w:tab/>
        </w:r>
        <w:r w:rsidR="00142D31">
          <w:rPr>
            <w:noProof/>
            <w:webHidden/>
          </w:rPr>
          <w:fldChar w:fldCharType="begin"/>
        </w:r>
        <w:r w:rsidR="00142D31">
          <w:rPr>
            <w:noProof/>
            <w:webHidden/>
          </w:rPr>
          <w:instrText xml:space="preserve"> PAGEREF _Toc179450235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3821FD18" w14:textId="26D14A88"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6" w:history="1">
        <w:r w:rsidR="00142D31" w:rsidRPr="008771FD">
          <w:rPr>
            <w:rStyle w:val="Lienhypertexte"/>
            <w:noProof/>
          </w:rPr>
          <w:t>9.1 Opérations de vérification et décisions</w:t>
        </w:r>
        <w:r w:rsidR="00142D31">
          <w:rPr>
            <w:noProof/>
            <w:webHidden/>
          </w:rPr>
          <w:tab/>
        </w:r>
        <w:r w:rsidR="00142D31">
          <w:rPr>
            <w:noProof/>
            <w:webHidden/>
          </w:rPr>
          <w:fldChar w:fldCharType="begin"/>
        </w:r>
        <w:r w:rsidR="00142D31">
          <w:rPr>
            <w:noProof/>
            <w:webHidden/>
          </w:rPr>
          <w:instrText xml:space="preserve"> PAGEREF _Toc179450236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0AF74622" w14:textId="706FBAB9"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37" w:history="1">
        <w:r w:rsidR="00142D31" w:rsidRPr="008771FD">
          <w:rPr>
            <w:rStyle w:val="Lienhypertexte"/>
            <w:noProof/>
          </w:rPr>
          <w:t>9.2 Admission, ajournement, réfaction et rejet</w:t>
        </w:r>
        <w:r w:rsidR="00142D31">
          <w:rPr>
            <w:noProof/>
            <w:webHidden/>
          </w:rPr>
          <w:tab/>
        </w:r>
        <w:r w:rsidR="00142D31">
          <w:rPr>
            <w:noProof/>
            <w:webHidden/>
          </w:rPr>
          <w:fldChar w:fldCharType="begin"/>
        </w:r>
        <w:r w:rsidR="00142D31">
          <w:rPr>
            <w:noProof/>
            <w:webHidden/>
          </w:rPr>
          <w:instrText xml:space="preserve"> PAGEREF _Toc179450237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4B4A339C" w14:textId="11145817"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38" w:history="1">
        <w:r w:rsidR="00142D31" w:rsidRPr="008771FD">
          <w:rPr>
            <w:rStyle w:val="Lienhypertexte"/>
            <w:noProof/>
          </w:rPr>
          <w:t>10. Suspension des prestations en cas de circonstances imprévisibles</w:t>
        </w:r>
        <w:r w:rsidR="00142D31">
          <w:rPr>
            <w:noProof/>
            <w:webHidden/>
          </w:rPr>
          <w:tab/>
        </w:r>
        <w:r w:rsidR="00142D31">
          <w:rPr>
            <w:noProof/>
            <w:webHidden/>
          </w:rPr>
          <w:fldChar w:fldCharType="begin"/>
        </w:r>
        <w:r w:rsidR="00142D31">
          <w:rPr>
            <w:noProof/>
            <w:webHidden/>
          </w:rPr>
          <w:instrText xml:space="preserve"> PAGEREF _Toc179450238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78AAB66B" w14:textId="241DE19F"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39" w:history="1">
        <w:r w:rsidR="00142D31" w:rsidRPr="008771FD">
          <w:rPr>
            <w:rStyle w:val="Lienhypertexte"/>
            <w:noProof/>
          </w:rPr>
          <w:t>11. Propriété intellectuelle – Utilisation des résultats</w:t>
        </w:r>
        <w:r w:rsidR="00142D31">
          <w:rPr>
            <w:noProof/>
            <w:webHidden/>
          </w:rPr>
          <w:tab/>
        </w:r>
        <w:r w:rsidR="00142D31">
          <w:rPr>
            <w:noProof/>
            <w:webHidden/>
          </w:rPr>
          <w:fldChar w:fldCharType="begin"/>
        </w:r>
        <w:r w:rsidR="00142D31">
          <w:rPr>
            <w:noProof/>
            <w:webHidden/>
          </w:rPr>
          <w:instrText xml:space="preserve"> PAGEREF _Toc179450239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48252367" w14:textId="451AF421"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40" w:history="1">
        <w:r w:rsidR="00142D31" w:rsidRPr="008771FD">
          <w:rPr>
            <w:rStyle w:val="Lienhypertexte"/>
            <w:noProof/>
          </w:rPr>
          <w:t>11.1 Régime des connaissances antérieures et connaissances antérieures standards</w:t>
        </w:r>
        <w:r w:rsidR="00142D31">
          <w:rPr>
            <w:noProof/>
            <w:webHidden/>
          </w:rPr>
          <w:tab/>
        </w:r>
        <w:r w:rsidR="00142D31">
          <w:rPr>
            <w:noProof/>
            <w:webHidden/>
          </w:rPr>
          <w:fldChar w:fldCharType="begin"/>
        </w:r>
        <w:r w:rsidR="00142D31">
          <w:rPr>
            <w:noProof/>
            <w:webHidden/>
          </w:rPr>
          <w:instrText xml:space="preserve"> PAGEREF _Toc179450240 \h </w:instrText>
        </w:r>
        <w:r w:rsidR="00142D31">
          <w:rPr>
            <w:noProof/>
            <w:webHidden/>
          </w:rPr>
        </w:r>
        <w:r w:rsidR="00142D31">
          <w:rPr>
            <w:noProof/>
            <w:webHidden/>
          </w:rPr>
          <w:fldChar w:fldCharType="separate"/>
        </w:r>
        <w:r w:rsidR="00142D31">
          <w:rPr>
            <w:noProof/>
            <w:webHidden/>
          </w:rPr>
          <w:t>14</w:t>
        </w:r>
        <w:r w:rsidR="00142D31">
          <w:rPr>
            <w:noProof/>
            <w:webHidden/>
          </w:rPr>
          <w:fldChar w:fldCharType="end"/>
        </w:r>
      </w:hyperlink>
    </w:p>
    <w:p w14:paraId="53CBFC0F" w14:textId="52099500"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41" w:history="1">
        <w:r w:rsidR="00142D31" w:rsidRPr="008771FD">
          <w:rPr>
            <w:rStyle w:val="Lienhypertexte"/>
            <w:noProof/>
          </w:rPr>
          <w:t>11.2 Régime des résultats</w:t>
        </w:r>
        <w:r w:rsidR="00142D31">
          <w:rPr>
            <w:noProof/>
            <w:webHidden/>
          </w:rPr>
          <w:tab/>
        </w:r>
        <w:r w:rsidR="00142D31">
          <w:rPr>
            <w:noProof/>
            <w:webHidden/>
          </w:rPr>
          <w:fldChar w:fldCharType="begin"/>
        </w:r>
        <w:r w:rsidR="00142D31">
          <w:rPr>
            <w:noProof/>
            <w:webHidden/>
          </w:rPr>
          <w:instrText xml:space="preserve"> PAGEREF _Toc179450241 \h </w:instrText>
        </w:r>
        <w:r w:rsidR="00142D31">
          <w:rPr>
            <w:noProof/>
            <w:webHidden/>
          </w:rPr>
        </w:r>
        <w:r w:rsidR="00142D31">
          <w:rPr>
            <w:noProof/>
            <w:webHidden/>
          </w:rPr>
          <w:fldChar w:fldCharType="separate"/>
        </w:r>
        <w:r w:rsidR="00142D31">
          <w:rPr>
            <w:noProof/>
            <w:webHidden/>
          </w:rPr>
          <w:t>15</w:t>
        </w:r>
        <w:r w:rsidR="00142D31">
          <w:rPr>
            <w:noProof/>
            <w:webHidden/>
          </w:rPr>
          <w:fldChar w:fldCharType="end"/>
        </w:r>
      </w:hyperlink>
    </w:p>
    <w:p w14:paraId="5391BCE4" w14:textId="3942AF01"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2" w:history="1">
        <w:r w:rsidR="00142D31" w:rsidRPr="008771FD">
          <w:rPr>
            <w:rStyle w:val="Lienhypertexte"/>
            <w:noProof/>
          </w:rPr>
          <w:t>12. Pénalités</w:t>
        </w:r>
        <w:r w:rsidR="00142D31">
          <w:rPr>
            <w:noProof/>
            <w:webHidden/>
          </w:rPr>
          <w:tab/>
        </w:r>
        <w:r w:rsidR="00142D31">
          <w:rPr>
            <w:noProof/>
            <w:webHidden/>
          </w:rPr>
          <w:fldChar w:fldCharType="begin"/>
        </w:r>
        <w:r w:rsidR="00142D31">
          <w:rPr>
            <w:noProof/>
            <w:webHidden/>
          </w:rPr>
          <w:instrText xml:space="preserve"> PAGEREF _Toc179450242 \h </w:instrText>
        </w:r>
        <w:r w:rsidR="00142D31">
          <w:rPr>
            <w:noProof/>
            <w:webHidden/>
          </w:rPr>
        </w:r>
        <w:r w:rsidR="00142D31">
          <w:rPr>
            <w:noProof/>
            <w:webHidden/>
          </w:rPr>
          <w:fldChar w:fldCharType="separate"/>
        </w:r>
        <w:r w:rsidR="00142D31">
          <w:rPr>
            <w:noProof/>
            <w:webHidden/>
          </w:rPr>
          <w:t>15</w:t>
        </w:r>
        <w:r w:rsidR="00142D31">
          <w:rPr>
            <w:noProof/>
            <w:webHidden/>
          </w:rPr>
          <w:fldChar w:fldCharType="end"/>
        </w:r>
      </w:hyperlink>
    </w:p>
    <w:p w14:paraId="190850D2" w14:textId="1DFBE96C"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43" w:history="1">
        <w:r w:rsidR="00142D31" w:rsidRPr="008771FD">
          <w:rPr>
            <w:rStyle w:val="Lienhypertexte"/>
            <w:noProof/>
          </w:rPr>
          <w:t>12.1 Pénalités pour retard</w:t>
        </w:r>
        <w:r w:rsidR="00142D31">
          <w:rPr>
            <w:noProof/>
            <w:webHidden/>
          </w:rPr>
          <w:tab/>
        </w:r>
        <w:r w:rsidR="00142D31">
          <w:rPr>
            <w:noProof/>
            <w:webHidden/>
          </w:rPr>
          <w:fldChar w:fldCharType="begin"/>
        </w:r>
        <w:r w:rsidR="00142D31">
          <w:rPr>
            <w:noProof/>
            <w:webHidden/>
          </w:rPr>
          <w:instrText xml:space="preserve"> PAGEREF _Toc179450243 \h </w:instrText>
        </w:r>
        <w:r w:rsidR="00142D31">
          <w:rPr>
            <w:noProof/>
            <w:webHidden/>
          </w:rPr>
        </w:r>
        <w:r w:rsidR="00142D31">
          <w:rPr>
            <w:noProof/>
            <w:webHidden/>
          </w:rPr>
          <w:fldChar w:fldCharType="separate"/>
        </w:r>
        <w:r w:rsidR="00142D31">
          <w:rPr>
            <w:noProof/>
            <w:webHidden/>
          </w:rPr>
          <w:t>15</w:t>
        </w:r>
        <w:r w:rsidR="00142D31">
          <w:rPr>
            <w:noProof/>
            <w:webHidden/>
          </w:rPr>
          <w:fldChar w:fldCharType="end"/>
        </w:r>
      </w:hyperlink>
    </w:p>
    <w:p w14:paraId="6F114188" w14:textId="0B4438B5"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4" w:history="1">
        <w:r w:rsidR="00142D31" w:rsidRPr="008771FD">
          <w:rPr>
            <w:rStyle w:val="Lienhypertexte"/>
            <w:noProof/>
          </w:rPr>
          <w:t>13. Garanties</w:t>
        </w:r>
        <w:r w:rsidR="00142D31">
          <w:rPr>
            <w:noProof/>
            <w:webHidden/>
          </w:rPr>
          <w:tab/>
        </w:r>
        <w:r w:rsidR="00142D31">
          <w:rPr>
            <w:noProof/>
            <w:webHidden/>
          </w:rPr>
          <w:fldChar w:fldCharType="begin"/>
        </w:r>
        <w:r w:rsidR="00142D31">
          <w:rPr>
            <w:noProof/>
            <w:webHidden/>
          </w:rPr>
          <w:instrText xml:space="preserve"> PAGEREF _Toc179450244 \h </w:instrText>
        </w:r>
        <w:r w:rsidR="00142D31">
          <w:rPr>
            <w:noProof/>
            <w:webHidden/>
          </w:rPr>
        </w:r>
        <w:r w:rsidR="00142D31">
          <w:rPr>
            <w:noProof/>
            <w:webHidden/>
          </w:rPr>
          <w:fldChar w:fldCharType="separate"/>
        </w:r>
        <w:r w:rsidR="00142D31">
          <w:rPr>
            <w:noProof/>
            <w:webHidden/>
          </w:rPr>
          <w:t>16</w:t>
        </w:r>
        <w:r w:rsidR="00142D31">
          <w:rPr>
            <w:noProof/>
            <w:webHidden/>
          </w:rPr>
          <w:fldChar w:fldCharType="end"/>
        </w:r>
      </w:hyperlink>
    </w:p>
    <w:p w14:paraId="040BF5EC" w14:textId="690F1FC4"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5" w:history="1">
        <w:r w:rsidR="00142D31" w:rsidRPr="008771FD">
          <w:rPr>
            <w:rStyle w:val="Lienhypertexte"/>
            <w:noProof/>
          </w:rPr>
          <w:t>14. Assurances</w:t>
        </w:r>
        <w:r w:rsidR="00142D31">
          <w:rPr>
            <w:noProof/>
            <w:webHidden/>
          </w:rPr>
          <w:tab/>
        </w:r>
        <w:r w:rsidR="00142D31">
          <w:rPr>
            <w:noProof/>
            <w:webHidden/>
          </w:rPr>
          <w:fldChar w:fldCharType="begin"/>
        </w:r>
        <w:r w:rsidR="00142D31">
          <w:rPr>
            <w:noProof/>
            <w:webHidden/>
          </w:rPr>
          <w:instrText xml:space="preserve"> PAGEREF _Toc179450245 \h </w:instrText>
        </w:r>
        <w:r w:rsidR="00142D31">
          <w:rPr>
            <w:noProof/>
            <w:webHidden/>
          </w:rPr>
        </w:r>
        <w:r w:rsidR="00142D31">
          <w:rPr>
            <w:noProof/>
            <w:webHidden/>
          </w:rPr>
          <w:fldChar w:fldCharType="separate"/>
        </w:r>
        <w:r w:rsidR="00142D31">
          <w:rPr>
            <w:noProof/>
            <w:webHidden/>
          </w:rPr>
          <w:t>16</w:t>
        </w:r>
        <w:r w:rsidR="00142D31">
          <w:rPr>
            <w:noProof/>
            <w:webHidden/>
          </w:rPr>
          <w:fldChar w:fldCharType="end"/>
        </w:r>
      </w:hyperlink>
    </w:p>
    <w:p w14:paraId="59E6076B" w14:textId="5AE88849"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6" w:history="1">
        <w:r w:rsidR="00142D31" w:rsidRPr="008771FD">
          <w:rPr>
            <w:rStyle w:val="Lienhypertexte"/>
            <w:noProof/>
          </w:rPr>
          <w:t>15. Différends</w:t>
        </w:r>
        <w:r w:rsidR="00142D31">
          <w:rPr>
            <w:noProof/>
            <w:webHidden/>
          </w:rPr>
          <w:tab/>
        </w:r>
        <w:r w:rsidR="00142D31">
          <w:rPr>
            <w:noProof/>
            <w:webHidden/>
          </w:rPr>
          <w:fldChar w:fldCharType="begin"/>
        </w:r>
        <w:r w:rsidR="00142D31">
          <w:rPr>
            <w:noProof/>
            <w:webHidden/>
          </w:rPr>
          <w:instrText xml:space="preserve"> PAGEREF _Toc179450246 \h </w:instrText>
        </w:r>
        <w:r w:rsidR="00142D31">
          <w:rPr>
            <w:noProof/>
            <w:webHidden/>
          </w:rPr>
        </w:r>
        <w:r w:rsidR="00142D31">
          <w:rPr>
            <w:noProof/>
            <w:webHidden/>
          </w:rPr>
          <w:fldChar w:fldCharType="separate"/>
        </w:r>
        <w:r w:rsidR="00142D31">
          <w:rPr>
            <w:noProof/>
            <w:webHidden/>
          </w:rPr>
          <w:t>16</w:t>
        </w:r>
        <w:r w:rsidR="00142D31">
          <w:rPr>
            <w:noProof/>
            <w:webHidden/>
          </w:rPr>
          <w:fldChar w:fldCharType="end"/>
        </w:r>
      </w:hyperlink>
    </w:p>
    <w:p w14:paraId="68B785E9" w14:textId="4182ACE8"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7" w:history="1">
        <w:r w:rsidR="00142D31" w:rsidRPr="008771FD">
          <w:rPr>
            <w:rStyle w:val="Lienhypertexte"/>
            <w:noProof/>
          </w:rPr>
          <w:t>16. Dispositions en cas d’intervenants étrangers</w:t>
        </w:r>
        <w:r w:rsidR="00142D31">
          <w:rPr>
            <w:noProof/>
            <w:webHidden/>
          </w:rPr>
          <w:tab/>
        </w:r>
        <w:r w:rsidR="00142D31">
          <w:rPr>
            <w:noProof/>
            <w:webHidden/>
          </w:rPr>
          <w:fldChar w:fldCharType="begin"/>
        </w:r>
        <w:r w:rsidR="00142D31">
          <w:rPr>
            <w:noProof/>
            <w:webHidden/>
          </w:rPr>
          <w:instrText xml:space="preserve"> PAGEREF _Toc179450247 \h </w:instrText>
        </w:r>
        <w:r w:rsidR="00142D31">
          <w:rPr>
            <w:noProof/>
            <w:webHidden/>
          </w:rPr>
        </w:r>
        <w:r w:rsidR="00142D31">
          <w:rPr>
            <w:noProof/>
            <w:webHidden/>
          </w:rPr>
          <w:fldChar w:fldCharType="separate"/>
        </w:r>
        <w:r w:rsidR="00142D31">
          <w:rPr>
            <w:noProof/>
            <w:webHidden/>
          </w:rPr>
          <w:t>16</w:t>
        </w:r>
        <w:r w:rsidR="00142D31">
          <w:rPr>
            <w:noProof/>
            <w:webHidden/>
          </w:rPr>
          <w:fldChar w:fldCharType="end"/>
        </w:r>
      </w:hyperlink>
    </w:p>
    <w:p w14:paraId="63992704" w14:textId="72EC060F"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8" w:history="1">
        <w:r w:rsidR="00142D31" w:rsidRPr="008771FD">
          <w:rPr>
            <w:rStyle w:val="Lienhypertexte"/>
            <w:noProof/>
          </w:rPr>
          <w:t>17. Obligations du titulaire relatives à la main d’œuvre et aux conditions de travail</w:t>
        </w:r>
        <w:r w:rsidR="00142D31">
          <w:rPr>
            <w:noProof/>
            <w:webHidden/>
          </w:rPr>
          <w:tab/>
        </w:r>
        <w:r w:rsidR="00142D31">
          <w:rPr>
            <w:noProof/>
            <w:webHidden/>
          </w:rPr>
          <w:fldChar w:fldCharType="begin"/>
        </w:r>
        <w:r w:rsidR="00142D31">
          <w:rPr>
            <w:noProof/>
            <w:webHidden/>
          </w:rPr>
          <w:instrText xml:space="preserve"> PAGEREF _Toc179450248 \h </w:instrText>
        </w:r>
        <w:r w:rsidR="00142D31">
          <w:rPr>
            <w:noProof/>
            <w:webHidden/>
          </w:rPr>
        </w:r>
        <w:r w:rsidR="00142D31">
          <w:rPr>
            <w:noProof/>
            <w:webHidden/>
          </w:rPr>
          <w:fldChar w:fldCharType="separate"/>
        </w:r>
        <w:r w:rsidR="00142D31">
          <w:rPr>
            <w:noProof/>
            <w:webHidden/>
          </w:rPr>
          <w:t>17</w:t>
        </w:r>
        <w:r w:rsidR="00142D31">
          <w:rPr>
            <w:noProof/>
            <w:webHidden/>
          </w:rPr>
          <w:fldChar w:fldCharType="end"/>
        </w:r>
      </w:hyperlink>
    </w:p>
    <w:p w14:paraId="057AA976" w14:textId="111A6E1F"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49" w:history="1">
        <w:r w:rsidR="00142D31" w:rsidRPr="008771FD">
          <w:rPr>
            <w:rStyle w:val="Lienhypertexte"/>
            <w:noProof/>
          </w:rPr>
          <w:t>18. Résiliation du marché</w:t>
        </w:r>
        <w:r w:rsidR="00142D31">
          <w:rPr>
            <w:noProof/>
            <w:webHidden/>
          </w:rPr>
          <w:tab/>
        </w:r>
        <w:r w:rsidR="00142D31">
          <w:rPr>
            <w:noProof/>
            <w:webHidden/>
          </w:rPr>
          <w:fldChar w:fldCharType="begin"/>
        </w:r>
        <w:r w:rsidR="00142D31">
          <w:rPr>
            <w:noProof/>
            <w:webHidden/>
          </w:rPr>
          <w:instrText xml:space="preserve"> PAGEREF _Toc179450249 \h </w:instrText>
        </w:r>
        <w:r w:rsidR="00142D31">
          <w:rPr>
            <w:noProof/>
            <w:webHidden/>
          </w:rPr>
        </w:r>
        <w:r w:rsidR="00142D31">
          <w:rPr>
            <w:noProof/>
            <w:webHidden/>
          </w:rPr>
          <w:fldChar w:fldCharType="separate"/>
        </w:r>
        <w:r w:rsidR="00142D31">
          <w:rPr>
            <w:noProof/>
            <w:webHidden/>
          </w:rPr>
          <w:t>17</w:t>
        </w:r>
        <w:r w:rsidR="00142D31">
          <w:rPr>
            <w:noProof/>
            <w:webHidden/>
          </w:rPr>
          <w:fldChar w:fldCharType="end"/>
        </w:r>
      </w:hyperlink>
    </w:p>
    <w:p w14:paraId="4DC3C1A6" w14:textId="70AC227B"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50" w:history="1">
        <w:r w:rsidR="00142D31" w:rsidRPr="008771FD">
          <w:rPr>
            <w:rStyle w:val="Lienhypertexte"/>
            <w:noProof/>
          </w:rPr>
          <w:t>18.1 Résiliation pour faute</w:t>
        </w:r>
        <w:r w:rsidR="00142D31">
          <w:rPr>
            <w:noProof/>
            <w:webHidden/>
          </w:rPr>
          <w:tab/>
        </w:r>
        <w:r w:rsidR="00142D31">
          <w:rPr>
            <w:noProof/>
            <w:webHidden/>
          </w:rPr>
          <w:fldChar w:fldCharType="begin"/>
        </w:r>
        <w:r w:rsidR="00142D31">
          <w:rPr>
            <w:noProof/>
            <w:webHidden/>
          </w:rPr>
          <w:instrText xml:space="preserve"> PAGEREF _Toc179450250 \h </w:instrText>
        </w:r>
        <w:r w:rsidR="00142D31">
          <w:rPr>
            <w:noProof/>
            <w:webHidden/>
          </w:rPr>
        </w:r>
        <w:r w:rsidR="00142D31">
          <w:rPr>
            <w:noProof/>
            <w:webHidden/>
          </w:rPr>
          <w:fldChar w:fldCharType="separate"/>
        </w:r>
        <w:r w:rsidR="00142D31">
          <w:rPr>
            <w:noProof/>
            <w:webHidden/>
          </w:rPr>
          <w:t>17</w:t>
        </w:r>
        <w:r w:rsidR="00142D31">
          <w:rPr>
            <w:noProof/>
            <w:webHidden/>
          </w:rPr>
          <w:fldChar w:fldCharType="end"/>
        </w:r>
      </w:hyperlink>
    </w:p>
    <w:p w14:paraId="69E8D678" w14:textId="7E186BE1"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51" w:history="1">
        <w:r w:rsidR="00142D31" w:rsidRPr="008771FD">
          <w:rPr>
            <w:rStyle w:val="Lienhypertexte"/>
            <w:noProof/>
          </w:rPr>
          <w:t>18.2 Résiliation pour motif d’intérêt général</w:t>
        </w:r>
        <w:r w:rsidR="00142D31">
          <w:rPr>
            <w:noProof/>
            <w:webHidden/>
          </w:rPr>
          <w:tab/>
        </w:r>
        <w:r w:rsidR="00142D31">
          <w:rPr>
            <w:noProof/>
            <w:webHidden/>
          </w:rPr>
          <w:fldChar w:fldCharType="begin"/>
        </w:r>
        <w:r w:rsidR="00142D31">
          <w:rPr>
            <w:noProof/>
            <w:webHidden/>
          </w:rPr>
          <w:instrText xml:space="preserve"> PAGEREF _Toc179450251 \h </w:instrText>
        </w:r>
        <w:r w:rsidR="00142D31">
          <w:rPr>
            <w:noProof/>
            <w:webHidden/>
          </w:rPr>
        </w:r>
        <w:r w:rsidR="00142D31">
          <w:rPr>
            <w:noProof/>
            <w:webHidden/>
          </w:rPr>
          <w:fldChar w:fldCharType="separate"/>
        </w:r>
        <w:r w:rsidR="00142D31">
          <w:rPr>
            <w:noProof/>
            <w:webHidden/>
          </w:rPr>
          <w:t>17</w:t>
        </w:r>
        <w:r w:rsidR="00142D31">
          <w:rPr>
            <w:noProof/>
            <w:webHidden/>
          </w:rPr>
          <w:fldChar w:fldCharType="end"/>
        </w:r>
      </w:hyperlink>
    </w:p>
    <w:p w14:paraId="24789947" w14:textId="46D79E2E"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52" w:history="1">
        <w:r w:rsidR="00142D31" w:rsidRPr="008771FD">
          <w:rPr>
            <w:rStyle w:val="Lienhypertexte"/>
            <w:noProof/>
          </w:rPr>
          <w:t>19. Dérogations aux documents généraux</w:t>
        </w:r>
        <w:r w:rsidR="00142D31">
          <w:rPr>
            <w:noProof/>
            <w:webHidden/>
          </w:rPr>
          <w:tab/>
        </w:r>
        <w:r w:rsidR="00142D31">
          <w:rPr>
            <w:noProof/>
            <w:webHidden/>
          </w:rPr>
          <w:fldChar w:fldCharType="begin"/>
        </w:r>
        <w:r w:rsidR="00142D31">
          <w:rPr>
            <w:noProof/>
            <w:webHidden/>
          </w:rPr>
          <w:instrText xml:space="preserve"> PAGEREF _Toc179450252 \h </w:instrText>
        </w:r>
        <w:r w:rsidR="00142D31">
          <w:rPr>
            <w:noProof/>
            <w:webHidden/>
          </w:rPr>
        </w:r>
        <w:r w:rsidR="00142D31">
          <w:rPr>
            <w:noProof/>
            <w:webHidden/>
          </w:rPr>
          <w:fldChar w:fldCharType="separate"/>
        </w:r>
        <w:r w:rsidR="00142D31">
          <w:rPr>
            <w:noProof/>
            <w:webHidden/>
          </w:rPr>
          <w:t>17</w:t>
        </w:r>
        <w:r w:rsidR="00142D31">
          <w:rPr>
            <w:noProof/>
            <w:webHidden/>
          </w:rPr>
          <w:fldChar w:fldCharType="end"/>
        </w:r>
      </w:hyperlink>
    </w:p>
    <w:p w14:paraId="419D10E9" w14:textId="74F3D1A2" w:rsidR="00142D31" w:rsidRDefault="00D57EC9">
      <w:pPr>
        <w:pStyle w:val="TM1"/>
        <w:tabs>
          <w:tab w:val="right" w:leader="dot" w:pos="9060"/>
        </w:tabs>
        <w:rPr>
          <w:rFonts w:asciiTheme="minorHAnsi" w:eastAsiaTheme="minorEastAsia" w:hAnsiTheme="minorHAnsi" w:cstheme="minorBidi"/>
          <w:b w:val="0"/>
          <w:noProof/>
          <w:kern w:val="2"/>
          <w:sz w:val="22"/>
          <w:szCs w:val="22"/>
          <w14:ligatures w14:val="standardContextual"/>
        </w:rPr>
      </w:pPr>
      <w:hyperlink w:anchor="_Toc179450253" w:history="1">
        <w:r w:rsidR="00142D31" w:rsidRPr="008771FD">
          <w:rPr>
            <w:rStyle w:val="Lienhypertexte"/>
            <w:noProof/>
          </w:rPr>
          <w:t>20. Engagement du/des contractant(s)</w:t>
        </w:r>
        <w:r w:rsidR="00142D31">
          <w:rPr>
            <w:noProof/>
            <w:webHidden/>
          </w:rPr>
          <w:tab/>
        </w:r>
        <w:r w:rsidR="00142D31">
          <w:rPr>
            <w:noProof/>
            <w:webHidden/>
          </w:rPr>
          <w:fldChar w:fldCharType="begin"/>
        </w:r>
        <w:r w:rsidR="00142D31">
          <w:rPr>
            <w:noProof/>
            <w:webHidden/>
          </w:rPr>
          <w:instrText xml:space="preserve"> PAGEREF _Toc179450253 \h </w:instrText>
        </w:r>
        <w:r w:rsidR="00142D31">
          <w:rPr>
            <w:noProof/>
            <w:webHidden/>
          </w:rPr>
        </w:r>
        <w:r w:rsidR="00142D31">
          <w:rPr>
            <w:noProof/>
            <w:webHidden/>
          </w:rPr>
          <w:fldChar w:fldCharType="separate"/>
        </w:r>
        <w:r w:rsidR="00142D31">
          <w:rPr>
            <w:noProof/>
            <w:webHidden/>
          </w:rPr>
          <w:t>18</w:t>
        </w:r>
        <w:r w:rsidR="00142D31">
          <w:rPr>
            <w:noProof/>
            <w:webHidden/>
          </w:rPr>
          <w:fldChar w:fldCharType="end"/>
        </w:r>
      </w:hyperlink>
    </w:p>
    <w:p w14:paraId="419E8580" w14:textId="52869222"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54" w:history="1">
        <w:r w:rsidR="00142D31" w:rsidRPr="008771FD">
          <w:rPr>
            <w:rStyle w:val="Lienhypertexte"/>
            <w:noProof/>
          </w:rPr>
          <w:t>20.1 Identification et engagement du titulaire ou du groupement titulaire</w:t>
        </w:r>
        <w:r w:rsidR="00142D31">
          <w:rPr>
            <w:noProof/>
            <w:webHidden/>
          </w:rPr>
          <w:tab/>
        </w:r>
        <w:r w:rsidR="00142D31">
          <w:rPr>
            <w:noProof/>
            <w:webHidden/>
          </w:rPr>
          <w:fldChar w:fldCharType="begin"/>
        </w:r>
        <w:r w:rsidR="00142D31">
          <w:rPr>
            <w:noProof/>
            <w:webHidden/>
          </w:rPr>
          <w:instrText xml:space="preserve"> PAGEREF _Toc179450254 \h </w:instrText>
        </w:r>
        <w:r w:rsidR="00142D31">
          <w:rPr>
            <w:noProof/>
            <w:webHidden/>
          </w:rPr>
        </w:r>
        <w:r w:rsidR="00142D31">
          <w:rPr>
            <w:noProof/>
            <w:webHidden/>
          </w:rPr>
          <w:fldChar w:fldCharType="separate"/>
        </w:r>
        <w:r w:rsidR="00142D31">
          <w:rPr>
            <w:noProof/>
            <w:webHidden/>
          </w:rPr>
          <w:t>18</w:t>
        </w:r>
        <w:r w:rsidR="00142D31">
          <w:rPr>
            <w:noProof/>
            <w:webHidden/>
          </w:rPr>
          <w:fldChar w:fldCharType="end"/>
        </w:r>
      </w:hyperlink>
    </w:p>
    <w:p w14:paraId="79744495" w14:textId="7EBDB0A3"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55" w:history="1">
        <w:r w:rsidR="00142D31" w:rsidRPr="008771FD">
          <w:rPr>
            <w:rStyle w:val="Lienhypertexte"/>
            <w:noProof/>
          </w:rPr>
          <w:t>20.2 Nature du groupement et, en cas de groupement conjoint, répartition des prestations :</w:t>
        </w:r>
        <w:r w:rsidR="00142D31">
          <w:rPr>
            <w:noProof/>
            <w:webHidden/>
          </w:rPr>
          <w:tab/>
        </w:r>
        <w:r w:rsidR="00142D31">
          <w:rPr>
            <w:noProof/>
            <w:webHidden/>
          </w:rPr>
          <w:fldChar w:fldCharType="begin"/>
        </w:r>
        <w:r w:rsidR="00142D31">
          <w:rPr>
            <w:noProof/>
            <w:webHidden/>
          </w:rPr>
          <w:instrText xml:space="preserve"> PAGEREF _Toc179450255 \h </w:instrText>
        </w:r>
        <w:r w:rsidR="00142D31">
          <w:rPr>
            <w:noProof/>
            <w:webHidden/>
          </w:rPr>
        </w:r>
        <w:r w:rsidR="00142D31">
          <w:rPr>
            <w:noProof/>
            <w:webHidden/>
          </w:rPr>
          <w:fldChar w:fldCharType="separate"/>
        </w:r>
        <w:r w:rsidR="00142D31">
          <w:rPr>
            <w:noProof/>
            <w:webHidden/>
          </w:rPr>
          <w:t>19</w:t>
        </w:r>
        <w:r w:rsidR="00142D31">
          <w:rPr>
            <w:noProof/>
            <w:webHidden/>
          </w:rPr>
          <w:fldChar w:fldCharType="end"/>
        </w:r>
      </w:hyperlink>
    </w:p>
    <w:p w14:paraId="7C77F419" w14:textId="6CC4F4FA" w:rsidR="00142D31" w:rsidRDefault="00D57EC9">
      <w:pPr>
        <w:pStyle w:val="TM2"/>
        <w:rPr>
          <w:rFonts w:asciiTheme="minorHAnsi" w:eastAsiaTheme="minorEastAsia" w:hAnsiTheme="minorHAnsi" w:cstheme="minorBidi"/>
          <w:noProof/>
          <w:kern w:val="2"/>
          <w:sz w:val="22"/>
          <w:szCs w:val="22"/>
          <w14:ligatures w14:val="standardContextual"/>
        </w:rPr>
      </w:pPr>
      <w:hyperlink w:anchor="_Toc179450256" w:history="1">
        <w:r w:rsidR="00142D31" w:rsidRPr="008771FD">
          <w:rPr>
            <w:rStyle w:val="Lienhypertexte"/>
            <w:noProof/>
          </w:rPr>
          <w:t>20.3 Compte(s) à créditer</w:t>
        </w:r>
        <w:r w:rsidR="00142D31">
          <w:rPr>
            <w:noProof/>
            <w:webHidden/>
          </w:rPr>
          <w:tab/>
        </w:r>
        <w:r w:rsidR="00142D31">
          <w:rPr>
            <w:noProof/>
            <w:webHidden/>
          </w:rPr>
          <w:fldChar w:fldCharType="begin"/>
        </w:r>
        <w:r w:rsidR="00142D31">
          <w:rPr>
            <w:noProof/>
            <w:webHidden/>
          </w:rPr>
          <w:instrText xml:space="preserve"> PAGEREF _Toc179450256 \h </w:instrText>
        </w:r>
        <w:r w:rsidR="00142D31">
          <w:rPr>
            <w:noProof/>
            <w:webHidden/>
          </w:rPr>
        </w:r>
        <w:r w:rsidR="00142D31">
          <w:rPr>
            <w:noProof/>
            <w:webHidden/>
          </w:rPr>
          <w:fldChar w:fldCharType="separate"/>
        </w:r>
        <w:r w:rsidR="00142D31">
          <w:rPr>
            <w:noProof/>
            <w:webHidden/>
          </w:rPr>
          <w:t>20</w:t>
        </w:r>
        <w:r w:rsidR="00142D31">
          <w:rPr>
            <w:noProof/>
            <w:webHidden/>
          </w:rPr>
          <w:fldChar w:fldCharType="end"/>
        </w:r>
      </w:hyperlink>
    </w:p>
    <w:p w14:paraId="39986C37" w14:textId="2C108D47" w:rsidR="008F4620" w:rsidRDefault="00391ABD">
      <w:pPr>
        <w:pStyle w:val="LO-Normal"/>
      </w:pPr>
      <w:r>
        <w:rPr>
          <w:rFonts w:ascii="Century Gothic" w:hAnsi="Century Gothic"/>
          <w:sz w:val="20"/>
        </w:rPr>
        <w:fldChar w:fldCharType="end"/>
      </w:r>
    </w:p>
    <w:p w14:paraId="32114B4D" w14:textId="77777777" w:rsidR="008F4620" w:rsidRPr="00177190" w:rsidRDefault="008F4620">
      <w:pPr>
        <w:pStyle w:val="RedaliaNormal"/>
        <w:pageBreakBefore/>
        <w:rPr>
          <w:sz w:val="10"/>
          <w:szCs w:val="8"/>
        </w:rPr>
      </w:pPr>
    </w:p>
    <w:p w14:paraId="5C828656" w14:textId="77777777" w:rsidR="008F4620" w:rsidRPr="00063831" w:rsidRDefault="00193ACD" w:rsidP="00EB2CAB">
      <w:pPr>
        <w:pStyle w:val="CCP-Titre1"/>
      </w:pPr>
      <w:bookmarkStart w:id="0" w:name="_Toc158819780"/>
      <w:bookmarkStart w:id="1" w:name="_Toc179450200"/>
      <w:r w:rsidRPr="00063831">
        <w:t>Préambule</w:t>
      </w:r>
      <w:bookmarkEnd w:id="0"/>
      <w:bookmarkEnd w:id="1"/>
    </w:p>
    <w:p w14:paraId="16688862" w14:textId="77777777" w:rsidR="008F4620" w:rsidRDefault="00193ACD">
      <w:pPr>
        <w:pStyle w:val="RedaliaNormal"/>
      </w:pPr>
      <w:r>
        <w:t>1. Le pouvoir adjudicateur est représenté par le Directeur Général de l’Agence de l’eau Rhin-Meuse, ou son représentant.</w:t>
      </w:r>
    </w:p>
    <w:p w14:paraId="4344C3BC" w14:textId="77777777" w:rsidR="008F4620" w:rsidRDefault="008F4620">
      <w:pPr>
        <w:pStyle w:val="RedaliaNormal"/>
      </w:pPr>
    </w:p>
    <w:p w14:paraId="4015DC9D" w14:textId="77777777" w:rsidR="008F4620" w:rsidRDefault="00193ACD">
      <w:pPr>
        <w:pStyle w:val="RedaliaNormal"/>
      </w:pPr>
      <w:r>
        <w:t>2. Dès la notification, le titulaire désigne une ou plusieurs personnes physiques habilitées à le représenter.</w:t>
      </w:r>
    </w:p>
    <w:p w14:paraId="21BD3A4B" w14:textId="00F07558" w:rsidR="008F4620" w:rsidRDefault="00193ACD" w:rsidP="00EB2CAB">
      <w:pPr>
        <w:pStyle w:val="CCP-Titre1"/>
      </w:pPr>
      <w:bookmarkStart w:id="2" w:name="_Toc2394424"/>
      <w:bookmarkStart w:id="3" w:name="_Toc68255362"/>
      <w:bookmarkStart w:id="4" w:name="_Toc158819781"/>
      <w:bookmarkStart w:id="5" w:name="_Toc179450201"/>
      <w:r>
        <w:t>Objet</w:t>
      </w:r>
      <w:r w:rsidR="0055668D">
        <w:t xml:space="preserve"> </w:t>
      </w:r>
      <w:r>
        <w:t>– Dispositions générales</w:t>
      </w:r>
      <w:bookmarkEnd w:id="2"/>
      <w:bookmarkEnd w:id="3"/>
      <w:bookmarkEnd w:id="4"/>
      <w:bookmarkEnd w:id="5"/>
    </w:p>
    <w:p w14:paraId="73721F1E" w14:textId="62217B9B" w:rsidR="008F4620" w:rsidRPr="006678B8" w:rsidRDefault="00193ACD" w:rsidP="001B712D">
      <w:pPr>
        <w:pStyle w:val="CCP-Titre2"/>
        <w:rPr>
          <w:rStyle w:val="Accentuationlgre"/>
        </w:rPr>
      </w:pPr>
      <w:bookmarkStart w:id="6" w:name="_Toc68255363"/>
      <w:bookmarkStart w:id="7" w:name="_Toc2394425"/>
      <w:bookmarkStart w:id="8" w:name="_Toc158819782"/>
      <w:bookmarkStart w:id="9" w:name="_Toc179450202"/>
      <w:bookmarkEnd w:id="6"/>
      <w:bookmarkEnd w:id="7"/>
      <w:r w:rsidRPr="006678B8">
        <w:rPr>
          <w:rStyle w:val="Accentuationlgre"/>
        </w:rPr>
        <w:t>Objet</w:t>
      </w:r>
      <w:bookmarkEnd w:id="8"/>
      <w:bookmarkEnd w:id="9"/>
    </w:p>
    <w:bookmarkStart w:id="10" w:name="_Hlk158713842"/>
    <w:p w14:paraId="61DDCB25" w14:textId="3DA71F8D" w:rsidR="00A1214C" w:rsidRPr="00853D5A" w:rsidRDefault="00D57EC9" w:rsidP="00A1214C">
      <w:pPr>
        <w:pStyle w:val="RedaliaNormal"/>
        <w:rPr>
          <w:b/>
          <w:bCs/>
        </w:rPr>
      </w:pPr>
      <w:sdt>
        <w:sdtPr>
          <w:rPr>
            <w:rStyle w:val="Textedelespacerserv"/>
            <w:color w:val="auto"/>
          </w:rPr>
          <w:id w:val="-885560807"/>
          <w:placeholder>
            <w:docPart w:val="DefaultPlaceholder_-1854013438"/>
          </w:placeholder>
          <w:comboBox>
            <w:listItem w:value="Choisissez un élément."/>
            <w:listItem w:displayText="Le marché" w:value="Le marché"/>
            <w:listItem w:displayText="L'accord-cadre" w:value="L'accord-cadre"/>
          </w:comboBox>
        </w:sdtPr>
        <w:sdtEndPr>
          <w:rPr>
            <w:rStyle w:val="Textedelespacerserv"/>
            <w:highlight w:val="green"/>
          </w:rPr>
        </w:sdtEndPr>
        <w:sdtContent>
          <w:r w:rsidR="003B0318">
            <w:rPr>
              <w:rStyle w:val="Textedelespacerserv"/>
              <w:color w:val="auto"/>
            </w:rPr>
            <w:t>L'accord-cadre</w:t>
          </w:r>
        </w:sdtContent>
      </w:sdt>
      <w:r w:rsidR="00A1214C" w:rsidRPr="00065BA9">
        <w:rPr>
          <w:rStyle w:val="Textedelespacerserv"/>
          <w:color w:val="auto"/>
        </w:rPr>
        <w:t xml:space="preserve"> </w:t>
      </w:r>
      <w:bookmarkEnd w:id="10"/>
      <w:r w:rsidR="00A1214C">
        <w:t xml:space="preserve">régi par le présent Cahier des Clauses Particulières (CCP) valant Acte d'engagement est un </w:t>
      </w:r>
      <w:sdt>
        <w:sdtPr>
          <w:rPr>
            <w:rStyle w:val="Textedelespacerserv"/>
            <w:color w:val="auto"/>
          </w:rPr>
          <w:id w:val="2070993960"/>
          <w:placeholder>
            <w:docPart w:val="56D7FD44682E4FDA8D2749908CA6FF0D"/>
          </w:placeholder>
          <w:comboBox>
            <w:listItem w:value="Choisissez un élément."/>
            <w:listItem w:displayText="marché" w:value="marché"/>
            <w:listItem w:displayText="accord-cadre" w:value="accord-cadre"/>
          </w:comboBox>
        </w:sdtPr>
        <w:sdtEndPr>
          <w:rPr>
            <w:rStyle w:val="Textedelespacerserv"/>
            <w:highlight w:val="green"/>
          </w:rPr>
        </w:sdtEndPr>
        <w:sdtContent>
          <w:r w:rsidR="003B0318">
            <w:rPr>
              <w:rStyle w:val="Textedelespacerserv"/>
              <w:color w:val="auto"/>
            </w:rPr>
            <w:t>accord-cadre</w:t>
          </w:r>
        </w:sdtContent>
      </w:sdt>
      <w:r w:rsidR="004900A5" w:rsidRPr="00065BA9">
        <w:rPr>
          <w:rStyle w:val="Textedelespacerserv"/>
          <w:color w:val="auto"/>
        </w:rPr>
        <w:t xml:space="preserve"> </w:t>
      </w:r>
      <w:r w:rsidR="00A1214C">
        <w:t xml:space="preserve">de </w:t>
      </w:r>
      <w:r w:rsidR="004900A5">
        <w:t>services</w:t>
      </w:r>
      <w:r w:rsidR="00A1214C">
        <w:t xml:space="preserve"> relatif</w:t>
      </w:r>
      <w:r w:rsidR="002B4067">
        <w:t>s</w:t>
      </w:r>
      <w:r w:rsidR="00A1214C">
        <w:t xml:space="preserve"> à la réalisation des prestations suivantes : </w:t>
      </w:r>
      <w:r w:rsidR="003B0318">
        <w:t>Prestation de service social à l’Agence de l’eau Rhin-Meuse.</w:t>
      </w:r>
    </w:p>
    <w:p w14:paraId="5C96A935" w14:textId="77777777" w:rsidR="00A1214C" w:rsidRPr="004900A5" w:rsidRDefault="00A1214C">
      <w:pPr>
        <w:pStyle w:val="RedaliaNormal"/>
        <w:rPr>
          <w:sz w:val="10"/>
          <w:szCs w:val="8"/>
        </w:rPr>
      </w:pPr>
    </w:p>
    <w:p w14:paraId="0DA109C4" w14:textId="1C55938B" w:rsidR="008F4620" w:rsidRDefault="00193ACD">
      <w:pPr>
        <w:pStyle w:val="RedaliaNormal"/>
      </w:pPr>
      <w:r w:rsidRPr="00891050">
        <w:t xml:space="preserve">La description des prestations et leurs spécifications techniques sont définies à l’article </w:t>
      </w:r>
      <w:r w:rsidR="002C0B69" w:rsidRPr="002C0B69">
        <w:rPr>
          <w:rStyle w:val="Policepardfaut1"/>
          <w:i/>
        </w:rPr>
        <w:t>Détail des prestations – Délais et modalités d'exécution</w:t>
      </w:r>
      <w:r w:rsidR="002C0B69">
        <w:rPr>
          <w:rStyle w:val="Policepardfaut1"/>
          <w:i/>
        </w:rPr>
        <w:t>.</w:t>
      </w:r>
    </w:p>
    <w:p w14:paraId="5CDC1925" w14:textId="43420800" w:rsidR="006678B8" w:rsidRDefault="006678B8">
      <w:pPr>
        <w:pStyle w:val="RedaliaNormal"/>
        <w:rPr>
          <w:sz w:val="10"/>
          <w:szCs w:val="8"/>
        </w:rPr>
      </w:pPr>
    </w:p>
    <w:p w14:paraId="7B8C7308" w14:textId="77777777" w:rsidR="004900A5" w:rsidRPr="004900A5" w:rsidRDefault="004900A5" w:rsidP="001B712D">
      <w:pPr>
        <w:pStyle w:val="CCP-Titre2"/>
      </w:pPr>
      <w:bookmarkStart w:id="11" w:name="_Toc158717180"/>
      <w:bookmarkStart w:id="12" w:name="_Toc158819783"/>
      <w:bookmarkStart w:id="13" w:name="_Toc179450203"/>
      <w:r w:rsidRPr="004900A5">
        <w:t>Tranches / lots / phases / accord-cadre à bons de commande</w:t>
      </w:r>
      <w:bookmarkEnd w:id="11"/>
      <w:bookmarkEnd w:id="12"/>
      <w:bookmarkEnd w:id="13"/>
    </w:p>
    <w:p w14:paraId="5625E79A" w14:textId="77777777" w:rsidR="004900A5" w:rsidRPr="008C43EF" w:rsidRDefault="004900A5" w:rsidP="004F1852">
      <w:pPr>
        <w:pStyle w:val="CCP-Titre3"/>
      </w:pPr>
      <w:bookmarkStart w:id="14" w:name="_Toc158717181"/>
      <w:bookmarkStart w:id="15" w:name="_Toc158819784"/>
      <w:bookmarkStart w:id="16" w:name="_Toc179450204"/>
      <w:r w:rsidRPr="008C43EF">
        <w:t>Tranches</w:t>
      </w:r>
      <w:bookmarkEnd w:id="14"/>
      <w:bookmarkEnd w:id="15"/>
      <w:bookmarkEnd w:id="16"/>
    </w:p>
    <w:p w14:paraId="0732D5CA" w14:textId="443186DB" w:rsidR="004900A5" w:rsidRPr="004900A5" w:rsidRDefault="004900A5" w:rsidP="004900A5">
      <w:pPr>
        <w:widowControl w:val="0"/>
        <w:suppressAutoHyphens/>
        <w:jc w:val="both"/>
        <w:textAlignment w:val="auto"/>
        <w:rPr>
          <w:rFonts w:ascii="Arial" w:hAnsi="Arial" w:cs="Arial"/>
          <w:bCs/>
          <w:iCs/>
          <w:sz w:val="22"/>
          <w:szCs w:val="22"/>
        </w:rPr>
      </w:pPr>
      <w:r w:rsidRPr="004900A5">
        <w:rPr>
          <w:rFonts w:ascii="Arial" w:hAnsi="Arial" w:cs="Arial"/>
          <w:bCs/>
          <w:iCs/>
          <w:sz w:val="22"/>
          <w:szCs w:val="22"/>
        </w:rPr>
        <w:t>Sans objet</w:t>
      </w:r>
    </w:p>
    <w:p w14:paraId="76C39C10" w14:textId="77777777" w:rsidR="004900A5" w:rsidRPr="004900A5" w:rsidRDefault="004900A5" w:rsidP="004F1852">
      <w:pPr>
        <w:pStyle w:val="CCP-Titre3"/>
      </w:pPr>
      <w:bookmarkStart w:id="17" w:name="_Toc158717182"/>
      <w:bookmarkStart w:id="18" w:name="_Toc158819785"/>
      <w:bookmarkStart w:id="19" w:name="_Toc179450205"/>
      <w:r w:rsidRPr="004900A5">
        <w:t>Lots</w:t>
      </w:r>
      <w:bookmarkEnd w:id="17"/>
      <w:bookmarkEnd w:id="18"/>
      <w:bookmarkEnd w:id="19"/>
    </w:p>
    <w:p w14:paraId="4946F76A" w14:textId="1643F375" w:rsidR="004900A5" w:rsidRPr="004900A5" w:rsidRDefault="004900A5" w:rsidP="004900A5">
      <w:pPr>
        <w:keepLines/>
        <w:widowControl w:val="0"/>
        <w:suppressAutoHyphens/>
        <w:jc w:val="both"/>
        <w:textAlignment w:val="auto"/>
        <w:rPr>
          <w:rFonts w:ascii="Arial" w:hAnsi="Arial" w:cs="Calibri"/>
          <w:szCs w:val="22"/>
        </w:rPr>
      </w:pPr>
      <w:bookmarkStart w:id="20" w:name="_Hlk158035242"/>
      <w:r w:rsidRPr="004900A5">
        <w:rPr>
          <w:rFonts w:ascii="Arial" w:hAnsi="Arial" w:cs="Calibri"/>
          <w:bCs/>
          <w:i/>
          <w:iCs/>
          <w:color w:val="C00000"/>
          <w:sz w:val="22"/>
          <w:szCs w:val="22"/>
        </w:rPr>
        <w:t xml:space="preserve"> </w:t>
      </w:r>
      <w:r w:rsidRPr="004900A5">
        <w:rPr>
          <w:rFonts w:ascii="Arial" w:hAnsi="Arial" w:cs="Arial"/>
          <w:sz w:val="22"/>
          <w:szCs w:val="22"/>
        </w:rPr>
        <w:t>S</w:t>
      </w:r>
      <w:r w:rsidRPr="004900A5">
        <w:rPr>
          <w:rFonts w:ascii="Arial" w:hAnsi="Arial" w:cs="Calibri"/>
          <w:sz w:val="22"/>
          <w:szCs w:val="22"/>
        </w:rPr>
        <w:t>ans objet</w:t>
      </w:r>
    </w:p>
    <w:p w14:paraId="7045CED4" w14:textId="77777777" w:rsidR="004900A5" w:rsidRPr="004900A5" w:rsidRDefault="004900A5" w:rsidP="004F1852">
      <w:pPr>
        <w:pStyle w:val="CCP-Titre3"/>
      </w:pPr>
      <w:bookmarkStart w:id="21" w:name="_Toc158717183"/>
      <w:bookmarkStart w:id="22" w:name="_Toc158819786"/>
      <w:bookmarkStart w:id="23" w:name="_Toc179450206"/>
      <w:bookmarkEnd w:id="20"/>
      <w:r w:rsidRPr="004900A5">
        <w:t>Phases</w:t>
      </w:r>
      <w:bookmarkEnd w:id="21"/>
      <w:bookmarkEnd w:id="22"/>
      <w:bookmarkEnd w:id="23"/>
    </w:p>
    <w:p w14:paraId="6ABB9181" w14:textId="47DF7D49" w:rsidR="004900A5" w:rsidRPr="004900A5" w:rsidRDefault="004900A5" w:rsidP="004900A5">
      <w:pPr>
        <w:keepLines/>
        <w:suppressAutoHyphens/>
        <w:jc w:val="both"/>
        <w:textAlignment w:val="auto"/>
        <w:rPr>
          <w:rFonts w:ascii="Arial" w:hAnsi="Arial" w:cs="Calibri"/>
          <w:bCs/>
          <w:sz w:val="18"/>
        </w:rPr>
      </w:pPr>
      <w:r w:rsidRPr="004900A5">
        <w:rPr>
          <w:rFonts w:ascii="Arial" w:hAnsi="Arial" w:cs="Arial"/>
          <w:bCs/>
          <w:iCs/>
          <w:sz w:val="22"/>
          <w:szCs w:val="22"/>
        </w:rPr>
        <w:t>Sans objet</w:t>
      </w:r>
    </w:p>
    <w:p w14:paraId="38C9ECDD" w14:textId="77777777" w:rsidR="004900A5" w:rsidRPr="004900A5" w:rsidRDefault="004900A5" w:rsidP="004900A5">
      <w:pPr>
        <w:suppressAutoHyphens/>
        <w:jc w:val="both"/>
        <w:textAlignment w:val="auto"/>
        <w:rPr>
          <w:rFonts w:ascii="Calibri" w:hAnsi="Calibri" w:cs="Arial"/>
          <w:sz w:val="10"/>
          <w:szCs w:val="10"/>
        </w:rPr>
      </w:pPr>
    </w:p>
    <w:p w14:paraId="35909C73" w14:textId="77777777" w:rsidR="004900A5" w:rsidRPr="004900A5" w:rsidRDefault="004900A5" w:rsidP="004F1852">
      <w:pPr>
        <w:pStyle w:val="CCP-Titre3"/>
      </w:pPr>
      <w:bookmarkStart w:id="24" w:name="_Toc158717184"/>
      <w:bookmarkStart w:id="25" w:name="_Toc158819787"/>
      <w:bookmarkStart w:id="26" w:name="_Toc179450207"/>
      <w:r w:rsidRPr="004900A5">
        <w:t>Accord-cadre à bons de commande</w:t>
      </w:r>
      <w:bookmarkEnd w:id="24"/>
      <w:bookmarkEnd w:id="25"/>
      <w:bookmarkEnd w:id="26"/>
    </w:p>
    <w:p w14:paraId="52E6C026" w14:textId="4F10F5E0"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Les prestations faisant l'objet de cet accord-cadre sont susceptibles de varier dans les limites suivantes, pour </w:t>
      </w:r>
      <w:sdt>
        <w:sdtPr>
          <w:rPr>
            <w:rFonts w:ascii="Arial" w:hAnsi="Arial" w:cs="Calibri"/>
            <w:sz w:val="22"/>
            <w:szCs w:val="22"/>
          </w:rPr>
          <w:id w:val="-1821578866"/>
          <w:placeholder>
            <w:docPart w:val="9358144C0F534C0396DCFEA217CE7FE2"/>
          </w:placeholder>
          <w:comboBox>
            <w:listItem w:value="Choisissez un élément."/>
            <w:listItem w:displayText="la durée globale" w:value="la durée globale"/>
            <w:listItem w:displayText="chaque période" w:value="chaque période"/>
          </w:comboBox>
        </w:sdtPr>
        <w:sdtEndPr/>
        <w:sdtContent>
          <w:r w:rsidR="00CE0F6D">
            <w:rPr>
              <w:rFonts w:ascii="Arial" w:hAnsi="Arial" w:cs="Calibri"/>
              <w:sz w:val="22"/>
              <w:szCs w:val="22"/>
            </w:rPr>
            <w:t>chaque période</w:t>
          </w:r>
        </w:sdtContent>
      </w:sdt>
      <w:r w:rsidRPr="004900A5">
        <w:rPr>
          <w:rFonts w:ascii="Arial" w:hAnsi="Arial" w:cs="Calibri"/>
          <w:sz w:val="22"/>
          <w:szCs w:val="22"/>
        </w:rPr>
        <w:t xml:space="preserve"> d’exécution : </w:t>
      </w:r>
    </w:p>
    <w:p w14:paraId="79666438" w14:textId="77777777" w:rsidR="004900A5" w:rsidRPr="004900A5" w:rsidRDefault="004900A5" w:rsidP="004900A5">
      <w:pPr>
        <w:keepLines/>
        <w:widowControl w:val="0"/>
        <w:suppressAutoHyphens/>
        <w:jc w:val="both"/>
        <w:textAlignment w:val="auto"/>
        <w:rPr>
          <w:rFonts w:ascii="Arial" w:hAnsi="Arial" w:cs="Calibri"/>
          <w:sz w:val="12"/>
          <w:szCs w:val="12"/>
        </w:rPr>
      </w:pPr>
    </w:p>
    <w:p w14:paraId="681FA031" w14:textId="17AA54E7"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Montant minimum HT :   </w:t>
      </w:r>
      <w:r w:rsidR="00CE0F6D">
        <w:rPr>
          <w:rFonts w:ascii="Arial" w:hAnsi="Arial" w:cs="Calibri"/>
          <w:sz w:val="22"/>
          <w:szCs w:val="22"/>
        </w:rPr>
        <w:t>2 500,00</w:t>
      </w:r>
      <w:r w:rsidRPr="004900A5">
        <w:rPr>
          <w:rFonts w:ascii="Arial" w:hAnsi="Arial" w:cs="Calibri"/>
          <w:sz w:val="22"/>
          <w:szCs w:val="22"/>
        </w:rPr>
        <w:t xml:space="preserve"> €</w:t>
      </w:r>
    </w:p>
    <w:p w14:paraId="20516EB7" w14:textId="7F396BC4"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Montant maximum HT :  </w:t>
      </w:r>
      <w:r w:rsidR="00577023" w:rsidRPr="000F5085">
        <w:rPr>
          <w:rFonts w:ascii="Arial" w:hAnsi="Arial" w:cs="Calibri"/>
          <w:sz w:val="22"/>
          <w:szCs w:val="22"/>
        </w:rPr>
        <w:t>6</w:t>
      </w:r>
      <w:r w:rsidR="00CE0F6D" w:rsidRPr="000F5085">
        <w:rPr>
          <w:rFonts w:ascii="Arial" w:hAnsi="Arial" w:cs="Calibri"/>
          <w:sz w:val="22"/>
          <w:szCs w:val="22"/>
        </w:rPr>
        <w:t> </w:t>
      </w:r>
      <w:r w:rsidR="00D62822" w:rsidRPr="000F5085">
        <w:rPr>
          <w:rFonts w:ascii="Arial" w:hAnsi="Arial" w:cs="Calibri"/>
          <w:sz w:val="22"/>
          <w:szCs w:val="22"/>
        </w:rPr>
        <w:t>000</w:t>
      </w:r>
      <w:r w:rsidR="00CE0F6D" w:rsidRPr="000F5085">
        <w:rPr>
          <w:rFonts w:ascii="Arial" w:hAnsi="Arial" w:cs="Calibri"/>
          <w:sz w:val="22"/>
          <w:szCs w:val="22"/>
        </w:rPr>
        <w:t>,00</w:t>
      </w:r>
      <w:r w:rsidRPr="000F5085">
        <w:rPr>
          <w:rFonts w:ascii="Arial" w:hAnsi="Arial" w:cs="Calibri"/>
          <w:sz w:val="22"/>
          <w:szCs w:val="22"/>
        </w:rPr>
        <w:t xml:space="preserve"> €</w:t>
      </w:r>
    </w:p>
    <w:p w14:paraId="6F112012" w14:textId="77777777" w:rsidR="004900A5" w:rsidRPr="004900A5" w:rsidRDefault="004900A5" w:rsidP="004900A5">
      <w:pPr>
        <w:keepLines/>
        <w:widowControl w:val="0"/>
        <w:suppressAutoHyphens/>
        <w:jc w:val="both"/>
        <w:textAlignment w:val="auto"/>
        <w:rPr>
          <w:rFonts w:ascii="Arial" w:hAnsi="Arial" w:cs="Calibri"/>
          <w:sz w:val="22"/>
          <w:szCs w:val="22"/>
        </w:rPr>
      </w:pPr>
    </w:p>
    <w:p w14:paraId="7F083837" w14:textId="78B14840"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Les commandes sont faites au fur et à mesure des besoins par le moyen de bons de commande délivrés par le service et qui comporteront</w:t>
      </w:r>
      <w:r w:rsidR="004F1852">
        <w:rPr>
          <w:rFonts w:ascii="Arial" w:hAnsi="Arial" w:cs="Calibri"/>
          <w:sz w:val="22"/>
          <w:szCs w:val="22"/>
        </w:rPr>
        <w:t>, a minima</w:t>
      </w:r>
      <w:r w:rsidRPr="004900A5">
        <w:rPr>
          <w:rFonts w:ascii="Arial" w:hAnsi="Arial" w:cs="Calibri"/>
          <w:sz w:val="22"/>
          <w:szCs w:val="22"/>
        </w:rPr>
        <w:t xml:space="preserve"> :</w:t>
      </w:r>
    </w:p>
    <w:p w14:paraId="7961828C" w14:textId="77777777" w:rsidR="004900A5" w:rsidRPr="004900A5" w:rsidRDefault="004900A5" w:rsidP="004900A5">
      <w:pPr>
        <w:keepLines/>
        <w:widowControl w:val="0"/>
        <w:suppressAutoHyphens/>
        <w:jc w:val="both"/>
        <w:textAlignment w:val="auto"/>
        <w:rPr>
          <w:rFonts w:ascii="Arial" w:hAnsi="Arial" w:cs="Calibri"/>
          <w:sz w:val="10"/>
          <w:szCs w:val="10"/>
        </w:rPr>
      </w:pPr>
    </w:p>
    <w:p w14:paraId="2CDA3CB5" w14:textId="77777777"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        - la référence au marché ;</w:t>
      </w:r>
    </w:p>
    <w:p w14:paraId="4B57AB5E" w14:textId="7EAC278B"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        - la désignation des prestations</w:t>
      </w:r>
      <w:r w:rsidR="00AB709E">
        <w:rPr>
          <w:rFonts w:ascii="Arial" w:hAnsi="Arial" w:cs="Calibri"/>
          <w:sz w:val="22"/>
          <w:szCs w:val="22"/>
        </w:rPr>
        <w:t xml:space="preserve"> </w:t>
      </w:r>
      <w:r w:rsidRPr="004900A5">
        <w:rPr>
          <w:rFonts w:ascii="Arial" w:hAnsi="Arial" w:cs="Calibri"/>
          <w:sz w:val="22"/>
          <w:szCs w:val="22"/>
        </w:rPr>
        <w:t>;</w:t>
      </w:r>
    </w:p>
    <w:p w14:paraId="7D561727" w14:textId="442DC96B" w:rsidR="004900A5" w:rsidRPr="004900A5" w:rsidRDefault="004900A5" w:rsidP="004900A5">
      <w:pPr>
        <w:keepLines/>
        <w:widowControl w:val="0"/>
        <w:suppressAutoHyphens/>
        <w:jc w:val="both"/>
        <w:textAlignment w:val="auto"/>
        <w:rPr>
          <w:rFonts w:ascii="Arial" w:hAnsi="Arial" w:cs="Calibri"/>
          <w:sz w:val="18"/>
        </w:rPr>
      </w:pPr>
      <w:r w:rsidRPr="004900A5">
        <w:rPr>
          <w:rFonts w:ascii="Arial" w:hAnsi="Arial" w:cs="Calibri"/>
          <w:sz w:val="22"/>
          <w:szCs w:val="22"/>
        </w:rPr>
        <w:t xml:space="preserve">        - la date</w:t>
      </w:r>
      <w:r w:rsidR="00FC0050">
        <w:rPr>
          <w:rFonts w:ascii="Arial" w:hAnsi="Arial" w:cs="Calibri"/>
          <w:sz w:val="22"/>
          <w:szCs w:val="22"/>
        </w:rPr>
        <w:t xml:space="preserve"> de livraison ou délai d’exécution</w:t>
      </w:r>
      <w:r w:rsidRPr="004900A5">
        <w:rPr>
          <w:rFonts w:ascii="Arial" w:hAnsi="Arial" w:cs="Calibri"/>
          <w:b/>
          <w:i/>
          <w:sz w:val="22"/>
          <w:szCs w:val="22"/>
        </w:rPr>
        <w:t xml:space="preserve">  </w:t>
      </w:r>
    </w:p>
    <w:p w14:paraId="5CD66E3B" w14:textId="77777777" w:rsidR="004900A5" w:rsidRPr="004900A5" w:rsidRDefault="004900A5" w:rsidP="004900A5">
      <w:pPr>
        <w:keepLines/>
        <w:widowControl w:val="0"/>
        <w:suppressAutoHyphens/>
        <w:jc w:val="both"/>
        <w:textAlignment w:val="auto"/>
        <w:rPr>
          <w:rFonts w:ascii="Arial" w:hAnsi="Arial" w:cs="Calibri"/>
          <w:sz w:val="14"/>
          <w:szCs w:val="14"/>
          <w:highlight w:val="yellow"/>
        </w:rPr>
      </w:pPr>
    </w:p>
    <w:p w14:paraId="294FB729" w14:textId="77777777" w:rsidR="004900A5" w:rsidRPr="004900A5" w:rsidRDefault="004900A5" w:rsidP="004900A5">
      <w:pPr>
        <w:suppressAutoHyphens/>
        <w:jc w:val="both"/>
        <w:textAlignment w:val="auto"/>
        <w:rPr>
          <w:rFonts w:ascii="Calibri" w:hAnsi="Calibri" w:cs="Calibri"/>
        </w:rPr>
      </w:pPr>
      <w:r w:rsidRPr="004900A5">
        <w:rPr>
          <w:rFonts w:ascii="Arial" w:hAnsi="Arial" w:cs="Arial"/>
          <w:sz w:val="22"/>
          <w:szCs w:val="22"/>
        </w:rPr>
        <w:t>Les bons de commande sont adressés par messagerie électronique.</w:t>
      </w:r>
    </w:p>
    <w:p w14:paraId="72325EAF" w14:textId="41A509C1" w:rsidR="004900A5" w:rsidRPr="004900A5" w:rsidRDefault="004900A5" w:rsidP="004900A5">
      <w:pPr>
        <w:suppressAutoHyphens/>
        <w:jc w:val="both"/>
        <w:textAlignment w:val="auto"/>
        <w:rPr>
          <w:rFonts w:ascii="Calibri" w:hAnsi="Calibri" w:cs="Calibri"/>
        </w:rPr>
      </w:pPr>
      <w:r w:rsidRPr="004900A5">
        <w:rPr>
          <w:rFonts w:ascii="Arial" w:hAnsi="Arial" w:cs="Arial"/>
          <w:sz w:val="22"/>
          <w:szCs w:val="22"/>
        </w:rPr>
        <w:t xml:space="preserve">Dès réception du bon de commande, </w:t>
      </w:r>
      <w:r w:rsidRPr="004900A5">
        <w:rPr>
          <w:rFonts w:ascii="Arial" w:hAnsi="Arial" w:cs="Arial"/>
          <w:sz w:val="22"/>
          <w:szCs w:val="22"/>
          <w:u w:val="single"/>
        </w:rPr>
        <w:t xml:space="preserve">le titulaire renverra l’accusé </w:t>
      </w:r>
      <w:r w:rsidR="00E96AA4">
        <w:rPr>
          <w:rFonts w:ascii="Arial" w:hAnsi="Arial" w:cs="Arial"/>
          <w:sz w:val="22"/>
          <w:szCs w:val="22"/>
          <w:u w:val="single"/>
        </w:rPr>
        <w:t xml:space="preserve">de </w:t>
      </w:r>
      <w:r w:rsidRPr="004900A5">
        <w:rPr>
          <w:rFonts w:ascii="Arial" w:hAnsi="Arial" w:cs="Arial"/>
          <w:sz w:val="22"/>
          <w:szCs w:val="22"/>
          <w:u w:val="single"/>
        </w:rPr>
        <w:t>réception</w:t>
      </w:r>
      <w:r w:rsidRPr="004900A5">
        <w:rPr>
          <w:rFonts w:ascii="Arial" w:hAnsi="Arial" w:cs="Arial"/>
          <w:sz w:val="22"/>
          <w:szCs w:val="22"/>
        </w:rPr>
        <w:t xml:space="preserve"> du bon de commande dûment complété et signé, par courrier ou messagerie électronique dans les meilleurs délais. </w:t>
      </w:r>
    </w:p>
    <w:p w14:paraId="116741A9" w14:textId="77777777" w:rsidR="004900A5" w:rsidRPr="004900A5" w:rsidRDefault="004900A5" w:rsidP="004900A5">
      <w:pPr>
        <w:keepLines/>
        <w:widowControl w:val="0"/>
        <w:suppressAutoHyphens/>
        <w:jc w:val="both"/>
        <w:textAlignment w:val="auto"/>
        <w:rPr>
          <w:rFonts w:ascii="Arial" w:hAnsi="Arial" w:cs="Calibri"/>
          <w:sz w:val="12"/>
          <w:szCs w:val="12"/>
          <w:highlight w:val="yellow"/>
        </w:rPr>
      </w:pPr>
    </w:p>
    <w:p w14:paraId="7F9E42F1" w14:textId="2ABF7B4D" w:rsidR="004900A5" w:rsidRDefault="004900A5" w:rsidP="002365AF">
      <w:pPr>
        <w:keepLines/>
        <w:widowControl w:val="0"/>
        <w:suppressAutoHyphens/>
        <w:jc w:val="both"/>
        <w:textAlignment w:val="auto"/>
        <w:rPr>
          <w:rFonts w:ascii="Arial" w:hAnsi="Arial" w:cs="Calibri"/>
          <w:sz w:val="22"/>
          <w:szCs w:val="22"/>
        </w:rPr>
      </w:pPr>
      <w:r w:rsidRPr="004900A5">
        <w:rPr>
          <w:rFonts w:ascii="Arial" w:hAnsi="Arial" w:cs="Calibri"/>
          <w:sz w:val="22"/>
          <w:szCs w:val="22"/>
        </w:rPr>
        <w:t xml:space="preserve">Les bons de commande pourront s'exécuter au plus tard au cours d’une période </w:t>
      </w:r>
      <w:r w:rsidRPr="00577023">
        <w:rPr>
          <w:rFonts w:ascii="Arial" w:hAnsi="Arial" w:cs="Calibri"/>
          <w:sz w:val="22"/>
          <w:szCs w:val="22"/>
        </w:rPr>
        <w:t>de</w:t>
      </w:r>
      <w:r w:rsidR="002925BC" w:rsidRPr="00577023">
        <w:rPr>
          <w:rFonts w:ascii="Arial" w:hAnsi="Arial" w:cs="Calibri"/>
          <w:sz w:val="22"/>
          <w:szCs w:val="22"/>
        </w:rPr>
        <w:t xml:space="preserve"> 2</w:t>
      </w:r>
      <w:r w:rsidRPr="00577023">
        <w:rPr>
          <w:rFonts w:ascii="Arial" w:hAnsi="Arial" w:cs="Calibri"/>
          <w:sz w:val="22"/>
          <w:szCs w:val="22"/>
        </w:rPr>
        <w:t xml:space="preserve"> mois suivant le dernier jour de validité du marché.</w:t>
      </w:r>
    </w:p>
    <w:p w14:paraId="42C41F8C" w14:textId="77777777" w:rsidR="002365AF" w:rsidRPr="004900A5" w:rsidRDefault="002365AF" w:rsidP="002365AF">
      <w:pPr>
        <w:keepLines/>
        <w:widowControl w:val="0"/>
        <w:suppressAutoHyphens/>
        <w:jc w:val="both"/>
        <w:textAlignment w:val="auto"/>
        <w:rPr>
          <w:rFonts w:ascii="Arial" w:hAnsi="Arial" w:cs="Calibri"/>
          <w:b/>
          <w:i/>
          <w:sz w:val="22"/>
          <w:szCs w:val="22"/>
          <w:highlight w:val="yellow"/>
        </w:rPr>
      </w:pPr>
    </w:p>
    <w:p w14:paraId="18A02D5B" w14:textId="77777777" w:rsidR="004900A5" w:rsidRPr="006678B8" w:rsidRDefault="004900A5">
      <w:pPr>
        <w:pStyle w:val="RedaliaNormal"/>
        <w:rPr>
          <w:sz w:val="10"/>
          <w:szCs w:val="8"/>
        </w:rPr>
      </w:pPr>
    </w:p>
    <w:p w14:paraId="76006E01" w14:textId="77777777" w:rsidR="008F4620" w:rsidRPr="006678B8" w:rsidRDefault="00193ACD" w:rsidP="001B712D">
      <w:pPr>
        <w:pStyle w:val="CCP-Titre2"/>
      </w:pPr>
      <w:bookmarkStart w:id="27" w:name="_Toc158819788"/>
      <w:bookmarkStart w:id="28" w:name="_Toc179450208"/>
      <w:r w:rsidRPr="006678B8">
        <w:lastRenderedPageBreak/>
        <w:t>Obligation de confidentialité et protection des données à caractère personnel</w:t>
      </w:r>
      <w:bookmarkEnd w:id="27"/>
      <w:bookmarkEnd w:id="28"/>
    </w:p>
    <w:p w14:paraId="09891959" w14:textId="77777777" w:rsidR="008F4620" w:rsidRDefault="00193ACD">
      <w:pPr>
        <w:pStyle w:val="RedaliaNormal"/>
      </w:pPr>
      <w:r>
        <w:t>Le titulaire ainsi que l’acheteur sont tenus à une obligation générale de confidentialité et au respect des règles, européennes et françaises, applicables au traitement des données à caractère personnel dans les conditions définies à l’article 5 du CCAG.</w:t>
      </w:r>
    </w:p>
    <w:p w14:paraId="6B9E1DE8" w14:textId="695EF969" w:rsidR="008F4620" w:rsidRDefault="00193ACD">
      <w:pPr>
        <w:pStyle w:val="RedaliaNormal"/>
      </w:pPr>
      <w:r>
        <w:t>Ces obligations s'appliquent aux sous-traitants. Le titulaire s'engage à les leur communiquer.</w:t>
      </w:r>
    </w:p>
    <w:p w14:paraId="7B931E76" w14:textId="77777777" w:rsidR="008C43EF" w:rsidRPr="008C43EF" w:rsidRDefault="008C43EF">
      <w:pPr>
        <w:pStyle w:val="RedaliaNormal"/>
        <w:rPr>
          <w:sz w:val="10"/>
          <w:szCs w:val="8"/>
        </w:rPr>
      </w:pPr>
    </w:p>
    <w:p w14:paraId="2BEE3E6D" w14:textId="77777777" w:rsidR="008F4620" w:rsidRDefault="00193ACD" w:rsidP="001B712D">
      <w:pPr>
        <w:pStyle w:val="CCP-Titre2"/>
      </w:pPr>
      <w:bookmarkStart w:id="29" w:name="_Toc158819789"/>
      <w:bookmarkStart w:id="30" w:name="_Toc179450209"/>
      <w:r>
        <w:t>Traitement des données</w:t>
      </w:r>
      <w:bookmarkEnd w:id="29"/>
      <w:bookmarkEnd w:id="30"/>
    </w:p>
    <w:p w14:paraId="6DDD99DC" w14:textId="77777777" w:rsidR="008F4620" w:rsidRDefault="00193ACD">
      <w:pPr>
        <w:pStyle w:val="RedaliaNormal"/>
      </w:pPr>
      <w:r>
        <w:t>Dans le cadre du marché, le titulaire doit mettre en œuvre un traitement de données à caractère personnel pour le compte de l'acheteur :</w:t>
      </w:r>
    </w:p>
    <w:p w14:paraId="69648AF3" w14:textId="77777777" w:rsidR="008F4620" w:rsidRPr="004A495C" w:rsidRDefault="008F4620">
      <w:pPr>
        <w:pStyle w:val="RedaliaNormal"/>
        <w:rPr>
          <w:sz w:val="6"/>
          <w:szCs w:val="4"/>
        </w:rPr>
      </w:pPr>
    </w:p>
    <w:p w14:paraId="3EE3BBE9" w14:textId="6873D1C4" w:rsidR="008F4620" w:rsidRDefault="00193ACD" w:rsidP="004A495C">
      <w:pPr>
        <w:pStyle w:val="RedaliaRetraitavecpuce"/>
        <w:ind w:left="426"/>
      </w:pPr>
      <w:r>
        <w:t>Le titulaire devra s’assurer de la réalisation du traitement des données dans les conditions suivantes :</w:t>
      </w:r>
      <w:r w:rsidR="004A495C">
        <w:t xml:space="preserve"> l</w:t>
      </w:r>
      <w:r>
        <w:t>e titulaire s’engage à garder confidentiel l’ensemble des documents ou informations auxquels il aura accès dans le cadre de l’exécution du présent marché.</w:t>
      </w:r>
    </w:p>
    <w:p w14:paraId="41ACBB20" w14:textId="77777777" w:rsidR="008F4620" w:rsidRDefault="00193ACD" w:rsidP="004A495C">
      <w:pPr>
        <w:pStyle w:val="RedaliaNormal"/>
        <w:ind w:left="426"/>
      </w:pPr>
      <w:r>
        <w:t>L’Agence et le titulaire s’engagent à respecter la réglementation en vigueur applicable au traitement de données à caractère personnel et, en particulier, le RGPD.</w:t>
      </w:r>
    </w:p>
    <w:p w14:paraId="1A93A088" w14:textId="1AEA85B8" w:rsidR="008F4620" w:rsidRDefault="00193ACD" w:rsidP="004A495C">
      <w:pPr>
        <w:pStyle w:val="RedaliaNormal"/>
        <w:ind w:left="426"/>
      </w:pPr>
      <w:r>
        <w:t>Le titulaire (sous-traitant au sens de la règlementation précitée) est autorisé à traiter pour le compte du Responsable de traitement de l’</w:t>
      </w:r>
      <w:r w:rsidR="009D5A00">
        <w:t>A</w:t>
      </w:r>
      <w:r>
        <w:t>gence de l’eau Rhin-Meuse (le Directeur général de l’établissement) les données à caractère personnel nécessaires pour fournir les prestations. Pour l’exécution de ces prestations, l’Agence met à la disposition du titulaire les informations nécessaires à sa mission.</w:t>
      </w:r>
    </w:p>
    <w:p w14:paraId="2C823615" w14:textId="77777777" w:rsidR="008F4620" w:rsidRPr="009D5A00" w:rsidRDefault="008F4620">
      <w:pPr>
        <w:pStyle w:val="RedaliaNormal"/>
        <w:ind w:left="709"/>
        <w:rPr>
          <w:sz w:val="10"/>
          <w:szCs w:val="8"/>
        </w:rPr>
      </w:pPr>
    </w:p>
    <w:p w14:paraId="2C1F8A92" w14:textId="3D33BD85" w:rsidR="008F4620" w:rsidRDefault="00193ACD" w:rsidP="009D5A00">
      <w:pPr>
        <w:pStyle w:val="RedaliaRetraitavecpuce"/>
        <w:ind w:left="426"/>
      </w:pPr>
      <w:r>
        <w:t>Les obligations de l’acheteur et celles du titulaire vis-à-vis de ce dernier sont les suivantes :</w:t>
      </w:r>
      <w:r w:rsidR="009D5A00">
        <w:t xml:space="preserve"> l</w:t>
      </w:r>
      <w:r>
        <w:t>e titulaire doit informer l'acheteur de toute difficulté dans l'application de la réglementation, de tout projet de recours à un tiers pour la mise en œuvre du traitement, ou encore de toute demande de communication de données qui lui serait adressée, ainsi que, lorsque celle-ci serait contraire à la règlementation française et européenne, des mesures adoptées pour s'y opposer</w:t>
      </w:r>
    </w:p>
    <w:p w14:paraId="5113D742" w14:textId="77777777" w:rsidR="008F4620" w:rsidRPr="009D5A00" w:rsidRDefault="008F4620">
      <w:pPr>
        <w:pStyle w:val="RedaliaNormal"/>
        <w:ind w:left="709"/>
        <w:rPr>
          <w:sz w:val="12"/>
          <w:szCs w:val="10"/>
        </w:rPr>
      </w:pPr>
    </w:p>
    <w:p w14:paraId="0ABD10BD" w14:textId="099DF998" w:rsidR="008F4620" w:rsidRDefault="00193ACD" w:rsidP="009D5A00">
      <w:pPr>
        <w:pStyle w:val="RedaliaRetraitavecpuce"/>
        <w:ind w:left="426"/>
      </w:pPr>
      <w:r>
        <w:t>Les modalités de prise en compte du droit à l’information et des autres droits des personnes concernées sont les suivantes :</w:t>
      </w:r>
      <w:r w:rsidR="009D5A00">
        <w:t xml:space="preserve"> l</w:t>
      </w:r>
      <w:r>
        <w:t>e titulaire dispose des droits relatifs à ses données à caractère personnel, notamment d'information, d'accès et de rectification. Pour les exercer, il peut contacter la Délégation à la protection des données de l'établissement</w:t>
      </w:r>
      <w:r w:rsidR="009D5A00">
        <w:t> </w:t>
      </w:r>
      <w:r>
        <w:t>:</w:t>
      </w:r>
    </w:p>
    <w:p w14:paraId="1237D4CB" w14:textId="030E2011" w:rsidR="008F4620" w:rsidRDefault="00193ACD" w:rsidP="009D5A00">
      <w:pPr>
        <w:pStyle w:val="RedaliaNormal"/>
        <w:ind w:left="426"/>
      </w:pPr>
      <w:r>
        <w:t xml:space="preserve">• Par mail : </w:t>
      </w:r>
      <w:hyperlink r:id="rId9" w:history="1">
        <w:r w:rsidR="009D5A00" w:rsidRPr="000D13DF">
          <w:rPr>
            <w:rStyle w:val="Lienhypertexte"/>
          </w:rPr>
          <w:t>protection.donnees@eau-rhin-meuse.fr</w:t>
        </w:r>
      </w:hyperlink>
      <w:r w:rsidR="009D5A00">
        <w:t xml:space="preserve"> </w:t>
      </w:r>
    </w:p>
    <w:p w14:paraId="02EB1C38" w14:textId="2E4F898F" w:rsidR="008F4620" w:rsidRDefault="00193ACD" w:rsidP="009D5A00">
      <w:pPr>
        <w:pStyle w:val="RedaliaNormal"/>
        <w:ind w:left="426"/>
      </w:pPr>
      <w:r>
        <w:t>• Par voie postale (avec copie de votre pièce d’identité en cas d'exercice de vos droits) :</w:t>
      </w:r>
    </w:p>
    <w:p w14:paraId="3C5CF20A" w14:textId="77777777" w:rsidR="009D5A00" w:rsidRPr="009D5A00" w:rsidRDefault="009D5A00" w:rsidP="009D5A00">
      <w:pPr>
        <w:pStyle w:val="RedaliaNormal"/>
        <w:ind w:left="426"/>
        <w:rPr>
          <w:sz w:val="8"/>
          <w:szCs w:val="8"/>
        </w:rPr>
      </w:pPr>
    </w:p>
    <w:p w14:paraId="10A64F79" w14:textId="77777777" w:rsidR="008F4620" w:rsidRDefault="00193ACD" w:rsidP="009D5A00">
      <w:pPr>
        <w:pStyle w:val="RedaliaNormal"/>
        <w:spacing w:before="0"/>
        <w:ind w:left="425"/>
        <w:jc w:val="center"/>
      </w:pPr>
      <w:r>
        <w:t>Délégation à la protection des données</w:t>
      </w:r>
    </w:p>
    <w:p w14:paraId="57439CDA" w14:textId="77777777" w:rsidR="008F4620" w:rsidRDefault="00193ACD" w:rsidP="009D5A00">
      <w:pPr>
        <w:pStyle w:val="RedaliaNormal"/>
        <w:spacing w:before="0"/>
        <w:ind w:left="425"/>
        <w:jc w:val="center"/>
      </w:pPr>
      <w:r>
        <w:t>Agence de l’eau Rhin-Meuse</w:t>
      </w:r>
    </w:p>
    <w:p w14:paraId="57E53FC2" w14:textId="54BE4139" w:rsidR="008F4620" w:rsidRDefault="00193ACD" w:rsidP="009D5A00">
      <w:pPr>
        <w:pStyle w:val="RedaliaNormal"/>
        <w:spacing w:before="0"/>
        <w:ind w:left="425"/>
        <w:jc w:val="center"/>
      </w:pPr>
      <w:r>
        <w:t>Route de Lessy - 57160 Rozérieulles</w:t>
      </w:r>
    </w:p>
    <w:p w14:paraId="21D90E83" w14:textId="77777777" w:rsidR="009D5A00" w:rsidRPr="009D5A00" w:rsidRDefault="009D5A00" w:rsidP="009D5A00">
      <w:pPr>
        <w:pStyle w:val="RedaliaNormal"/>
        <w:ind w:left="426"/>
        <w:jc w:val="center"/>
        <w:rPr>
          <w:sz w:val="6"/>
          <w:szCs w:val="4"/>
        </w:rPr>
      </w:pPr>
    </w:p>
    <w:p w14:paraId="10CBCE7F" w14:textId="77777777" w:rsidR="008F4620" w:rsidRDefault="00193ACD" w:rsidP="009D5A00">
      <w:pPr>
        <w:pStyle w:val="RedaliaNormal"/>
        <w:ind w:left="426"/>
      </w:pPr>
      <w:r>
        <w:t>Le titulaire peut également introduire une réclamation auprès de la CNIL.</w:t>
      </w:r>
    </w:p>
    <w:p w14:paraId="75BD8984" w14:textId="77777777" w:rsidR="008F4620" w:rsidRPr="009D5A00" w:rsidRDefault="008F4620">
      <w:pPr>
        <w:pStyle w:val="RedaliaNormal"/>
        <w:rPr>
          <w:sz w:val="10"/>
          <w:szCs w:val="8"/>
        </w:rPr>
      </w:pPr>
    </w:p>
    <w:p w14:paraId="6B9B1E19" w14:textId="23AC924C" w:rsidR="008F4620" w:rsidRDefault="00193ACD" w:rsidP="009D5A00">
      <w:pPr>
        <w:pStyle w:val="RedaliaRetraitavecpuce"/>
        <w:ind w:left="426"/>
      </w:pPr>
      <w:r>
        <w:t>Les mesures de sécurité mises en œuvre pour garantir l’intégrité, la confidentialité et la disponibilité des données, ainsi que les conditions de notification des violations sont les suivantes :</w:t>
      </w:r>
      <w:r w:rsidR="009D5A00">
        <w:t xml:space="preserve"> </w:t>
      </w:r>
      <w:r>
        <w:t xml:space="preserve">ces mesures seront énoncées dans </w:t>
      </w:r>
      <w:r w:rsidR="00ED38A9">
        <w:t xml:space="preserve">une </w:t>
      </w:r>
      <w:r>
        <w:t xml:space="preserve">Convention qui sera adaptée à la prestation. Cette Convention sera signée avec le titulaire, </w:t>
      </w:r>
      <w:r w:rsidR="00ED38A9">
        <w:t xml:space="preserve">au plus tôt </w:t>
      </w:r>
      <w:r>
        <w:t>à la notification</w:t>
      </w:r>
      <w:r w:rsidR="00ED38A9">
        <w:t>,</w:t>
      </w:r>
      <w:r>
        <w:t xml:space="preserve"> pour définir les obligations respectives des parties en matière de sécurité et de protection des données à caractère personnel. Pour se faire, le titulaire doit mentionner dans son offre l'identité de son Délégué à la Protection des Données ou a minima les coordonnées d'un référent à contacter pour toutes questions sur la protection des données.</w:t>
      </w:r>
    </w:p>
    <w:p w14:paraId="38DEA583" w14:textId="77777777" w:rsidR="008F4620" w:rsidRPr="009D5A00" w:rsidRDefault="008F4620">
      <w:pPr>
        <w:pStyle w:val="RedaliaNormal"/>
        <w:rPr>
          <w:sz w:val="14"/>
          <w:szCs w:val="12"/>
        </w:rPr>
      </w:pPr>
    </w:p>
    <w:p w14:paraId="696ACE07" w14:textId="3888A092" w:rsidR="008F4620" w:rsidRDefault="00193ACD" w:rsidP="009D5A00">
      <w:pPr>
        <w:pStyle w:val="RedaliaRetraitavecpuce"/>
        <w:ind w:left="426"/>
      </w:pPr>
      <w:r>
        <w:t>La durée et les modalités de conservation des données et le sort de celles-ci au terme de l’exécution du marché sont les suivantes :</w:t>
      </w:r>
      <w:r w:rsidR="009D5A00">
        <w:t xml:space="preserve"> l</w:t>
      </w:r>
      <w:r>
        <w:t>’</w:t>
      </w:r>
      <w:r w:rsidR="009D5A00">
        <w:t>A</w:t>
      </w:r>
      <w:r>
        <w:t>gence de l’eau Rhin-Meuse conserve à des fins d’archivage les dossiers administratifs et financiers :</w:t>
      </w:r>
    </w:p>
    <w:p w14:paraId="416ED4F5" w14:textId="77777777" w:rsidR="008F4620" w:rsidRDefault="00193ACD" w:rsidP="009D5A00">
      <w:pPr>
        <w:pStyle w:val="RedaliaNormal"/>
        <w:ind w:left="426"/>
      </w:pPr>
      <w:r>
        <w:lastRenderedPageBreak/>
        <w:t>- 5 ans pour les candidatures et offres non retenues</w:t>
      </w:r>
    </w:p>
    <w:p w14:paraId="53ECA2DB" w14:textId="77777777" w:rsidR="008F4620" w:rsidRDefault="00193ACD" w:rsidP="009D5A00">
      <w:pPr>
        <w:pStyle w:val="RedaliaNormal"/>
        <w:ind w:left="426"/>
      </w:pPr>
      <w:r>
        <w:t>- 10 ans pour les marchés relatifs à des prestations de service, prestation d’études et achats fournitures courantes</w:t>
      </w:r>
    </w:p>
    <w:p w14:paraId="38307BF5" w14:textId="77777777" w:rsidR="008F4620" w:rsidRDefault="00193ACD" w:rsidP="009D5A00">
      <w:pPr>
        <w:pStyle w:val="RedaliaNormal"/>
        <w:ind w:left="426"/>
      </w:pPr>
      <w:r>
        <w:t>- 150 ans pour les prestations intellectuelles ouvrant droits d’auteur</w:t>
      </w:r>
    </w:p>
    <w:p w14:paraId="37103C06" w14:textId="77777777" w:rsidR="008F4620" w:rsidRDefault="00193ACD" w:rsidP="009D5A00">
      <w:pPr>
        <w:pStyle w:val="RedaliaNormal"/>
        <w:ind w:left="426"/>
      </w:pPr>
      <w:r>
        <w:t>- Durée de vie du bâtiment pour tous marchés de travaux</w:t>
      </w:r>
    </w:p>
    <w:p w14:paraId="04DB79BD" w14:textId="77777777" w:rsidR="008F4620" w:rsidRDefault="008F4620" w:rsidP="009D5A00">
      <w:pPr>
        <w:pStyle w:val="RedaliaNormal"/>
        <w:ind w:left="426"/>
      </w:pPr>
    </w:p>
    <w:p w14:paraId="72DA0D0A" w14:textId="77777777" w:rsidR="008F4620" w:rsidRDefault="00193ACD" w:rsidP="009D5A00">
      <w:pPr>
        <w:pStyle w:val="RedaliaNormal"/>
      </w:pPr>
      <w:r>
        <w:t>Au terme de la prestation relative au traitement de ces données ou au plus tard au terme de la durée du contrat, le titulaire s’engage à détruire de manière irréversible toutes les données à caractère personnel. Une fois celles-ci détruites, le titulaire justifie par écrit de la destruction.</w:t>
      </w:r>
    </w:p>
    <w:p w14:paraId="3233407B" w14:textId="77777777" w:rsidR="008F4620" w:rsidRPr="009D5A00" w:rsidRDefault="008F4620">
      <w:pPr>
        <w:pStyle w:val="RedaliaNormal"/>
        <w:rPr>
          <w:sz w:val="14"/>
          <w:szCs w:val="14"/>
        </w:rPr>
      </w:pPr>
    </w:p>
    <w:p w14:paraId="733D6E4B" w14:textId="77777777" w:rsidR="008F4620" w:rsidRDefault="00193ACD">
      <w:pPr>
        <w:pStyle w:val="RedaliaNormal"/>
      </w:pPr>
      <w:r>
        <w:t>En cas de méconnaissance de la réglementation relative au traitement des données par le titulaire, il sera fait application d’une ou de plusieurs pénalité(s) selon les modalités suivantes : le titulaire encourt la résiliation du marché, sans qu'il soit nécessaire d'appliquer des pénalités au préalable.</w:t>
      </w:r>
    </w:p>
    <w:p w14:paraId="16BD3B9E" w14:textId="77777777" w:rsidR="008F4620" w:rsidRPr="009D5A00" w:rsidRDefault="008F4620">
      <w:pPr>
        <w:pStyle w:val="RedaliaNormal"/>
        <w:rPr>
          <w:sz w:val="14"/>
          <w:szCs w:val="14"/>
        </w:rPr>
      </w:pPr>
    </w:p>
    <w:p w14:paraId="74A4E65A" w14:textId="77777777" w:rsidR="008F4620" w:rsidRDefault="00193ACD">
      <w:pPr>
        <w:pStyle w:val="RedaliaNormal"/>
      </w:pPr>
      <w:r>
        <w:t>En cas de manquement, par le titulaire ou son sous-traitant, à ses obligations légales et contractuelles relatives à la protection des données personnelles, le marché pourra être résilié pour faute.</w:t>
      </w:r>
    </w:p>
    <w:p w14:paraId="6CF5F949" w14:textId="77777777" w:rsidR="002365AF" w:rsidRDefault="002365AF">
      <w:pPr>
        <w:pStyle w:val="RedaliaNormal"/>
      </w:pPr>
    </w:p>
    <w:p w14:paraId="7525EF3F" w14:textId="1D2999D0" w:rsidR="008F4620" w:rsidRDefault="00193ACD" w:rsidP="00EB2CAB">
      <w:pPr>
        <w:pStyle w:val="CCP-Titre1"/>
      </w:pPr>
      <w:bookmarkStart w:id="31" w:name="_Toc158819790"/>
      <w:bookmarkStart w:id="32" w:name="_Toc179450210"/>
      <w:r>
        <w:t>Durée</w:t>
      </w:r>
      <w:r w:rsidR="00EB7B0F">
        <w:t xml:space="preserve"> </w:t>
      </w:r>
      <w:r>
        <w:t xml:space="preserve">– Reconduction – Délais </w:t>
      </w:r>
      <w:r w:rsidR="00EB7B0F">
        <w:t xml:space="preserve">et modalités </w:t>
      </w:r>
      <w:r>
        <w:t>d’exécution</w:t>
      </w:r>
      <w:bookmarkEnd w:id="31"/>
      <w:bookmarkEnd w:id="32"/>
    </w:p>
    <w:p w14:paraId="4B583B19" w14:textId="11A223DF" w:rsidR="008F4620" w:rsidRDefault="00193ACD" w:rsidP="001B712D">
      <w:pPr>
        <w:pStyle w:val="CCP-Titre2"/>
      </w:pPr>
      <w:bookmarkStart w:id="33" w:name="_Toc158819791"/>
      <w:bookmarkStart w:id="34" w:name="_Toc179450211"/>
      <w:r>
        <w:t xml:space="preserve">Durée </w:t>
      </w:r>
      <w:bookmarkEnd w:id="33"/>
      <w:bookmarkEnd w:id="34"/>
    </w:p>
    <w:p w14:paraId="5F659BC5" w14:textId="62F466A3" w:rsidR="00EB7B0F" w:rsidRDefault="00EB7B0F" w:rsidP="00EB7B0F">
      <w:pPr>
        <w:pStyle w:val="RedaliaNormal"/>
      </w:pPr>
      <w:r w:rsidRPr="00CF3D1E">
        <w:t xml:space="preserve">Le présent CCP est conclu </w:t>
      </w:r>
      <w:r w:rsidRPr="00D57EC9">
        <w:rPr>
          <w:b/>
          <w:bCs/>
        </w:rPr>
        <w:t xml:space="preserve">pour une </w:t>
      </w:r>
      <w:r w:rsidR="0055159F" w:rsidRPr="00D57EC9">
        <w:rPr>
          <w:b/>
          <w:bCs/>
        </w:rPr>
        <w:t>première période</w:t>
      </w:r>
      <w:r w:rsidR="0055159F" w:rsidRPr="00D57EC9">
        <w:t xml:space="preserve"> de</w:t>
      </w:r>
      <w:r w:rsidRPr="00D57EC9">
        <w:t xml:space="preserve"> </w:t>
      </w:r>
      <w:r w:rsidR="005A2D09" w:rsidRPr="00D57EC9">
        <w:t>9</w:t>
      </w:r>
      <w:r w:rsidRPr="00D57EC9">
        <w:t xml:space="preserve"> mois à compter d</w:t>
      </w:r>
      <w:r w:rsidR="00CF3D1E" w:rsidRPr="00D57EC9">
        <w:t>u 1</w:t>
      </w:r>
      <w:r w:rsidR="00CF3D1E" w:rsidRPr="00D57EC9">
        <w:rPr>
          <w:vertAlign w:val="superscript"/>
        </w:rPr>
        <w:t>er</w:t>
      </w:r>
      <w:r w:rsidR="00CF3D1E" w:rsidRPr="00D57EC9">
        <w:t xml:space="preserve"> </w:t>
      </w:r>
      <w:r w:rsidR="00E2090B" w:rsidRPr="00D57EC9">
        <w:t>avril 2025</w:t>
      </w:r>
      <w:r w:rsidR="00CF3D1E" w:rsidRPr="00D57EC9">
        <w:t>, ou à la</w:t>
      </w:r>
      <w:r w:rsidRPr="00D57EC9">
        <w:t xml:space="preserve"> date de notification</w:t>
      </w:r>
      <w:r w:rsidR="00EC1F9B" w:rsidRPr="00D57EC9">
        <w:t xml:space="preserve"> </w:t>
      </w:r>
      <w:r w:rsidR="00CF3D1E" w:rsidRPr="00D57EC9">
        <w:t>si elle est postérieure</w:t>
      </w:r>
      <w:r w:rsidR="00420F1A" w:rsidRPr="00D57EC9">
        <w:t xml:space="preserve">, </w:t>
      </w:r>
      <w:r w:rsidR="00AB5AE1" w:rsidRPr="00D57EC9">
        <w:t>jusqu’au</w:t>
      </w:r>
      <w:r w:rsidR="00420F1A" w:rsidRPr="00D57EC9">
        <w:t xml:space="preserve"> 31/12/2025.</w:t>
      </w:r>
    </w:p>
    <w:p w14:paraId="7A0864C0" w14:textId="77777777" w:rsidR="00D431DD" w:rsidRDefault="00D431DD" w:rsidP="00EB7B0F">
      <w:pPr>
        <w:pStyle w:val="RedaliaNormal"/>
      </w:pPr>
    </w:p>
    <w:p w14:paraId="09638EDE" w14:textId="77777777" w:rsidR="008F4620" w:rsidRDefault="00193ACD" w:rsidP="001B712D">
      <w:pPr>
        <w:pStyle w:val="CCP-Titre2"/>
      </w:pPr>
      <w:bookmarkStart w:id="35" w:name="_Toc158819792"/>
      <w:bookmarkStart w:id="36" w:name="_Toc179450212"/>
      <w:r>
        <w:t>Prolongation des délais d’exécution</w:t>
      </w:r>
      <w:bookmarkEnd w:id="35"/>
      <w:bookmarkEnd w:id="36"/>
    </w:p>
    <w:p w14:paraId="4B6C8DAD" w14:textId="0BD32675" w:rsidR="008F4620" w:rsidRDefault="00193ACD">
      <w:pPr>
        <w:pStyle w:val="RedaliaNormal"/>
      </w:pPr>
      <w:r>
        <w:t>Les stipulations de l’article 13.3 du CCAG FCS sont applicables.</w:t>
      </w:r>
    </w:p>
    <w:p w14:paraId="3AC55127" w14:textId="19A1C9B0" w:rsidR="001B712D" w:rsidRPr="001B712D" w:rsidRDefault="001B712D" w:rsidP="001B712D">
      <w:pPr>
        <w:keepLines/>
        <w:pBdr>
          <w:top w:val="none" w:sz="0" w:space="0" w:color="auto"/>
          <w:left w:val="none" w:sz="0" w:space="0" w:color="auto"/>
          <w:bottom w:val="none" w:sz="0" w:space="0" w:color="auto"/>
          <w:right w:val="none" w:sz="0" w:space="0" w:color="auto"/>
        </w:pBdr>
        <w:jc w:val="both"/>
        <w:textAlignment w:val="auto"/>
        <w:rPr>
          <w:rFonts w:ascii="Arial" w:hAnsi="Arial"/>
          <w:snapToGrid w:val="0"/>
          <w:sz w:val="22"/>
          <w:szCs w:val="22"/>
        </w:rPr>
      </w:pPr>
      <w:r w:rsidRPr="001B712D">
        <w:rPr>
          <w:rFonts w:ascii="Arial" w:hAnsi="Arial"/>
          <w:snapToGrid w:val="0"/>
          <w:sz w:val="22"/>
          <w:szCs w:val="22"/>
        </w:rPr>
        <w:t xml:space="preserve">La prolongation des délais d’exécution </w:t>
      </w:r>
      <w:r w:rsidRPr="00070FD6">
        <w:rPr>
          <w:rFonts w:ascii="Arial" w:hAnsi="Arial"/>
          <w:snapToGrid w:val="0"/>
          <w:sz w:val="22"/>
          <w:szCs w:val="22"/>
        </w:rPr>
        <w:t>pourra</w:t>
      </w:r>
      <w:r w:rsidR="00070FD6">
        <w:rPr>
          <w:rFonts w:ascii="Arial" w:hAnsi="Arial"/>
          <w:snapToGrid w:val="0"/>
          <w:sz w:val="22"/>
          <w:szCs w:val="22"/>
        </w:rPr>
        <w:t xml:space="preserve"> </w:t>
      </w:r>
      <w:r w:rsidRPr="001B712D">
        <w:rPr>
          <w:rFonts w:ascii="Arial" w:hAnsi="Arial"/>
          <w:snapToGrid w:val="0"/>
          <w:sz w:val="22"/>
          <w:szCs w:val="22"/>
        </w:rPr>
        <w:t>intervenir sur demande écrite motivée du titulaire, sous réserve de l'accord écrit de l'Agence. Ces modifications ne donnent pas lieu à l'établissement d'un avenant.</w:t>
      </w:r>
    </w:p>
    <w:p w14:paraId="3587349F" w14:textId="77777777" w:rsidR="001B712D" w:rsidRPr="001B712D" w:rsidRDefault="001B712D" w:rsidP="001B712D">
      <w:pPr>
        <w:pStyle w:val="RedaliaNormal"/>
        <w:rPr>
          <w:i/>
          <w:iCs/>
          <w:sz w:val="14"/>
          <w:szCs w:val="12"/>
        </w:rPr>
      </w:pPr>
    </w:p>
    <w:p w14:paraId="73E05BB1" w14:textId="5FA2E2D7" w:rsidR="001B712D" w:rsidRDefault="001B712D" w:rsidP="001B712D">
      <w:pPr>
        <w:pStyle w:val="RedaliaNormal"/>
      </w:pPr>
      <w:r w:rsidRPr="00BB725B">
        <w:rPr>
          <w:i/>
          <w:iCs/>
        </w:rPr>
        <w:t xml:space="preserve">Par dérogation à l'article 13.3.3 du CCAG </w:t>
      </w:r>
      <w:r>
        <w:rPr>
          <w:i/>
          <w:iCs/>
        </w:rPr>
        <w:t>FCS</w:t>
      </w:r>
      <w:r w:rsidRPr="00BB725B">
        <w:t>, le</w:t>
      </w:r>
      <w:r>
        <w:t xml:space="preserve"> silence de l’acheteur sur la demande de prolongation dans le délai prévu à cet article vaut rejet de la demande.</w:t>
      </w:r>
    </w:p>
    <w:p w14:paraId="55D0F2C2" w14:textId="77777777" w:rsidR="002365AF" w:rsidRDefault="002365AF" w:rsidP="001B712D">
      <w:pPr>
        <w:pStyle w:val="RedaliaNormal"/>
      </w:pPr>
    </w:p>
    <w:p w14:paraId="473748A8" w14:textId="77777777" w:rsidR="008F4620" w:rsidRPr="001B712D" w:rsidRDefault="00193ACD" w:rsidP="001B712D">
      <w:pPr>
        <w:pStyle w:val="CCP-Titre2"/>
      </w:pPr>
      <w:bookmarkStart w:id="37" w:name="_Toc158819793"/>
      <w:bookmarkStart w:id="38" w:name="_Toc179450213"/>
      <w:r w:rsidRPr="001B712D">
        <w:t>Reconduction</w:t>
      </w:r>
      <w:bookmarkEnd w:id="37"/>
      <w:bookmarkEnd w:id="38"/>
    </w:p>
    <w:bookmarkStart w:id="39" w:name="_Hlk158037033"/>
    <w:p w14:paraId="3544C405" w14:textId="503CECA9" w:rsidR="001B712D" w:rsidRPr="00CF3D1E" w:rsidRDefault="00D57EC9" w:rsidP="001B712D">
      <w:pPr>
        <w:pStyle w:val="RedaliaNormal"/>
      </w:pPr>
      <w:sdt>
        <w:sdtPr>
          <w:id w:val="990451517"/>
          <w:placeholder>
            <w:docPart w:val="EF5041D748E9494DB3D2AC702EC1521F"/>
          </w:placeholder>
          <w:comboBox>
            <w:listItem w:value="Choisissez un élément."/>
            <w:listItem w:displayText="Le marché" w:value="Le marché"/>
            <w:listItem w:displayText="L'accord-cadre" w:value="L'accord-cadre"/>
          </w:comboBox>
        </w:sdtPr>
        <w:sdtEndPr/>
        <w:sdtContent>
          <w:r w:rsidR="00454A5C" w:rsidRPr="00CF3D1E">
            <w:t>L'accord-cadre</w:t>
          </w:r>
        </w:sdtContent>
      </w:sdt>
      <w:r w:rsidR="001B712D" w:rsidRPr="00CF3D1E">
        <w:t xml:space="preserve"> </w:t>
      </w:r>
      <w:bookmarkEnd w:id="39"/>
      <w:r w:rsidR="001B712D" w:rsidRPr="00CF3D1E">
        <w:t>sera reconduit</w:t>
      </w:r>
      <w:r w:rsidR="007F0317" w:rsidRPr="00CF3D1E">
        <w:t>.</w:t>
      </w:r>
    </w:p>
    <w:p w14:paraId="48B7C99B" w14:textId="2CDC761C" w:rsidR="001B712D" w:rsidRDefault="007F0317" w:rsidP="002365AF">
      <w:pPr>
        <w:pStyle w:val="RedaliaNormal"/>
        <w:rPr>
          <w:szCs w:val="22"/>
        </w:rPr>
      </w:pPr>
      <w:r w:rsidRPr="00CF3D1E">
        <w:t>Sauf dénonciation expresse par lettre recommandée au plus tard dans les deux mois avant l</w:t>
      </w:r>
      <w:r w:rsidR="00420F1A">
        <w:t>e 31</w:t>
      </w:r>
      <w:r w:rsidR="00CA08DC">
        <w:t xml:space="preserve"> décembre</w:t>
      </w:r>
      <w:r w:rsidR="00420F1A">
        <w:t xml:space="preserve"> de l’année d’exécution,</w:t>
      </w:r>
      <w:r w:rsidRPr="00CF3D1E">
        <w:t xml:space="preserve"> </w:t>
      </w:r>
      <w:r w:rsidR="00376A5D">
        <w:t>l’accord-cadre</w:t>
      </w:r>
      <w:r w:rsidRPr="00CF3D1E">
        <w:t xml:space="preserve"> sera reconduit tacitement </w:t>
      </w:r>
      <w:proofErr w:type="gramStart"/>
      <w:r w:rsidR="00AB5AE1">
        <w:t xml:space="preserve">par </w:t>
      </w:r>
      <w:r w:rsidRPr="00CF3D1E">
        <w:t xml:space="preserve"> période</w:t>
      </w:r>
      <w:r w:rsidR="00AB5AE1">
        <w:t>s</w:t>
      </w:r>
      <w:proofErr w:type="gramEnd"/>
      <w:r w:rsidRPr="00CF3D1E">
        <w:t xml:space="preserve"> de 12 mois</w:t>
      </w:r>
      <w:r w:rsidR="00AB5AE1">
        <w:t>,</w:t>
      </w:r>
      <w:r w:rsidRPr="00CF3D1E">
        <w:t xml:space="preserve"> sans que sa durée maximale puisse excéder 48 mois.</w:t>
      </w:r>
    </w:p>
    <w:p w14:paraId="3475280C" w14:textId="77777777" w:rsidR="00DF6EF1" w:rsidRDefault="00DF6EF1" w:rsidP="001B712D">
      <w:pPr>
        <w:pStyle w:val="RedTxt"/>
        <w:jc w:val="both"/>
        <w:rPr>
          <w:sz w:val="22"/>
          <w:szCs w:val="22"/>
        </w:rPr>
      </w:pPr>
    </w:p>
    <w:p w14:paraId="0ABD59AD" w14:textId="77777777" w:rsidR="00C5048C" w:rsidRPr="00C5048C" w:rsidRDefault="00C5048C" w:rsidP="00C5048C">
      <w:pPr>
        <w:pStyle w:val="CCP-Titre2"/>
      </w:pPr>
      <w:bookmarkStart w:id="40" w:name="_Toc73980583"/>
      <w:bookmarkStart w:id="41" w:name="_Toc158810371"/>
      <w:bookmarkStart w:id="42" w:name="_Toc158819794"/>
      <w:bookmarkStart w:id="43" w:name="_Toc179450214"/>
      <w:bookmarkStart w:id="44" w:name="_Hlk157430001"/>
      <w:r w:rsidRPr="00C5048C">
        <w:t>Sous-traitance</w:t>
      </w:r>
      <w:bookmarkEnd w:id="40"/>
      <w:bookmarkEnd w:id="41"/>
      <w:bookmarkEnd w:id="42"/>
      <w:bookmarkEnd w:id="43"/>
    </w:p>
    <w:p w14:paraId="1D25FB78" w14:textId="77777777" w:rsidR="00C5048C" w:rsidRDefault="00C5048C" w:rsidP="00C5048C">
      <w:pPr>
        <w:widowControl w:val="0"/>
        <w:tabs>
          <w:tab w:val="left" w:leader="dot" w:pos="8505"/>
        </w:tabs>
        <w:suppressAutoHyphens/>
        <w:spacing w:before="40"/>
        <w:jc w:val="both"/>
        <w:textAlignment w:val="auto"/>
        <w:rPr>
          <w:rFonts w:ascii="Arial" w:hAnsi="Arial"/>
          <w:sz w:val="22"/>
        </w:rPr>
      </w:pPr>
      <w:r w:rsidRPr="00C5048C">
        <w:rPr>
          <w:rFonts w:ascii="Arial" w:hAnsi="Arial"/>
          <w:sz w:val="22"/>
        </w:rPr>
        <w:t>Le titulaire peut, sous sa responsabilité, sous-traiter l’exécution de ce marché dans les conditions fixées par le Code de la commande publique.</w:t>
      </w:r>
    </w:p>
    <w:p w14:paraId="6287379F" w14:textId="77777777" w:rsidR="00DB160D" w:rsidRDefault="00DB160D" w:rsidP="00C5048C">
      <w:pPr>
        <w:widowControl w:val="0"/>
        <w:tabs>
          <w:tab w:val="left" w:leader="dot" w:pos="8505"/>
        </w:tabs>
        <w:suppressAutoHyphens/>
        <w:spacing w:before="40"/>
        <w:jc w:val="both"/>
        <w:textAlignment w:val="auto"/>
        <w:rPr>
          <w:rFonts w:ascii="Arial" w:hAnsi="Arial"/>
          <w:sz w:val="22"/>
        </w:rPr>
      </w:pPr>
    </w:p>
    <w:p w14:paraId="767C61B7" w14:textId="77777777" w:rsidR="00D57EC9" w:rsidRPr="00C5048C" w:rsidRDefault="00D57EC9" w:rsidP="00C5048C">
      <w:pPr>
        <w:widowControl w:val="0"/>
        <w:tabs>
          <w:tab w:val="left" w:leader="dot" w:pos="8505"/>
        </w:tabs>
        <w:suppressAutoHyphens/>
        <w:spacing w:before="40"/>
        <w:jc w:val="both"/>
        <w:textAlignment w:val="auto"/>
        <w:rPr>
          <w:rFonts w:ascii="Arial" w:hAnsi="Arial"/>
          <w:sz w:val="22"/>
        </w:rPr>
      </w:pPr>
    </w:p>
    <w:p w14:paraId="552CF838" w14:textId="77777777" w:rsidR="00C5048C" w:rsidRPr="00C5048C" w:rsidRDefault="00C5048C" w:rsidP="00C5048C">
      <w:pPr>
        <w:pStyle w:val="CCP-Titre2"/>
      </w:pPr>
      <w:bookmarkStart w:id="45" w:name="_Toc158810372"/>
      <w:bookmarkStart w:id="46" w:name="_Toc158819795"/>
      <w:bookmarkStart w:id="47" w:name="_Toc179450215"/>
      <w:bookmarkEnd w:id="44"/>
      <w:r w:rsidRPr="00C5048C">
        <w:lastRenderedPageBreak/>
        <w:t>Co-traitance</w:t>
      </w:r>
      <w:bookmarkEnd w:id="45"/>
      <w:bookmarkEnd w:id="46"/>
      <w:bookmarkEnd w:id="47"/>
    </w:p>
    <w:p w14:paraId="393B5D14" w14:textId="77777777" w:rsidR="00C5048C" w:rsidRPr="00C5048C" w:rsidRDefault="00C5048C" w:rsidP="00C5048C">
      <w:pPr>
        <w:widowControl w:val="0"/>
        <w:tabs>
          <w:tab w:val="left" w:leader="dot" w:pos="8505"/>
        </w:tabs>
        <w:suppressAutoHyphens/>
        <w:spacing w:before="40"/>
        <w:jc w:val="both"/>
        <w:textAlignment w:val="auto"/>
        <w:rPr>
          <w:rFonts w:ascii="Arial" w:hAnsi="Arial"/>
          <w:sz w:val="22"/>
        </w:rPr>
      </w:pPr>
      <w:r w:rsidRPr="00C5048C">
        <w:rPr>
          <w:rFonts w:ascii="Arial" w:hAnsi="Arial"/>
          <w:sz w:val="22"/>
        </w:rPr>
        <w:t>Les candidats peuvent présenter leur candidature ou leur offre sous la forme de groupement solidaire ou de groupement conjoint, sous réserve du respect des règles relatives à la liberté des prix et à la concurrence. En cas de groupement conjoint, le mandataire est réputé être solidaire des autres membres du groupement.</w:t>
      </w:r>
    </w:p>
    <w:p w14:paraId="356E8ED9" w14:textId="77777777" w:rsidR="00C5048C" w:rsidRPr="00C5048C" w:rsidRDefault="00C5048C" w:rsidP="00C5048C">
      <w:pPr>
        <w:pStyle w:val="CCP-Titre2"/>
      </w:pPr>
      <w:bookmarkStart w:id="48" w:name="_Toc73980584"/>
      <w:bookmarkStart w:id="49" w:name="_Toc158810373"/>
      <w:bookmarkStart w:id="50" w:name="_Toc158819796"/>
      <w:bookmarkStart w:id="51" w:name="_Toc179450216"/>
      <w:bookmarkEnd w:id="48"/>
      <w:r w:rsidRPr="00C5048C">
        <w:t>Modification du marché / de l'accord-cadre</w:t>
      </w:r>
      <w:bookmarkEnd w:id="49"/>
      <w:bookmarkEnd w:id="50"/>
      <w:bookmarkEnd w:id="51"/>
    </w:p>
    <w:bookmarkStart w:id="52" w:name="_Hlk157428411"/>
    <w:p w14:paraId="6D6AF8B7" w14:textId="1C56F260" w:rsidR="00C5048C" w:rsidRPr="00C5048C" w:rsidRDefault="00D57EC9" w:rsidP="00C5048C">
      <w:pPr>
        <w:widowControl w:val="0"/>
        <w:tabs>
          <w:tab w:val="left" w:leader="dot" w:pos="8505"/>
        </w:tabs>
        <w:suppressAutoHyphens/>
        <w:spacing w:before="40"/>
        <w:jc w:val="both"/>
        <w:textAlignment w:val="auto"/>
        <w:rPr>
          <w:rFonts w:ascii="Arial" w:hAnsi="Arial"/>
          <w:sz w:val="22"/>
        </w:rPr>
      </w:pPr>
      <w:sdt>
        <w:sdtPr>
          <w:rPr>
            <w:rFonts w:ascii="Arial" w:hAnsi="Arial"/>
            <w:sz w:val="22"/>
          </w:rPr>
          <w:id w:val="-1798132364"/>
          <w:placeholder>
            <w:docPart w:val="3B693A7553374D27AA33282DFF582769"/>
          </w:placeholder>
          <w:comboBox>
            <w:listItem w:value="Choisissez un élément."/>
            <w:listItem w:displayText="Le marché" w:value="Le marché"/>
            <w:listItem w:displayText="L'accord-cadre" w:value="L'accord-cadre"/>
          </w:comboBox>
        </w:sdtPr>
        <w:sdtEndPr/>
        <w:sdtContent>
          <w:r w:rsidR="00454A5C">
            <w:rPr>
              <w:rFonts w:ascii="Arial" w:hAnsi="Arial"/>
              <w:sz w:val="22"/>
            </w:rPr>
            <w:t>L'accord-cadre</w:t>
          </w:r>
        </w:sdtContent>
      </w:sdt>
      <w:r w:rsidR="00C5048C" w:rsidRPr="00C5048C">
        <w:rPr>
          <w:rFonts w:ascii="Arial" w:hAnsi="Arial"/>
          <w:sz w:val="22"/>
        </w:rPr>
        <w:t xml:space="preserve"> </w:t>
      </w:r>
      <w:bookmarkEnd w:id="52"/>
      <w:r w:rsidR="00C5048C" w:rsidRPr="00C5048C">
        <w:rPr>
          <w:rFonts w:ascii="Arial" w:hAnsi="Arial"/>
          <w:sz w:val="22"/>
        </w:rPr>
        <w:t>peut être modifié par la conclusion d’actes modificatifs dans les cas décrits aux articles R. 2194-1 à R. 2194-9 du Code de la commande publique.</w:t>
      </w:r>
    </w:p>
    <w:p w14:paraId="3BD4752C" w14:textId="77777777" w:rsidR="00C5048C" w:rsidRPr="00C5048C" w:rsidRDefault="00C5048C" w:rsidP="00C5048C">
      <w:pPr>
        <w:pStyle w:val="CCP-Titre2"/>
      </w:pPr>
      <w:bookmarkStart w:id="53" w:name="_Toc73980585"/>
      <w:bookmarkStart w:id="54" w:name="_Toc158810374"/>
      <w:bookmarkStart w:id="55" w:name="_Toc158819797"/>
      <w:bookmarkStart w:id="56" w:name="_Toc179450217"/>
      <w:r w:rsidRPr="00C5048C">
        <w:t>Prestations supplémentaires ou modificatives</w:t>
      </w:r>
      <w:bookmarkEnd w:id="53"/>
      <w:bookmarkEnd w:id="54"/>
      <w:bookmarkEnd w:id="55"/>
      <w:bookmarkEnd w:id="56"/>
    </w:p>
    <w:p w14:paraId="609FFA04" w14:textId="10822734" w:rsidR="00C5048C" w:rsidRPr="00C5048C" w:rsidRDefault="00C5048C" w:rsidP="00C5048C">
      <w:pPr>
        <w:widowControl w:val="0"/>
        <w:tabs>
          <w:tab w:val="left" w:leader="dot" w:pos="8505"/>
        </w:tabs>
        <w:suppressAutoHyphens/>
        <w:spacing w:before="40"/>
        <w:jc w:val="both"/>
        <w:textAlignment w:val="auto"/>
        <w:rPr>
          <w:rFonts w:ascii="Arial" w:hAnsi="Arial"/>
          <w:sz w:val="22"/>
        </w:rPr>
      </w:pPr>
      <w:r w:rsidRPr="00C5048C">
        <w:rPr>
          <w:rFonts w:ascii="Arial" w:hAnsi="Arial"/>
          <w:sz w:val="22"/>
        </w:rPr>
        <w:t xml:space="preserve">Dans les conditions prévues à l’article 23 du CCAG </w:t>
      </w:r>
      <w:r>
        <w:rPr>
          <w:rFonts w:ascii="Arial" w:hAnsi="Arial"/>
          <w:sz w:val="22"/>
        </w:rPr>
        <w:t>FCS</w:t>
      </w:r>
      <w:r w:rsidRPr="00C5048C">
        <w:rPr>
          <w:rFonts w:ascii="Arial" w:hAnsi="Arial"/>
          <w:sz w:val="22"/>
        </w:rPr>
        <w:t>, l’acheteur peut prescrire au titulaire, par ordre de service, pendant l'exécution, des prestations supplémentaires ou modificatives après consultation de ce dernier ou accepter les modifications qu'il propose.</w:t>
      </w:r>
    </w:p>
    <w:p w14:paraId="74474DE8" w14:textId="77777777" w:rsidR="00C5048C" w:rsidRDefault="00C5048C" w:rsidP="00C5048C">
      <w:pPr>
        <w:widowControl w:val="0"/>
        <w:tabs>
          <w:tab w:val="left" w:leader="dot" w:pos="8505"/>
        </w:tabs>
        <w:suppressAutoHyphens/>
        <w:spacing w:before="40"/>
        <w:jc w:val="both"/>
        <w:textAlignment w:val="auto"/>
        <w:rPr>
          <w:rFonts w:ascii="Arial" w:hAnsi="Arial"/>
          <w:sz w:val="22"/>
        </w:rPr>
      </w:pPr>
      <w:r w:rsidRPr="00C5048C">
        <w:rPr>
          <w:rFonts w:ascii="Arial" w:hAnsi="Arial"/>
          <w:sz w:val="22"/>
        </w:rPr>
        <w:t>Le titulaire ne doit apporter aucune modification aux spécifications techniques sans autorisation préalable de l'acheteur.</w:t>
      </w:r>
    </w:p>
    <w:p w14:paraId="5EFFEB00" w14:textId="77777777" w:rsidR="00B84C84" w:rsidRPr="00C5048C" w:rsidRDefault="00B84C84" w:rsidP="00C5048C">
      <w:pPr>
        <w:widowControl w:val="0"/>
        <w:tabs>
          <w:tab w:val="left" w:leader="dot" w:pos="8505"/>
        </w:tabs>
        <w:suppressAutoHyphens/>
        <w:spacing w:before="40"/>
        <w:jc w:val="both"/>
        <w:textAlignment w:val="auto"/>
        <w:rPr>
          <w:rFonts w:ascii="Arial" w:hAnsi="Arial"/>
          <w:sz w:val="22"/>
        </w:rPr>
      </w:pPr>
    </w:p>
    <w:p w14:paraId="6E84B10B" w14:textId="6089E4C5" w:rsidR="00C5048C" w:rsidRDefault="00C5048C" w:rsidP="00C5048C">
      <w:pPr>
        <w:widowControl w:val="0"/>
        <w:tabs>
          <w:tab w:val="left" w:leader="dot" w:pos="8505"/>
        </w:tabs>
        <w:suppressAutoHyphens/>
        <w:spacing w:before="40"/>
        <w:jc w:val="both"/>
        <w:textAlignment w:val="auto"/>
        <w:rPr>
          <w:rFonts w:ascii="Arial" w:hAnsi="Arial"/>
          <w:sz w:val="22"/>
        </w:rPr>
      </w:pPr>
      <w:r w:rsidRPr="00C5048C">
        <w:rPr>
          <w:rFonts w:ascii="Arial" w:hAnsi="Arial"/>
          <w:sz w:val="22"/>
        </w:rPr>
        <w:t xml:space="preserve">Comme le présent CCP ne prévoit pas de prix pour les prestations supplémentaires ou modificatives demandées par l’acheteur au titulaire, l’ordre de service prescrivant ces prestations fixera provisoirement les prix nouveaux retenus pour le règlement des prestations supplémentaires ou modificatives conformément aux dispositions de l’article 23 du CCAG </w:t>
      </w:r>
      <w:r>
        <w:rPr>
          <w:rFonts w:ascii="Arial" w:hAnsi="Arial"/>
          <w:sz w:val="22"/>
        </w:rPr>
        <w:t>FCS</w:t>
      </w:r>
      <w:r w:rsidRPr="00C5048C">
        <w:rPr>
          <w:rFonts w:ascii="Arial" w:hAnsi="Arial"/>
          <w:sz w:val="22"/>
        </w:rPr>
        <w:t>.</w:t>
      </w:r>
    </w:p>
    <w:p w14:paraId="1927DCE9" w14:textId="77777777" w:rsidR="00B84C84" w:rsidRDefault="00B84C84" w:rsidP="00C5048C">
      <w:pPr>
        <w:widowControl w:val="0"/>
        <w:tabs>
          <w:tab w:val="left" w:leader="dot" w:pos="8505"/>
        </w:tabs>
        <w:suppressAutoHyphens/>
        <w:spacing w:before="40"/>
        <w:jc w:val="both"/>
        <w:textAlignment w:val="auto"/>
        <w:rPr>
          <w:rFonts w:ascii="Arial" w:hAnsi="Arial"/>
          <w:sz w:val="22"/>
        </w:rPr>
      </w:pPr>
    </w:p>
    <w:p w14:paraId="726B3803" w14:textId="7BCE0C87" w:rsidR="00C5048C" w:rsidRPr="00B6468E" w:rsidRDefault="00C5048C" w:rsidP="00E2090B">
      <w:pPr>
        <w:pStyle w:val="CCP-Titre1"/>
        <w:spacing w:before="0" w:after="0"/>
      </w:pPr>
      <w:bookmarkStart w:id="57" w:name="_Toc158810375"/>
      <w:bookmarkStart w:id="58" w:name="_Toc158819798"/>
      <w:bookmarkStart w:id="59" w:name="_Toc179450218"/>
      <w:bookmarkStart w:id="60" w:name="_Hlk157440591"/>
      <w:r w:rsidRPr="00B6468E">
        <w:t>Détail des prestations –</w:t>
      </w:r>
      <w:r w:rsidR="00092153">
        <w:t>M</w:t>
      </w:r>
      <w:r w:rsidRPr="00B6468E">
        <w:t>odalités d'exécution</w:t>
      </w:r>
      <w:bookmarkEnd w:id="57"/>
      <w:bookmarkEnd w:id="58"/>
      <w:bookmarkEnd w:id="59"/>
    </w:p>
    <w:bookmarkEnd w:id="60"/>
    <w:p w14:paraId="7364070F" w14:textId="2AC39526" w:rsidR="00891050" w:rsidRPr="00891050" w:rsidRDefault="00891050" w:rsidP="00E2090B">
      <w:pPr>
        <w:pStyle w:val="CCP-Titre2"/>
        <w:numPr>
          <w:ilvl w:val="0"/>
          <w:numId w:val="0"/>
        </w:numPr>
        <w:spacing w:before="0" w:after="0"/>
        <w:ind w:left="714"/>
      </w:pPr>
    </w:p>
    <w:p w14:paraId="45FD6686" w14:textId="173F83C9" w:rsidR="00925F82" w:rsidRPr="00925F82" w:rsidRDefault="00925F82" w:rsidP="000F5085">
      <w:pPr>
        <w:autoSpaceDE w:val="0"/>
        <w:autoSpaceDN w:val="0"/>
        <w:adjustRightInd w:val="0"/>
        <w:jc w:val="both"/>
        <w:rPr>
          <w:rFonts w:ascii="Arial" w:hAnsi="Arial"/>
          <w:sz w:val="22"/>
        </w:rPr>
      </w:pPr>
      <w:r w:rsidRPr="00925F82">
        <w:rPr>
          <w:rFonts w:ascii="Arial" w:hAnsi="Arial"/>
          <w:sz w:val="22"/>
        </w:rPr>
        <w:t>L’Agence de l’eau Rhin-Meuse est un établissement public national à caractère administratif qui emploie à ce</w:t>
      </w:r>
      <w:r>
        <w:rPr>
          <w:rFonts w:ascii="Arial" w:hAnsi="Arial"/>
          <w:sz w:val="22"/>
        </w:rPr>
        <w:t xml:space="preserve"> </w:t>
      </w:r>
      <w:r w:rsidRPr="00925F82">
        <w:rPr>
          <w:rFonts w:ascii="Arial" w:hAnsi="Arial"/>
          <w:sz w:val="22"/>
        </w:rPr>
        <w:t>jour près de 170 agents.</w:t>
      </w:r>
    </w:p>
    <w:p w14:paraId="7A6F3A57" w14:textId="39435E38"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Les stipulations du présent Cahier des Clauses Particulières concernent une prestation de service social du</w:t>
      </w:r>
      <w:r>
        <w:rPr>
          <w:rFonts w:ascii="Arial" w:hAnsi="Arial"/>
          <w:sz w:val="22"/>
        </w:rPr>
        <w:t xml:space="preserve"> </w:t>
      </w:r>
      <w:r w:rsidRPr="00925F82">
        <w:rPr>
          <w:rFonts w:ascii="Arial" w:hAnsi="Arial"/>
          <w:sz w:val="22"/>
        </w:rPr>
        <w:t>travail visant à :</w:t>
      </w:r>
    </w:p>
    <w:p w14:paraId="181E1870" w14:textId="77777777" w:rsidR="00925F82" w:rsidRPr="00925F82" w:rsidRDefault="00925F82" w:rsidP="00925F82">
      <w:pPr>
        <w:autoSpaceDE w:val="0"/>
        <w:autoSpaceDN w:val="0"/>
        <w:adjustRightInd w:val="0"/>
        <w:jc w:val="both"/>
        <w:rPr>
          <w:rFonts w:ascii="Arial" w:hAnsi="Arial"/>
          <w:sz w:val="22"/>
        </w:rPr>
      </w:pPr>
    </w:p>
    <w:p w14:paraId="68165810" w14:textId="195495D6" w:rsidR="00925F82" w:rsidRPr="00925F82" w:rsidRDefault="00925F82" w:rsidP="00925F82">
      <w:pPr>
        <w:numPr>
          <w:ilvl w:val="0"/>
          <w:numId w:val="36"/>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proofErr w:type="gramStart"/>
      <w:r w:rsidRPr="00925F82">
        <w:rPr>
          <w:rFonts w:ascii="Arial" w:hAnsi="Arial"/>
          <w:sz w:val="22"/>
        </w:rPr>
        <w:t>effectuer</w:t>
      </w:r>
      <w:proofErr w:type="gramEnd"/>
      <w:r w:rsidRPr="00925F82">
        <w:rPr>
          <w:rFonts w:ascii="Arial" w:hAnsi="Arial"/>
          <w:sz w:val="22"/>
        </w:rPr>
        <w:t xml:space="preserve"> un accompagnement social spécialisé de ses salariés, tant sur le plan professionnel que</w:t>
      </w:r>
      <w:r>
        <w:rPr>
          <w:rFonts w:ascii="Arial" w:hAnsi="Arial"/>
          <w:sz w:val="22"/>
        </w:rPr>
        <w:t xml:space="preserve"> </w:t>
      </w:r>
      <w:r w:rsidRPr="00925F82">
        <w:rPr>
          <w:rFonts w:ascii="Arial" w:hAnsi="Arial"/>
          <w:sz w:val="22"/>
        </w:rPr>
        <w:t>personnel,</w:t>
      </w:r>
    </w:p>
    <w:p w14:paraId="3C3D394D" w14:textId="77777777" w:rsidR="00925F82" w:rsidRPr="00925F82" w:rsidRDefault="00925F82" w:rsidP="00925F82">
      <w:pPr>
        <w:numPr>
          <w:ilvl w:val="0"/>
          <w:numId w:val="36"/>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proofErr w:type="gramStart"/>
      <w:r w:rsidRPr="00925F82">
        <w:rPr>
          <w:rFonts w:ascii="Arial" w:hAnsi="Arial"/>
          <w:sz w:val="22"/>
        </w:rPr>
        <w:t>participer</w:t>
      </w:r>
      <w:proofErr w:type="gramEnd"/>
      <w:r w:rsidRPr="00925F82">
        <w:rPr>
          <w:rFonts w:ascii="Arial" w:hAnsi="Arial"/>
          <w:sz w:val="22"/>
        </w:rPr>
        <w:t xml:space="preserve"> à l’amélioration des conditions de vie à l’Agence en suggérant des solutions aux problèmes rencontrés par le personnel à partir de l’observation des situations individuelles et collectives,</w:t>
      </w:r>
    </w:p>
    <w:p w14:paraId="13CC107F" w14:textId="77777777" w:rsidR="00925F82" w:rsidRPr="00925F82" w:rsidRDefault="00925F82" w:rsidP="00925F82">
      <w:pPr>
        <w:pStyle w:val="RedTxt"/>
        <w:widowControl/>
        <w:numPr>
          <w:ilvl w:val="0"/>
          <w:numId w:val="36"/>
        </w:numPr>
        <w:pBdr>
          <w:top w:val="none" w:sz="0" w:space="0" w:color="auto"/>
          <w:left w:val="none" w:sz="0" w:space="0" w:color="auto"/>
          <w:bottom w:val="none" w:sz="0" w:space="0" w:color="auto"/>
          <w:right w:val="none" w:sz="0" w:space="0" w:color="auto"/>
        </w:pBdr>
        <w:suppressAutoHyphens w:val="0"/>
        <w:jc w:val="both"/>
        <w:rPr>
          <w:rFonts w:cs="Times New Roman"/>
          <w:sz w:val="22"/>
        </w:rPr>
      </w:pPr>
      <w:proofErr w:type="gramStart"/>
      <w:r w:rsidRPr="00925F82">
        <w:rPr>
          <w:rFonts w:cs="Times New Roman"/>
          <w:sz w:val="22"/>
        </w:rPr>
        <w:t>concevoir</w:t>
      </w:r>
      <w:proofErr w:type="gramEnd"/>
      <w:r w:rsidRPr="00925F82">
        <w:rPr>
          <w:rFonts w:cs="Times New Roman"/>
          <w:sz w:val="22"/>
        </w:rPr>
        <w:t xml:space="preserve"> des actions collectives adaptées aux besoins repérés.</w:t>
      </w:r>
    </w:p>
    <w:p w14:paraId="16A1A398" w14:textId="77777777" w:rsidR="00925F82" w:rsidRPr="00077395" w:rsidRDefault="00925F82" w:rsidP="00925F82">
      <w:pPr>
        <w:pStyle w:val="RedTxt"/>
        <w:widowControl/>
        <w:jc w:val="both"/>
        <w:rPr>
          <w:rFonts w:cs="Arial"/>
          <w:szCs w:val="18"/>
        </w:rPr>
      </w:pPr>
    </w:p>
    <w:p w14:paraId="5F829936" w14:textId="77777777" w:rsidR="00925F82" w:rsidRPr="00925F82" w:rsidRDefault="00925F82" w:rsidP="00925F82">
      <w:pPr>
        <w:pStyle w:val="RedTxt"/>
        <w:jc w:val="both"/>
        <w:rPr>
          <w:rFonts w:cs="Times New Roman"/>
          <w:sz w:val="22"/>
        </w:rPr>
      </w:pPr>
      <w:r w:rsidRPr="00DB160D">
        <w:rPr>
          <w:rFonts w:cs="Times New Roman"/>
          <w:sz w:val="22"/>
          <w:u w:val="single"/>
        </w:rPr>
        <w:t>Profil de l’intervenant</w:t>
      </w:r>
      <w:r w:rsidRPr="00925F82">
        <w:rPr>
          <w:rFonts w:cs="Times New Roman"/>
          <w:sz w:val="22"/>
        </w:rPr>
        <w:t xml:space="preserve"> :</w:t>
      </w:r>
    </w:p>
    <w:p w14:paraId="303C942B" w14:textId="77777777" w:rsidR="00925F82" w:rsidRPr="00925F82" w:rsidRDefault="00925F82" w:rsidP="00925F82">
      <w:pPr>
        <w:pStyle w:val="RedTxt"/>
        <w:jc w:val="both"/>
        <w:rPr>
          <w:rFonts w:cs="Times New Roman"/>
          <w:sz w:val="22"/>
        </w:rPr>
      </w:pPr>
    </w:p>
    <w:p w14:paraId="1F0D1083" w14:textId="7777777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La prestation sera réalisée par un(e) Assistant(e) Social(e) diplômé(e).</w:t>
      </w:r>
    </w:p>
    <w:p w14:paraId="533F31BA" w14:textId="77777777" w:rsidR="00925F82" w:rsidRPr="00925F82" w:rsidRDefault="00925F82" w:rsidP="00925F82">
      <w:pPr>
        <w:pStyle w:val="RedTxt"/>
        <w:jc w:val="both"/>
        <w:rPr>
          <w:rFonts w:cs="Times New Roman"/>
          <w:sz w:val="22"/>
        </w:rPr>
      </w:pPr>
      <w:r w:rsidRPr="00925F82">
        <w:rPr>
          <w:rFonts w:cs="Times New Roman"/>
          <w:sz w:val="22"/>
        </w:rPr>
        <w:t>Le titulaire se porte garant de l’exécution de la prestation selon les règles déontologiques en vigueur dans la profession.</w:t>
      </w:r>
    </w:p>
    <w:p w14:paraId="3A6398FE" w14:textId="001DBF0F" w:rsidR="00925F82" w:rsidRPr="00925F82" w:rsidRDefault="00925F82" w:rsidP="00925F82">
      <w:pPr>
        <w:pStyle w:val="RedTxt"/>
        <w:jc w:val="both"/>
        <w:rPr>
          <w:rFonts w:cs="Times New Roman"/>
          <w:sz w:val="22"/>
        </w:rPr>
      </w:pPr>
      <w:r w:rsidRPr="00925F82">
        <w:rPr>
          <w:rFonts w:cs="Times New Roman"/>
          <w:sz w:val="22"/>
        </w:rPr>
        <w:t>Le titulaire doit désigner un intervenant qui devra conduire l’ensemble de la prestation. Celui-ci devra impérativement être titulaire d’un diplôme et justifier d’une expérience. Un intervenant unique aura la charge de la mission.</w:t>
      </w:r>
    </w:p>
    <w:p w14:paraId="19F11BBF" w14:textId="7777777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Toutefois, en cas d’absence de l’intervenant (notamment en cas de longue maladie, etc.), ce dernier devra être remplacé pour permettre la continuité de service.</w:t>
      </w:r>
    </w:p>
    <w:p w14:paraId="51C22F33" w14:textId="77777777" w:rsidR="00925F82" w:rsidRPr="00925F82" w:rsidRDefault="00925F82" w:rsidP="00925F82">
      <w:pPr>
        <w:pStyle w:val="RedTxt"/>
        <w:jc w:val="both"/>
        <w:rPr>
          <w:rFonts w:cs="Times New Roman"/>
          <w:sz w:val="22"/>
        </w:rPr>
      </w:pPr>
      <w:r w:rsidRPr="00925F82">
        <w:rPr>
          <w:rFonts w:cs="Times New Roman"/>
          <w:sz w:val="22"/>
        </w:rPr>
        <w:t xml:space="preserve">Compte tenu des exigences relatives aux personnes physiques qui exécuteront les prestations, pour tout changement de personne en cours d’exécution, le profil d’un nouvel intervenant sera obligatoirement soumis à l’acceptation de l’Agence, sous peine de résiliation du marché. </w:t>
      </w:r>
    </w:p>
    <w:p w14:paraId="219995F0" w14:textId="77777777" w:rsidR="00925F82" w:rsidRPr="00925F82" w:rsidRDefault="00925F82" w:rsidP="00925F82">
      <w:pPr>
        <w:pStyle w:val="RedTxt"/>
        <w:jc w:val="both"/>
        <w:rPr>
          <w:rFonts w:cs="Times New Roman"/>
          <w:sz w:val="22"/>
        </w:rPr>
      </w:pPr>
    </w:p>
    <w:p w14:paraId="1C19ECEF" w14:textId="77777777" w:rsidR="00925F82" w:rsidRPr="00925F82" w:rsidRDefault="00925F82" w:rsidP="00925F82">
      <w:pPr>
        <w:pStyle w:val="RedTxt"/>
        <w:jc w:val="both"/>
        <w:rPr>
          <w:rFonts w:cs="Times New Roman"/>
          <w:sz w:val="22"/>
        </w:rPr>
      </w:pPr>
      <w:r w:rsidRPr="00DB160D">
        <w:rPr>
          <w:rFonts w:cs="Times New Roman"/>
          <w:sz w:val="22"/>
          <w:u w:val="single"/>
        </w:rPr>
        <w:lastRenderedPageBreak/>
        <w:t>Processus</w:t>
      </w:r>
      <w:r w:rsidRPr="00925F82">
        <w:rPr>
          <w:rFonts w:cs="Times New Roman"/>
          <w:sz w:val="22"/>
        </w:rPr>
        <w:t> :</w:t>
      </w:r>
    </w:p>
    <w:p w14:paraId="29A35103" w14:textId="77777777" w:rsidR="00925F82" w:rsidRDefault="00925F82" w:rsidP="00925F82">
      <w:pPr>
        <w:pStyle w:val="RedTxt"/>
        <w:jc w:val="both"/>
        <w:rPr>
          <w:rFonts w:cs="Times New Roman"/>
          <w:sz w:val="22"/>
        </w:rPr>
      </w:pPr>
    </w:p>
    <w:p w14:paraId="1916385C" w14:textId="74F1E400" w:rsidR="001468E2" w:rsidRPr="001468E2" w:rsidRDefault="001468E2" w:rsidP="001468E2">
      <w:pPr>
        <w:pStyle w:val="RedTxt"/>
        <w:jc w:val="both"/>
        <w:rPr>
          <w:rFonts w:cs="Times New Roman"/>
          <w:sz w:val="22"/>
        </w:rPr>
      </w:pPr>
      <w:r w:rsidRPr="001468E2">
        <w:rPr>
          <w:rFonts w:cs="Times New Roman"/>
          <w:sz w:val="22"/>
        </w:rPr>
        <w:t>Les interventions se dérouleront principalement sur le site de l’Agence, mais pourront se faire</w:t>
      </w:r>
      <w:r w:rsidR="00C05AA0">
        <w:rPr>
          <w:rFonts w:cs="Times New Roman"/>
          <w:sz w:val="22"/>
        </w:rPr>
        <w:t xml:space="preserve"> sur </w:t>
      </w:r>
      <w:r w:rsidR="00FE0348">
        <w:rPr>
          <w:rFonts w:cs="Times New Roman"/>
          <w:sz w:val="22"/>
        </w:rPr>
        <w:t>rendez-vous</w:t>
      </w:r>
      <w:r w:rsidR="00C05AA0">
        <w:rPr>
          <w:rFonts w:cs="Times New Roman"/>
          <w:sz w:val="22"/>
        </w:rPr>
        <w:t xml:space="preserve"> (UO 03),</w:t>
      </w:r>
      <w:r w:rsidRPr="001468E2">
        <w:rPr>
          <w:rFonts w:cs="Times New Roman"/>
          <w:sz w:val="22"/>
        </w:rPr>
        <w:t xml:space="preserve"> dans des locaux adaptés dans l’agglomération messine en fonction des contraintes de confidentialité exprimées par les agents.</w:t>
      </w:r>
    </w:p>
    <w:p w14:paraId="33A9EDD8" w14:textId="77777777" w:rsidR="001468E2" w:rsidRPr="00925F82" w:rsidRDefault="001468E2" w:rsidP="00925F82">
      <w:pPr>
        <w:pStyle w:val="RedTxt"/>
        <w:jc w:val="both"/>
        <w:rPr>
          <w:rFonts w:cs="Times New Roman"/>
          <w:sz w:val="22"/>
        </w:rPr>
      </w:pPr>
    </w:p>
    <w:p w14:paraId="79679ECD" w14:textId="77777777" w:rsidR="00925F82" w:rsidRPr="00925F82" w:rsidRDefault="00925F82" w:rsidP="00925F82">
      <w:pPr>
        <w:autoSpaceDE w:val="0"/>
        <w:autoSpaceDN w:val="0"/>
        <w:adjustRightInd w:val="0"/>
        <w:jc w:val="both"/>
        <w:rPr>
          <w:rFonts w:ascii="Arial" w:hAnsi="Arial"/>
          <w:sz w:val="22"/>
        </w:rPr>
      </w:pPr>
      <w:r w:rsidRPr="00963E25">
        <w:rPr>
          <w:rFonts w:ascii="Arial" w:hAnsi="Arial"/>
          <w:sz w:val="22"/>
        </w:rPr>
        <w:t>La périodicité définie avec l’Agence est d’une vacation par mois, soit 12 journées par période de 12 mois, à compter de la date de notification du marché :</w:t>
      </w:r>
    </w:p>
    <w:p w14:paraId="17441FF4" w14:textId="45CEE08B"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 xml:space="preserve">La vacation </w:t>
      </w:r>
      <w:r w:rsidR="009F42A8">
        <w:rPr>
          <w:rFonts w:ascii="Arial" w:hAnsi="Arial"/>
          <w:sz w:val="22"/>
        </w:rPr>
        <w:t xml:space="preserve">interne </w:t>
      </w:r>
      <w:r w:rsidRPr="00925F82">
        <w:rPr>
          <w:rFonts w:ascii="Arial" w:hAnsi="Arial"/>
          <w:sz w:val="22"/>
        </w:rPr>
        <w:t>peut se décomposer ainsi :</w:t>
      </w:r>
    </w:p>
    <w:p w14:paraId="2B8A8253" w14:textId="77777777" w:rsidR="00925F82" w:rsidRPr="00925F82" w:rsidRDefault="00925F82" w:rsidP="00925F82">
      <w:pPr>
        <w:autoSpaceDE w:val="0"/>
        <w:autoSpaceDN w:val="0"/>
        <w:adjustRightInd w:val="0"/>
        <w:jc w:val="both"/>
        <w:rPr>
          <w:rFonts w:ascii="Arial" w:hAnsi="Arial"/>
          <w:sz w:val="22"/>
        </w:rPr>
      </w:pPr>
    </w:p>
    <w:p w14:paraId="7BB663D8" w14:textId="239FD38F" w:rsidR="00925F82" w:rsidRPr="00925F82" w:rsidRDefault="00925F82" w:rsidP="00925F82">
      <w:pPr>
        <w:numPr>
          <w:ilvl w:val="0"/>
          <w:numId w:val="37"/>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proofErr w:type="gramStart"/>
      <w:r w:rsidRPr="00925F82">
        <w:rPr>
          <w:rFonts w:ascii="Arial" w:hAnsi="Arial"/>
          <w:sz w:val="22"/>
        </w:rPr>
        <w:t>soit</w:t>
      </w:r>
      <w:proofErr w:type="gramEnd"/>
      <w:r w:rsidRPr="00925F82">
        <w:rPr>
          <w:rFonts w:ascii="Arial" w:hAnsi="Arial"/>
          <w:sz w:val="22"/>
        </w:rPr>
        <w:t xml:space="preserve"> une journée (7h)</w:t>
      </w:r>
      <w:r w:rsidR="00960952">
        <w:rPr>
          <w:rFonts w:ascii="Arial" w:hAnsi="Arial"/>
          <w:sz w:val="22"/>
        </w:rPr>
        <w:t xml:space="preserve"> par mois</w:t>
      </w:r>
      <w:r w:rsidR="007A48E5">
        <w:rPr>
          <w:rFonts w:ascii="Arial" w:hAnsi="Arial"/>
          <w:sz w:val="22"/>
        </w:rPr>
        <w:t xml:space="preserve"> (UO 01)</w:t>
      </w:r>
      <w:r w:rsidRPr="00925F82">
        <w:rPr>
          <w:rFonts w:ascii="Arial" w:hAnsi="Arial"/>
          <w:sz w:val="22"/>
        </w:rPr>
        <w:t xml:space="preserve">, </w:t>
      </w:r>
    </w:p>
    <w:p w14:paraId="1F21506E" w14:textId="2DC57F75" w:rsidR="00925F82" w:rsidRPr="00925F82" w:rsidRDefault="00925F82" w:rsidP="00925F82">
      <w:pPr>
        <w:numPr>
          <w:ilvl w:val="0"/>
          <w:numId w:val="37"/>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proofErr w:type="gramStart"/>
      <w:r w:rsidRPr="00925F82">
        <w:rPr>
          <w:rFonts w:ascii="Arial" w:hAnsi="Arial"/>
          <w:sz w:val="22"/>
        </w:rPr>
        <w:t>soit</w:t>
      </w:r>
      <w:proofErr w:type="gramEnd"/>
      <w:r w:rsidRPr="00925F82">
        <w:rPr>
          <w:rFonts w:ascii="Arial" w:hAnsi="Arial"/>
          <w:sz w:val="22"/>
        </w:rPr>
        <w:t xml:space="preserve"> deux ½ journées (3h30) par mois</w:t>
      </w:r>
      <w:r w:rsidR="007A48E5">
        <w:rPr>
          <w:rFonts w:ascii="Arial" w:hAnsi="Arial"/>
          <w:sz w:val="22"/>
        </w:rPr>
        <w:t xml:space="preserve"> (UO 02)</w:t>
      </w:r>
      <w:r w:rsidRPr="00925F82">
        <w:rPr>
          <w:rFonts w:ascii="Arial" w:hAnsi="Arial"/>
          <w:sz w:val="22"/>
        </w:rPr>
        <w:t>.</w:t>
      </w:r>
    </w:p>
    <w:p w14:paraId="5C174248" w14:textId="77777777" w:rsidR="00925F82" w:rsidRPr="00925F82" w:rsidRDefault="00925F82" w:rsidP="00925F82">
      <w:pPr>
        <w:autoSpaceDE w:val="0"/>
        <w:autoSpaceDN w:val="0"/>
        <w:adjustRightInd w:val="0"/>
        <w:ind w:left="720"/>
        <w:jc w:val="both"/>
        <w:rPr>
          <w:rFonts w:ascii="Arial" w:hAnsi="Arial"/>
          <w:sz w:val="22"/>
        </w:rPr>
      </w:pPr>
    </w:p>
    <w:p w14:paraId="0356B873" w14:textId="7AD7505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 xml:space="preserve">En cas de réunion </w:t>
      </w:r>
      <w:r>
        <w:rPr>
          <w:rFonts w:ascii="Arial" w:hAnsi="Arial"/>
          <w:sz w:val="22"/>
        </w:rPr>
        <w:t>où le prestataire serait invité</w:t>
      </w:r>
      <w:r w:rsidRPr="00925F82">
        <w:rPr>
          <w:rFonts w:ascii="Arial" w:hAnsi="Arial"/>
          <w:sz w:val="22"/>
        </w:rPr>
        <w:t>, l</w:t>
      </w:r>
      <w:r>
        <w:rPr>
          <w:rFonts w:ascii="Arial" w:hAnsi="Arial"/>
          <w:sz w:val="22"/>
        </w:rPr>
        <w:t>a</w:t>
      </w:r>
      <w:r w:rsidRPr="00925F82">
        <w:rPr>
          <w:rFonts w:ascii="Arial" w:hAnsi="Arial"/>
          <w:sz w:val="22"/>
        </w:rPr>
        <w:t xml:space="preserve"> vacation </w:t>
      </w:r>
      <w:r>
        <w:rPr>
          <w:rFonts w:ascii="Arial" w:hAnsi="Arial"/>
          <w:sz w:val="22"/>
        </w:rPr>
        <w:t xml:space="preserve">aura lieu </w:t>
      </w:r>
      <w:r w:rsidRPr="00925F82">
        <w:rPr>
          <w:rFonts w:ascii="Arial" w:hAnsi="Arial"/>
          <w:sz w:val="22"/>
        </w:rPr>
        <w:t>le même jour. Cette journée sera facturée au coût de la prestation « vacation interne » à la journée</w:t>
      </w:r>
      <w:r w:rsidR="00C05AA0">
        <w:rPr>
          <w:rFonts w:ascii="Arial" w:hAnsi="Arial"/>
          <w:sz w:val="22"/>
        </w:rPr>
        <w:t xml:space="preserve"> (UO 01) ou à la ½ journée (UO 02) en fonction des besoins</w:t>
      </w:r>
      <w:r w:rsidRPr="00925F82">
        <w:rPr>
          <w:rFonts w:ascii="Arial" w:hAnsi="Arial"/>
          <w:sz w:val="22"/>
        </w:rPr>
        <w:t>.</w:t>
      </w:r>
    </w:p>
    <w:p w14:paraId="30EEC3A8" w14:textId="77777777" w:rsidR="00925F82" w:rsidRPr="00925F82" w:rsidRDefault="00925F82" w:rsidP="00925F82">
      <w:pPr>
        <w:autoSpaceDE w:val="0"/>
        <w:autoSpaceDN w:val="0"/>
        <w:adjustRightInd w:val="0"/>
        <w:jc w:val="both"/>
        <w:rPr>
          <w:rFonts w:ascii="Arial" w:hAnsi="Arial"/>
          <w:sz w:val="22"/>
        </w:rPr>
      </w:pPr>
    </w:p>
    <w:p w14:paraId="7EC5DE22" w14:textId="7777777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A la demande de l’Agence, le nombre de vacations pourra être révisé en plus ou en moins.</w:t>
      </w:r>
    </w:p>
    <w:p w14:paraId="07E7C00E" w14:textId="7777777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Une augmentation du nombre de vacations pourra être organisée suivant les possibilités du titulaire.</w:t>
      </w:r>
    </w:p>
    <w:p w14:paraId="31ED260D" w14:textId="77777777" w:rsidR="00925F82" w:rsidRPr="00925F82" w:rsidRDefault="00925F82" w:rsidP="00925F82">
      <w:pPr>
        <w:autoSpaceDE w:val="0"/>
        <w:autoSpaceDN w:val="0"/>
        <w:adjustRightInd w:val="0"/>
        <w:jc w:val="both"/>
        <w:rPr>
          <w:rFonts w:ascii="Arial" w:hAnsi="Arial"/>
          <w:sz w:val="22"/>
        </w:rPr>
      </w:pPr>
    </w:p>
    <w:p w14:paraId="1FF9B7F7" w14:textId="77777777"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La prestation s’effectuera de la manière suivante, sous réserve d’un aménagement à convenir avec l’Agence :</w:t>
      </w:r>
    </w:p>
    <w:p w14:paraId="4A134A1C" w14:textId="77777777" w:rsidR="00925F82" w:rsidRPr="00925F82" w:rsidRDefault="00925F82" w:rsidP="00925F82">
      <w:pPr>
        <w:autoSpaceDE w:val="0"/>
        <w:autoSpaceDN w:val="0"/>
        <w:adjustRightInd w:val="0"/>
        <w:jc w:val="both"/>
        <w:rPr>
          <w:rFonts w:ascii="Arial" w:hAnsi="Arial"/>
          <w:sz w:val="22"/>
        </w:rPr>
      </w:pPr>
    </w:p>
    <w:p w14:paraId="610EE3AB" w14:textId="3E64BFC3" w:rsidR="00925F82" w:rsidRPr="00925F82" w:rsidRDefault="00925F82" w:rsidP="00925F82">
      <w:pPr>
        <w:numPr>
          <w:ilvl w:val="0"/>
          <w:numId w:val="38"/>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r w:rsidRPr="00925F82">
        <w:rPr>
          <w:rFonts w:ascii="Arial" w:hAnsi="Arial"/>
          <w:sz w:val="22"/>
        </w:rPr>
        <w:t>Vacation interne</w:t>
      </w:r>
      <w:r w:rsidR="002B4067">
        <w:rPr>
          <w:rFonts w:ascii="Arial" w:hAnsi="Arial"/>
          <w:sz w:val="22"/>
        </w:rPr>
        <w:t xml:space="preserve"> </w:t>
      </w:r>
      <w:r w:rsidRPr="00925F82">
        <w:rPr>
          <w:rFonts w:ascii="Arial" w:hAnsi="Arial"/>
          <w:sz w:val="22"/>
        </w:rPr>
        <w:t xml:space="preserve">: Intervention au sein de l’Agence dont les permanences (jours, heures et lieux) seront </w:t>
      </w:r>
      <w:r w:rsidR="001468E2" w:rsidRPr="00925F82">
        <w:rPr>
          <w:rFonts w:ascii="Arial" w:hAnsi="Arial"/>
          <w:sz w:val="22"/>
        </w:rPr>
        <w:t>fixées</w:t>
      </w:r>
      <w:r w:rsidRPr="00925F82">
        <w:rPr>
          <w:rFonts w:ascii="Arial" w:hAnsi="Arial"/>
          <w:sz w:val="22"/>
        </w:rPr>
        <w:t xml:space="preserve"> d’un commun accord avec l’Agence.</w:t>
      </w:r>
    </w:p>
    <w:p w14:paraId="13410C9D" w14:textId="2DABBAAE" w:rsidR="00925F82" w:rsidRPr="00925F82" w:rsidRDefault="00925F82" w:rsidP="00925F82">
      <w:pPr>
        <w:numPr>
          <w:ilvl w:val="0"/>
          <w:numId w:val="38"/>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r w:rsidRPr="00925F82">
        <w:rPr>
          <w:rFonts w:ascii="Arial" w:hAnsi="Arial"/>
          <w:sz w:val="22"/>
        </w:rPr>
        <w:t>Vacation externe : Intervention à l’extérieur de l’Agence dont les visites à domiciles et démarches spécifiques</w:t>
      </w:r>
    </w:p>
    <w:p w14:paraId="61C6AA1F" w14:textId="6CB7A731" w:rsidR="002B4067" w:rsidRPr="00E2090B" w:rsidRDefault="00925F82" w:rsidP="002B4067">
      <w:pPr>
        <w:numPr>
          <w:ilvl w:val="0"/>
          <w:numId w:val="38"/>
        </w:num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r w:rsidRPr="00E2090B">
        <w:rPr>
          <w:rFonts w:ascii="Arial" w:hAnsi="Arial"/>
          <w:sz w:val="22"/>
        </w:rPr>
        <w:t>Rédaction d’un rapport d’activité annuel rendant compte des interventions du titulaire (sans jamais mentionner l’identité des personnes concernées), qui sera présenté en réunion de C</w:t>
      </w:r>
      <w:r w:rsidR="00365CFE">
        <w:rPr>
          <w:rFonts w:ascii="Arial" w:hAnsi="Arial"/>
          <w:sz w:val="22"/>
        </w:rPr>
        <w:t xml:space="preserve">omité </w:t>
      </w:r>
      <w:r w:rsidRPr="00E2090B">
        <w:rPr>
          <w:rFonts w:ascii="Arial" w:hAnsi="Arial"/>
          <w:sz w:val="22"/>
        </w:rPr>
        <w:t>S</w:t>
      </w:r>
      <w:r w:rsidR="00365CFE">
        <w:rPr>
          <w:rFonts w:ascii="Arial" w:hAnsi="Arial"/>
          <w:sz w:val="22"/>
        </w:rPr>
        <w:t>ocial d’</w:t>
      </w:r>
      <w:r w:rsidRPr="00E2090B">
        <w:rPr>
          <w:rFonts w:ascii="Arial" w:hAnsi="Arial"/>
          <w:sz w:val="22"/>
        </w:rPr>
        <w:t>A</w:t>
      </w:r>
      <w:r w:rsidR="00365CFE">
        <w:rPr>
          <w:rFonts w:ascii="Arial" w:hAnsi="Arial"/>
          <w:sz w:val="22"/>
        </w:rPr>
        <w:t>dministration (CSA)</w:t>
      </w:r>
      <w:r w:rsidRPr="00E2090B">
        <w:rPr>
          <w:rFonts w:ascii="Arial" w:hAnsi="Arial"/>
          <w:sz w:val="22"/>
        </w:rPr>
        <w:t>.</w:t>
      </w:r>
      <w:r w:rsidR="002B4067" w:rsidRPr="00E2090B">
        <w:rPr>
          <w:rFonts w:ascii="Arial" w:hAnsi="Arial"/>
          <w:sz w:val="22"/>
        </w:rPr>
        <w:t xml:space="preserve"> Ce rapport devra être transmis au plus tard </w:t>
      </w:r>
      <w:r w:rsidR="00920178" w:rsidRPr="00E2090B">
        <w:rPr>
          <w:rFonts w:ascii="Arial" w:hAnsi="Arial"/>
          <w:sz w:val="22"/>
        </w:rPr>
        <w:t>au 31 janvier de l’année suivante</w:t>
      </w:r>
      <w:r w:rsidR="002B4067" w:rsidRPr="00E2090B">
        <w:rPr>
          <w:rFonts w:ascii="Arial" w:hAnsi="Arial"/>
          <w:sz w:val="22"/>
        </w:rPr>
        <w:t>.</w:t>
      </w:r>
    </w:p>
    <w:p w14:paraId="418D8F51" w14:textId="1D7944D9" w:rsidR="00925F82" w:rsidRPr="00925F82" w:rsidRDefault="00925F82" w:rsidP="00E2090B">
      <w:pPr>
        <w:pBdr>
          <w:top w:val="none" w:sz="0" w:space="0" w:color="auto"/>
          <w:left w:val="none" w:sz="0" w:space="0" w:color="auto"/>
          <w:bottom w:val="none" w:sz="0" w:space="0" w:color="auto"/>
          <w:right w:val="none" w:sz="0" w:space="0" w:color="auto"/>
        </w:pBdr>
        <w:autoSpaceDE w:val="0"/>
        <w:autoSpaceDN w:val="0"/>
        <w:adjustRightInd w:val="0"/>
        <w:ind w:left="720"/>
        <w:jc w:val="both"/>
        <w:textAlignment w:val="auto"/>
        <w:rPr>
          <w:rFonts w:ascii="Arial" w:hAnsi="Arial"/>
          <w:sz w:val="22"/>
        </w:rPr>
      </w:pPr>
    </w:p>
    <w:p w14:paraId="6EBFFDAD" w14:textId="77777777" w:rsidR="00925F82" w:rsidRPr="00925F82" w:rsidRDefault="00925F82" w:rsidP="00925F82">
      <w:pPr>
        <w:autoSpaceDE w:val="0"/>
        <w:autoSpaceDN w:val="0"/>
        <w:adjustRightInd w:val="0"/>
        <w:ind w:left="720"/>
        <w:jc w:val="both"/>
        <w:rPr>
          <w:rFonts w:ascii="Arial" w:hAnsi="Arial"/>
          <w:sz w:val="22"/>
        </w:rPr>
      </w:pPr>
    </w:p>
    <w:p w14:paraId="5673BB39" w14:textId="793DFADD" w:rsidR="00925F82" w:rsidRPr="00925F82" w:rsidRDefault="00925F82" w:rsidP="00925F82">
      <w:pPr>
        <w:autoSpaceDE w:val="0"/>
        <w:autoSpaceDN w:val="0"/>
        <w:adjustRightInd w:val="0"/>
        <w:jc w:val="both"/>
        <w:rPr>
          <w:rFonts w:ascii="Arial" w:hAnsi="Arial"/>
          <w:sz w:val="22"/>
        </w:rPr>
      </w:pPr>
      <w:r w:rsidRPr="00925F82">
        <w:rPr>
          <w:rFonts w:ascii="Arial" w:hAnsi="Arial"/>
          <w:sz w:val="22"/>
        </w:rPr>
        <w:t>Compte tenu de la spécificité de la prestation réalisée, l’Agence s’engage à mettre à disposition du titulaire un bureau indépendant, accueillant, non vitré côté couloir/passage, d’accès facile, préservant la confidentialité des entretiens avec les salariés et disposant d’un meuble classeur fermant à clés.</w:t>
      </w:r>
    </w:p>
    <w:p w14:paraId="30E270C5" w14:textId="77777777" w:rsidR="00925F82" w:rsidRPr="00925F82" w:rsidRDefault="00925F82" w:rsidP="00925F82">
      <w:pPr>
        <w:autoSpaceDE w:val="0"/>
        <w:autoSpaceDN w:val="0"/>
        <w:adjustRightInd w:val="0"/>
        <w:jc w:val="both"/>
        <w:rPr>
          <w:rFonts w:ascii="Arial" w:hAnsi="Arial"/>
          <w:sz w:val="22"/>
        </w:rPr>
      </w:pPr>
    </w:p>
    <w:p w14:paraId="7A0D0117" w14:textId="0074901E" w:rsidR="00925F82" w:rsidRDefault="00925F82" w:rsidP="00925F82">
      <w:pPr>
        <w:autoSpaceDE w:val="0"/>
        <w:autoSpaceDN w:val="0"/>
        <w:adjustRightInd w:val="0"/>
        <w:jc w:val="both"/>
        <w:rPr>
          <w:rFonts w:ascii="Arial" w:hAnsi="Arial"/>
          <w:sz w:val="22"/>
        </w:rPr>
      </w:pPr>
      <w:r w:rsidRPr="00925F82">
        <w:rPr>
          <w:rFonts w:ascii="Arial" w:hAnsi="Arial"/>
          <w:sz w:val="22"/>
        </w:rPr>
        <w:t xml:space="preserve">Pour l’exécution de la prestation, l’Agence désigne le </w:t>
      </w:r>
      <w:r>
        <w:rPr>
          <w:rFonts w:ascii="Arial" w:hAnsi="Arial"/>
          <w:sz w:val="22"/>
        </w:rPr>
        <w:t>responsable</w:t>
      </w:r>
      <w:r w:rsidRPr="00925F82">
        <w:rPr>
          <w:rFonts w:ascii="Arial" w:hAnsi="Arial"/>
          <w:sz w:val="22"/>
        </w:rPr>
        <w:t xml:space="preserve"> des Ressources Humaines, comme interlocuteur du titulaire.</w:t>
      </w:r>
    </w:p>
    <w:p w14:paraId="22FCDF2A" w14:textId="77777777" w:rsidR="00DF17EE" w:rsidRDefault="00DF17EE" w:rsidP="00925F82">
      <w:pPr>
        <w:autoSpaceDE w:val="0"/>
        <w:autoSpaceDN w:val="0"/>
        <w:adjustRightInd w:val="0"/>
        <w:jc w:val="both"/>
        <w:rPr>
          <w:rFonts w:ascii="Arial" w:hAnsi="Arial"/>
          <w:sz w:val="22"/>
        </w:rPr>
      </w:pPr>
    </w:p>
    <w:p w14:paraId="0D5E2A9D" w14:textId="77777777" w:rsidR="008F4620" w:rsidRDefault="00193ACD" w:rsidP="00EB2CAB">
      <w:pPr>
        <w:pStyle w:val="CCP-Titre1"/>
      </w:pPr>
      <w:bookmarkStart w:id="61" w:name="_Toc158819802"/>
      <w:bookmarkStart w:id="62" w:name="_Toc179450219"/>
      <w:r>
        <w:t>Pièces constitutives du marché</w:t>
      </w:r>
      <w:bookmarkEnd w:id="61"/>
      <w:bookmarkEnd w:id="62"/>
    </w:p>
    <w:p w14:paraId="4F52368A" w14:textId="77777777" w:rsidR="006255D8" w:rsidRDefault="006255D8" w:rsidP="006255D8">
      <w:pPr>
        <w:pStyle w:val="RedaliaNormal"/>
      </w:pPr>
      <w:bookmarkStart w:id="63" w:name="_Toc68255366"/>
      <w:r>
        <w:t>Les pièces contractuelles prévalent dans l’ordre ci-après :</w:t>
      </w:r>
    </w:p>
    <w:p w14:paraId="2003212E" w14:textId="4824E929" w:rsidR="006255D8" w:rsidRDefault="006255D8" w:rsidP="006255D8">
      <w:pPr>
        <w:pStyle w:val="RedaliaRetraitavecpuce"/>
        <w:numPr>
          <w:ilvl w:val="0"/>
          <w:numId w:val="6"/>
        </w:numPr>
        <w:ind w:left="720" w:hanging="360"/>
        <w:textAlignment w:val="auto"/>
      </w:pPr>
      <w:r>
        <w:t xml:space="preserve">Le présent Cahier des Clauses Particulières (CCP) valant acte d'engagement et ses annexes éventuelles, dont l’exemplaire original conservé dans les archives du pouvoir adjudicateur fait </w:t>
      </w:r>
      <w:proofErr w:type="gramStart"/>
      <w:r>
        <w:t>seul foi</w:t>
      </w:r>
      <w:proofErr w:type="gramEnd"/>
      <w:r w:rsidR="00C84630">
        <w:t>.</w:t>
      </w:r>
    </w:p>
    <w:p w14:paraId="331C9B68" w14:textId="200EB45F" w:rsidR="006255D8" w:rsidRDefault="006255D8" w:rsidP="006255D8">
      <w:pPr>
        <w:pStyle w:val="RedaliaRetraitavecpuce"/>
        <w:numPr>
          <w:ilvl w:val="0"/>
          <w:numId w:val="6"/>
        </w:numPr>
        <w:ind w:left="720" w:hanging="360"/>
        <w:textAlignment w:val="auto"/>
      </w:pPr>
      <w:r>
        <w:t xml:space="preserve">Le Cahier des Clauses Administratives Générales applicables aux marchés publics de </w:t>
      </w:r>
      <w:r w:rsidR="00DE546E">
        <w:t>fournitures courantes et services</w:t>
      </w:r>
      <w:r>
        <w:t xml:space="preserve"> (CCAG </w:t>
      </w:r>
      <w:r w:rsidR="00DE546E">
        <w:t>FCS</w:t>
      </w:r>
      <w:r>
        <w:t>) approuvé par l’arrêté du 30 mars 2021 (publié au JORF n°0078 du 1</w:t>
      </w:r>
      <w:r>
        <w:rPr>
          <w:rStyle w:val="Policepardfaut1"/>
          <w:position w:val="7"/>
          <w:sz w:val="14"/>
        </w:rPr>
        <w:t>er</w:t>
      </w:r>
      <w:r>
        <w:t xml:space="preserve"> avril 2021).</w:t>
      </w:r>
    </w:p>
    <w:p w14:paraId="110E747D" w14:textId="59C7A9CD" w:rsidR="006255D8" w:rsidRDefault="006255D8" w:rsidP="006255D8">
      <w:pPr>
        <w:pStyle w:val="RedaliaRetraitavecpuce"/>
        <w:numPr>
          <w:ilvl w:val="0"/>
          <w:numId w:val="6"/>
        </w:numPr>
        <w:ind w:left="720" w:hanging="360"/>
        <w:textAlignment w:val="auto"/>
      </w:pPr>
      <w:r>
        <w:t>L’offre technique du titulaire.</w:t>
      </w:r>
    </w:p>
    <w:p w14:paraId="07159F13" w14:textId="77777777" w:rsidR="007C0E98" w:rsidRDefault="007C0E98" w:rsidP="007C0E98">
      <w:pPr>
        <w:pStyle w:val="RedaliaRetraitavecpuce"/>
        <w:numPr>
          <w:ilvl w:val="0"/>
          <w:numId w:val="6"/>
        </w:numPr>
        <w:ind w:left="720" w:hanging="360"/>
        <w:textAlignment w:val="auto"/>
      </w:pPr>
      <w:r>
        <w:t xml:space="preserve">Les actes spéciaux de sous-traitance et leurs modifications éventuelles, postérieurs à </w:t>
      </w:r>
      <w:r>
        <w:lastRenderedPageBreak/>
        <w:t>la notification du marché.</w:t>
      </w:r>
    </w:p>
    <w:p w14:paraId="6EC30E00" w14:textId="77777777" w:rsidR="00F43916" w:rsidRDefault="00F43916" w:rsidP="00F43916">
      <w:pPr>
        <w:pStyle w:val="RedaliaRetraitavecpuce"/>
        <w:numPr>
          <w:ilvl w:val="0"/>
          <w:numId w:val="0"/>
        </w:numPr>
        <w:ind w:left="720"/>
        <w:textAlignment w:val="auto"/>
      </w:pPr>
    </w:p>
    <w:p w14:paraId="316F9DF9" w14:textId="77777777" w:rsidR="008F4620" w:rsidRDefault="00193ACD" w:rsidP="00EB2CAB">
      <w:pPr>
        <w:pStyle w:val="CCP-Titre1"/>
      </w:pPr>
      <w:bookmarkStart w:id="64" w:name="_Toc158819803"/>
      <w:bookmarkStart w:id="65" w:name="_Toc179450220"/>
      <w:r>
        <w:t>Forme des notifications et informations au titulaire</w:t>
      </w:r>
      <w:bookmarkEnd w:id="63"/>
      <w:bookmarkEnd w:id="64"/>
      <w:bookmarkEnd w:id="65"/>
    </w:p>
    <w:p w14:paraId="220C1E18" w14:textId="77777777" w:rsidR="008F4620" w:rsidRDefault="00193ACD">
      <w:pPr>
        <w:pStyle w:val="RedaliaNormal"/>
      </w:pPr>
      <w:r>
        <w:t>Pour les notifications au titulaire de ses décisions ou informations, le pouvoir adjudicateur communiquera par échanges dématérialisés dans les conditions suivantes : via la Plateforme des Achats de l'Etat (PLACE) ou par mail.</w:t>
      </w:r>
    </w:p>
    <w:p w14:paraId="45EB40E1" w14:textId="77777777" w:rsidR="008F4620" w:rsidRDefault="00193ACD" w:rsidP="00EB2CAB">
      <w:pPr>
        <w:pStyle w:val="CCP-Titre1"/>
      </w:pPr>
      <w:bookmarkStart w:id="66" w:name="_Toc2394445"/>
      <w:bookmarkStart w:id="67" w:name="_Toc68255367"/>
      <w:bookmarkStart w:id="68" w:name="_Toc158819804"/>
      <w:bookmarkStart w:id="69" w:name="_Toc179450221"/>
      <w:r>
        <w:t>Prix – Variation du prix</w:t>
      </w:r>
      <w:bookmarkEnd w:id="66"/>
      <w:bookmarkEnd w:id="67"/>
      <w:bookmarkEnd w:id="68"/>
      <w:bookmarkEnd w:id="69"/>
    </w:p>
    <w:p w14:paraId="6D24E07C" w14:textId="4289912D" w:rsidR="008F4620" w:rsidRDefault="00193ACD" w:rsidP="00AB709E">
      <w:pPr>
        <w:pStyle w:val="CCP-Titre2"/>
      </w:pPr>
      <w:bookmarkStart w:id="70" w:name="_Toc68255368"/>
      <w:bookmarkStart w:id="71" w:name="_Toc158819805"/>
      <w:bookmarkStart w:id="72" w:name="_Toc179450222"/>
      <w:bookmarkEnd w:id="70"/>
      <w:r>
        <w:t>Mode d’établissement d</w:t>
      </w:r>
      <w:r w:rsidR="00AB709E">
        <w:t>es</w:t>
      </w:r>
      <w:r>
        <w:t xml:space="preserve"> prix</w:t>
      </w:r>
      <w:bookmarkEnd w:id="71"/>
      <w:bookmarkEnd w:id="72"/>
      <w:r>
        <w:t xml:space="preserve"> </w:t>
      </w:r>
    </w:p>
    <w:p w14:paraId="7C7FEE2A" w14:textId="77777777" w:rsidR="00AB709E" w:rsidRDefault="00193ACD">
      <w:pPr>
        <w:pStyle w:val="RedaliaNormal"/>
        <w:rPr>
          <w:i/>
          <w:iCs/>
        </w:rPr>
      </w:pPr>
      <w:r>
        <w:t>Le</w:t>
      </w:r>
      <w:r w:rsidR="00AB709E">
        <w:t>s</w:t>
      </w:r>
      <w:r>
        <w:t xml:space="preserve"> prix </w:t>
      </w:r>
      <w:r w:rsidR="00AB709E">
        <w:t>sont</w:t>
      </w:r>
      <w:r>
        <w:t xml:space="preserve"> réputé</w:t>
      </w:r>
      <w:r w:rsidR="00AB709E">
        <w:t>s</w:t>
      </w:r>
      <w:r>
        <w:t xml:space="preserve"> établi</w:t>
      </w:r>
      <w:r w:rsidR="00AB709E">
        <w:t>s</w:t>
      </w:r>
      <w:r>
        <w:t xml:space="preserve"> sur la base des conditions économiques</w:t>
      </w:r>
      <w:r w:rsidR="00AB709E">
        <w:t xml:space="preserve"> </w:t>
      </w:r>
      <w:r w:rsidR="00AB709E" w:rsidRPr="00AB709E">
        <w:t xml:space="preserve">du mois de la date limite de remise des offres. Ce mois est appelé </w:t>
      </w:r>
      <w:r w:rsidR="00AB709E" w:rsidRPr="00AB709E">
        <w:rPr>
          <w:i/>
          <w:iCs/>
        </w:rPr>
        <w:t>« mois zéro ».</w:t>
      </w:r>
    </w:p>
    <w:p w14:paraId="79A98F03" w14:textId="1CDC3606" w:rsidR="00AB709E" w:rsidRDefault="00193ACD" w:rsidP="00AB709E">
      <w:pPr>
        <w:pStyle w:val="CCP-Titre2"/>
      </w:pPr>
      <w:r>
        <w:t xml:space="preserve"> </w:t>
      </w:r>
      <w:bookmarkStart w:id="73" w:name="_Toc158819806"/>
      <w:bookmarkStart w:id="74" w:name="_Toc179450223"/>
      <w:r w:rsidR="00AB709E">
        <w:t>Contenu des prix</w:t>
      </w:r>
      <w:bookmarkEnd w:id="73"/>
      <w:bookmarkEnd w:id="74"/>
      <w:r w:rsidR="00AB709E">
        <w:t xml:space="preserve"> </w:t>
      </w:r>
    </w:p>
    <w:p w14:paraId="6BFD9D69" w14:textId="47FCB4BC" w:rsidR="00AB709E" w:rsidRPr="00AB709E" w:rsidRDefault="00AB709E" w:rsidP="00AB709E">
      <w:pPr>
        <w:pStyle w:val="RedaliaNormal"/>
      </w:pPr>
      <w:r w:rsidRPr="00AB709E">
        <w:t>Les prix sont réputés</w:t>
      </w:r>
      <w:r w:rsidR="0030143F">
        <w:t xml:space="preserve"> </w:t>
      </w:r>
      <w:r w:rsidRPr="00AB709E">
        <w:t>comprendre toutes les charges fiscales ou autres, frappant obligatoirement les prestations ainsi que toutes les autres dépenses nécessaires à l'exécution des prestations</w:t>
      </w:r>
      <w:r w:rsidR="00977CF6">
        <w:t>, les marges pour risques et les marges bénéficiaires</w:t>
      </w:r>
      <w:r w:rsidRPr="00AB709E">
        <w:t>.</w:t>
      </w:r>
    </w:p>
    <w:p w14:paraId="309FAE65" w14:textId="0705809B" w:rsidR="008F4620" w:rsidRDefault="007F41FA" w:rsidP="00AB709E">
      <w:pPr>
        <w:pStyle w:val="CCP-Titre2"/>
      </w:pPr>
      <w:bookmarkStart w:id="75" w:name="_Toc2394451"/>
      <w:bookmarkStart w:id="76" w:name="_Toc68255369"/>
      <w:bookmarkStart w:id="77" w:name="_Toc158819807"/>
      <w:bookmarkStart w:id="78" w:name="_Toc179450224"/>
      <w:r>
        <w:t>Forme et v</w:t>
      </w:r>
      <w:r w:rsidR="00193ACD">
        <w:t>ariation du prix</w:t>
      </w:r>
      <w:bookmarkEnd w:id="75"/>
      <w:bookmarkEnd w:id="76"/>
      <w:bookmarkEnd w:id="77"/>
      <w:bookmarkEnd w:id="78"/>
    </w:p>
    <w:p w14:paraId="263276C2" w14:textId="6B915244" w:rsidR="001D65EE" w:rsidRDefault="00D57EC9" w:rsidP="001D65EE">
      <w:pPr>
        <w:pStyle w:val="RedaliaNormal"/>
      </w:pPr>
      <w:sdt>
        <w:sdtPr>
          <w:id w:val="1371960009"/>
          <w:placeholder>
            <w:docPart w:val="1869BC4C3BBD42E1906B5DA651A0E01C"/>
          </w:placeholder>
          <w:comboBox>
            <w:listItem w:value="Choisissez un élément."/>
            <w:listItem w:displayText="Le marché" w:value="Le marché"/>
            <w:listItem w:displayText="L'accord-cadre" w:value="L'accord-cadre"/>
          </w:comboBox>
        </w:sdtPr>
        <w:sdtEndPr/>
        <w:sdtContent>
          <w:r w:rsidR="008605AD">
            <w:t>L'accord-cadre</w:t>
          </w:r>
        </w:sdtContent>
      </w:sdt>
      <w:r w:rsidR="001D65EE">
        <w:t xml:space="preserve"> est traité à prix :</w:t>
      </w:r>
    </w:p>
    <w:p w14:paraId="7902AFDD" w14:textId="77777777" w:rsidR="001D65EE" w:rsidRPr="008030C9" w:rsidRDefault="001D65EE" w:rsidP="001D65EE">
      <w:pPr>
        <w:pStyle w:val="RedaliaNormal"/>
        <w:tabs>
          <w:tab w:val="clear" w:pos="8505"/>
          <w:tab w:val="left" w:pos="284"/>
          <w:tab w:val="left" w:pos="2835"/>
          <w:tab w:val="left" w:leader="dot" w:pos="5670"/>
        </w:tabs>
        <w:rPr>
          <w:sz w:val="8"/>
          <w:szCs w:val="8"/>
        </w:rPr>
      </w:pPr>
    </w:p>
    <w:p w14:paraId="7721A4BF" w14:textId="6C79073C" w:rsidR="001D65EE" w:rsidRDefault="001D65EE" w:rsidP="001D65EE">
      <w:pPr>
        <w:pStyle w:val="RedaliaNormal"/>
        <w:tabs>
          <w:tab w:val="clear" w:pos="8505"/>
          <w:tab w:val="left" w:pos="851"/>
          <w:tab w:val="left" w:pos="3402"/>
          <w:tab w:val="left" w:pos="5529"/>
        </w:tabs>
      </w:pPr>
      <w:r>
        <w:tab/>
      </w:r>
      <w:r>
        <w:fldChar w:fldCharType="begin">
          <w:ffData>
            <w:name w:val="CaseACocher1"/>
            <w:enabled/>
            <w:calcOnExit w:val="0"/>
            <w:checkBox>
              <w:sizeAuto/>
              <w:default w:val="0"/>
            </w:checkBox>
          </w:ffData>
        </w:fldChar>
      </w:r>
      <w:bookmarkStart w:id="79" w:name="CaseACocher1"/>
      <w:r>
        <w:instrText xml:space="preserve"> FORMCHECKBOX </w:instrText>
      </w:r>
      <w:r w:rsidR="00D57EC9">
        <w:fldChar w:fldCharType="separate"/>
      </w:r>
      <w:r>
        <w:fldChar w:fldCharType="end"/>
      </w:r>
      <w:bookmarkEnd w:id="79"/>
      <w:r>
        <w:t xml:space="preserve"> </w:t>
      </w:r>
      <w:proofErr w:type="gramStart"/>
      <w:r>
        <w:t>forfaitaires</w:t>
      </w:r>
      <w:proofErr w:type="gramEnd"/>
      <w:r>
        <w:tab/>
      </w:r>
      <w:r w:rsidR="007A48E5">
        <w:fldChar w:fldCharType="begin">
          <w:ffData>
            <w:name w:val=""/>
            <w:enabled/>
            <w:calcOnExit w:val="0"/>
            <w:checkBox>
              <w:sizeAuto/>
              <w:default w:val="1"/>
            </w:checkBox>
          </w:ffData>
        </w:fldChar>
      </w:r>
      <w:r w:rsidR="007A48E5">
        <w:instrText xml:space="preserve"> FORMCHECKBOX </w:instrText>
      </w:r>
      <w:r w:rsidR="00D57EC9">
        <w:fldChar w:fldCharType="separate"/>
      </w:r>
      <w:r w:rsidR="007A48E5">
        <w:fldChar w:fldCharType="end"/>
      </w:r>
      <w:r>
        <w:t xml:space="preserve"> unitaires </w:t>
      </w:r>
      <w:r>
        <w:tab/>
      </w:r>
      <w:r>
        <w:fldChar w:fldCharType="begin">
          <w:ffData>
            <w:name w:val="CaseACocher3"/>
            <w:enabled/>
            <w:calcOnExit w:val="0"/>
            <w:checkBox>
              <w:sizeAuto/>
              <w:default w:val="0"/>
            </w:checkBox>
          </w:ffData>
        </w:fldChar>
      </w:r>
      <w:bookmarkStart w:id="80" w:name="CaseACocher3"/>
      <w:r>
        <w:instrText xml:space="preserve"> FORMCHECKBOX </w:instrText>
      </w:r>
      <w:r w:rsidR="00D57EC9">
        <w:fldChar w:fldCharType="separate"/>
      </w:r>
      <w:r>
        <w:fldChar w:fldCharType="end"/>
      </w:r>
      <w:bookmarkEnd w:id="80"/>
      <w:r>
        <w:t xml:space="preserve"> forfaitaires et unitaires</w:t>
      </w:r>
    </w:p>
    <w:p w14:paraId="60BA3024" w14:textId="77777777" w:rsidR="001D65EE" w:rsidRPr="008030C9" w:rsidRDefault="001D65EE" w:rsidP="001D65EE">
      <w:pPr>
        <w:pStyle w:val="RedaliaNormal"/>
        <w:tabs>
          <w:tab w:val="clear" w:pos="8505"/>
          <w:tab w:val="left" w:pos="851"/>
          <w:tab w:val="left" w:pos="3402"/>
          <w:tab w:val="left" w:pos="5529"/>
        </w:tabs>
        <w:rPr>
          <w:sz w:val="8"/>
          <w:szCs w:val="8"/>
        </w:rPr>
      </w:pPr>
    </w:p>
    <w:p w14:paraId="5627B42B" w14:textId="576F2087" w:rsidR="001D65EE" w:rsidRDefault="001D65EE" w:rsidP="001D65EE">
      <w:pPr>
        <w:pStyle w:val="RedaliaNormal"/>
        <w:tabs>
          <w:tab w:val="clear" w:pos="8505"/>
          <w:tab w:val="left" w:pos="851"/>
          <w:tab w:val="left" w:pos="3402"/>
          <w:tab w:val="left" w:pos="5529"/>
        </w:tabs>
      </w:pPr>
      <w:r>
        <w:tab/>
      </w:r>
      <w:r w:rsidR="008605AD">
        <w:fldChar w:fldCharType="begin">
          <w:ffData>
            <w:name w:val=""/>
            <w:enabled/>
            <w:calcOnExit w:val="0"/>
            <w:checkBox>
              <w:sizeAuto/>
              <w:default w:val="0"/>
            </w:checkBox>
          </w:ffData>
        </w:fldChar>
      </w:r>
      <w:r w:rsidR="008605AD">
        <w:instrText xml:space="preserve"> FORMCHECKBOX </w:instrText>
      </w:r>
      <w:r w:rsidR="00D57EC9">
        <w:fldChar w:fldCharType="separate"/>
      </w:r>
      <w:r w:rsidR="008605AD">
        <w:fldChar w:fldCharType="end"/>
      </w:r>
      <w:r>
        <w:t xml:space="preserve"> </w:t>
      </w:r>
      <w:proofErr w:type="gramStart"/>
      <w:r>
        <w:t>fermes</w:t>
      </w:r>
      <w:proofErr w:type="gramEnd"/>
      <w:r>
        <w:tab/>
      </w:r>
      <w:r w:rsidR="00B3695F">
        <w:fldChar w:fldCharType="begin">
          <w:ffData>
            <w:name w:val=""/>
            <w:enabled/>
            <w:calcOnExit w:val="0"/>
            <w:checkBox>
              <w:sizeAuto/>
              <w:default w:val="1"/>
            </w:checkBox>
          </w:ffData>
        </w:fldChar>
      </w:r>
      <w:r w:rsidR="00B3695F">
        <w:instrText xml:space="preserve"> FORMCHECKBOX </w:instrText>
      </w:r>
      <w:r w:rsidR="00D57EC9">
        <w:fldChar w:fldCharType="separate"/>
      </w:r>
      <w:r w:rsidR="00B3695F">
        <w:fldChar w:fldCharType="end"/>
      </w:r>
      <w:r>
        <w:t xml:space="preserve"> révisables</w:t>
      </w:r>
    </w:p>
    <w:p w14:paraId="61D5BF8D" w14:textId="5259B2A8" w:rsidR="001D65EE" w:rsidRDefault="001D65EE" w:rsidP="001D65EE">
      <w:pPr>
        <w:pStyle w:val="RedaliaNormal"/>
        <w:tabs>
          <w:tab w:val="clear" w:pos="8505"/>
          <w:tab w:val="left" w:pos="851"/>
          <w:tab w:val="left" w:pos="3402"/>
          <w:tab w:val="left" w:pos="5529"/>
        </w:tabs>
      </w:pPr>
      <w:r>
        <w:tab/>
      </w:r>
    </w:p>
    <w:p w14:paraId="2223361D" w14:textId="77777777" w:rsidR="001D65EE" w:rsidRPr="000B7EB9" w:rsidRDefault="001D65EE" w:rsidP="001D65EE">
      <w:pPr>
        <w:pStyle w:val="RedaliaNormal"/>
        <w:tabs>
          <w:tab w:val="clear" w:pos="8505"/>
          <w:tab w:val="left" w:pos="851"/>
          <w:tab w:val="left" w:pos="3402"/>
          <w:tab w:val="left" w:pos="5529"/>
        </w:tabs>
        <w:spacing w:before="120"/>
        <w:rPr>
          <w:i/>
          <w:iCs/>
          <w:color w:val="C00000"/>
          <w:sz w:val="8"/>
          <w:szCs w:val="6"/>
        </w:rPr>
      </w:pPr>
    </w:p>
    <w:p w14:paraId="13836D79" w14:textId="5D3FC0DE" w:rsidR="001D65EE" w:rsidRDefault="001D65EE" w:rsidP="001D65EE">
      <w:pPr>
        <w:pStyle w:val="RedaliaNormal"/>
        <w:tabs>
          <w:tab w:val="left" w:pos="851"/>
          <w:tab w:val="left" w:pos="3402"/>
          <w:tab w:val="left" w:pos="5529"/>
        </w:tabs>
      </w:pPr>
      <w:r>
        <w:t>Au terme d’une première période de douze mois d’exécution, et en cas de reconduction, ils sont révisés au début de la nouvelle période de douze mois dans les conditions suivantes :</w:t>
      </w:r>
    </w:p>
    <w:p w14:paraId="340B7DCB" w14:textId="77777777" w:rsidR="001D65EE" w:rsidRPr="00AF05E2" w:rsidRDefault="001D65EE" w:rsidP="001D65EE">
      <w:pPr>
        <w:pStyle w:val="RedaliaNormal"/>
        <w:tabs>
          <w:tab w:val="left" w:pos="851"/>
          <w:tab w:val="left" w:pos="3402"/>
          <w:tab w:val="left" w:pos="5529"/>
        </w:tabs>
        <w:rPr>
          <w:sz w:val="12"/>
          <w:szCs w:val="10"/>
        </w:rPr>
      </w:pPr>
    </w:p>
    <w:p w14:paraId="29AC5D9E" w14:textId="77777777" w:rsidR="001C780C" w:rsidRPr="00DB160D" w:rsidRDefault="001C780C" w:rsidP="001C780C">
      <w:pPr>
        <w:pBdr>
          <w:top w:val="none" w:sz="0" w:space="0" w:color="auto"/>
          <w:left w:val="none" w:sz="0" w:space="0" w:color="auto"/>
          <w:bottom w:val="none" w:sz="0" w:space="0" w:color="auto"/>
          <w:right w:val="none" w:sz="0" w:space="0" w:color="auto"/>
        </w:pBdr>
        <w:autoSpaceDE w:val="0"/>
        <w:autoSpaceDN w:val="0"/>
        <w:adjustRightInd w:val="0"/>
        <w:textAlignment w:val="auto"/>
        <w:rPr>
          <w:rFonts w:ascii="Arial" w:hAnsi="Arial"/>
          <w:sz w:val="22"/>
        </w:rPr>
      </w:pPr>
    </w:p>
    <w:p w14:paraId="54904BE4" w14:textId="11B4E7EB" w:rsidR="001C780C" w:rsidRPr="00DB160D" w:rsidRDefault="001C780C" w:rsidP="001C780C">
      <w:pPr>
        <w:pBdr>
          <w:top w:val="none" w:sz="0" w:space="0" w:color="auto"/>
          <w:left w:val="none" w:sz="0" w:space="0" w:color="auto"/>
          <w:bottom w:val="none" w:sz="0" w:space="0" w:color="auto"/>
          <w:right w:val="none" w:sz="0" w:space="0" w:color="auto"/>
        </w:pBdr>
        <w:autoSpaceDE w:val="0"/>
        <w:autoSpaceDN w:val="0"/>
        <w:adjustRightInd w:val="0"/>
        <w:textAlignment w:val="auto"/>
        <w:rPr>
          <w:rFonts w:ascii="Arial" w:hAnsi="Arial"/>
          <w:sz w:val="22"/>
        </w:rPr>
      </w:pPr>
      <w:r w:rsidRPr="00DB160D">
        <w:rPr>
          <w:rFonts w:ascii="Arial" w:hAnsi="Arial"/>
          <w:sz w:val="22"/>
        </w:rPr>
        <w:t xml:space="preserve">P = Po </w:t>
      </w:r>
      <w:proofErr w:type="gramStart"/>
      <w:r w:rsidRPr="00DB160D">
        <w:rPr>
          <w:rFonts w:ascii="Arial" w:hAnsi="Arial"/>
          <w:sz w:val="22"/>
        </w:rPr>
        <w:t>{ (</w:t>
      </w:r>
      <w:proofErr w:type="gramEnd"/>
      <w:r w:rsidRPr="00DB160D">
        <w:rPr>
          <w:rFonts w:ascii="Arial" w:hAnsi="Arial"/>
          <w:sz w:val="22"/>
          <w:u w:val="single"/>
        </w:rPr>
        <w:t>0,8ICHT-n</w:t>
      </w:r>
      <w:r w:rsidRPr="00DB160D">
        <w:rPr>
          <w:rFonts w:ascii="Arial" w:hAnsi="Arial"/>
          <w:sz w:val="22"/>
        </w:rPr>
        <w:t xml:space="preserve"> + </w:t>
      </w:r>
      <w:r w:rsidRPr="00DB160D">
        <w:rPr>
          <w:rFonts w:ascii="Arial" w:hAnsi="Arial"/>
          <w:sz w:val="22"/>
          <w:u w:val="single"/>
        </w:rPr>
        <w:t xml:space="preserve">0,2FSD3  </w:t>
      </w:r>
      <w:r w:rsidRPr="00DB160D">
        <w:rPr>
          <w:rFonts w:ascii="Arial" w:hAnsi="Arial"/>
          <w:sz w:val="22"/>
        </w:rPr>
        <w:t>) }</w:t>
      </w:r>
    </w:p>
    <w:p w14:paraId="3EBC4D55" w14:textId="6A327859" w:rsidR="001C780C" w:rsidRDefault="00093BF0" w:rsidP="00093BF0">
      <w:pPr>
        <w:pBdr>
          <w:top w:val="none" w:sz="0" w:space="0" w:color="auto"/>
          <w:left w:val="none" w:sz="0" w:space="0" w:color="auto"/>
          <w:bottom w:val="none" w:sz="0" w:space="0" w:color="auto"/>
          <w:right w:val="none" w:sz="0" w:space="0" w:color="auto"/>
        </w:pBdr>
        <w:tabs>
          <w:tab w:val="left" w:pos="993"/>
          <w:tab w:val="left" w:pos="2410"/>
        </w:tabs>
        <w:autoSpaceDE w:val="0"/>
        <w:autoSpaceDN w:val="0"/>
        <w:adjustRightInd w:val="0"/>
        <w:textAlignment w:val="auto"/>
        <w:rPr>
          <w:rFonts w:ascii="Arial" w:hAnsi="Arial"/>
          <w:sz w:val="22"/>
        </w:rPr>
      </w:pPr>
      <w:r>
        <w:rPr>
          <w:rFonts w:ascii="Arial" w:hAnsi="Arial"/>
          <w:sz w:val="22"/>
        </w:rPr>
        <w:tab/>
      </w:r>
      <w:r w:rsidR="001C780C" w:rsidRPr="00DB160D">
        <w:rPr>
          <w:rFonts w:ascii="Arial" w:hAnsi="Arial"/>
          <w:sz w:val="22"/>
        </w:rPr>
        <w:t>ICHT-no</w:t>
      </w:r>
      <w:r w:rsidR="001C780C" w:rsidRPr="00DB160D">
        <w:rPr>
          <w:rFonts w:ascii="Arial" w:hAnsi="Arial"/>
          <w:sz w:val="22"/>
        </w:rPr>
        <w:tab/>
        <w:t>FSD3o</w:t>
      </w:r>
    </w:p>
    <w:p w14:paraId="6B8517A6" w14:textId="77777777" w:rsidR="00093BF0" w:rsidRPr="00DB160D" w:rsidRDefault="00093BF0" w:rsidP="00DB160D">
      <w:pPr>
        <w:pBdr>
          <w:top w:val="none" w:sz="0" w:space="0" w:color="auto"/>
          <w:left w:val="none" w:sz="0" w:space="0" w:color="auto"/>
          <w:bottom w:val="none" w:sz="0" w:space="0" w:color="auto"/>
          <w:right w:val="none" w:sz="0" w:space="0" w:color="auto"/>
        </w:pBdr>
        <w:tabs>
          <w:tab w:val="left" w:pos="993"/>
          <w:tab w:val="left" w:pos="2410"/>
        </w:tabs>
        <w:autoSpaceDE w:val="0"/>
        <w:autoSpaceDN w:val="0"/>
        <w:adjustRightInd w:val="0"/>
        <w:textAlignment w:val="auto"/>
        <w:rPr>
          <w:rFonts w:ascii="Arial" w:hAnsi="Arial"/>
          <w:sz w:val="22"/>
        </w:rPr>
      </w:pPr>
    </w:p>
    <w:p w14:paraId="58EF981C" w14:textId="77777777" w:rsidR="001C780C" w:rsidRPr="00DB160D" w:rsidRDefault="001C780C" w:rsidP="001C780C">
      <w:pPr>
        <w:pBdr>
          <w:top w:val="none" w:sz="0" w:space="0" w:color="auto"/>
          <w:left w:val="none" w:sz="0" w:space="0" w:color="auto"/>
          <w:bottom w:val="none" w:sz="0" w:space="0" w:color="auto"/>
          <w:right w:val="none" w:sz="0" w:space="0" w:color="auto"/>
        </w:pBdr>
        <w:autoSpaceDE w:val="0"/>
        <w:autoSpaceDN w:val="0"/>
        <w:adjustRightInd w:val="0"/>
        <w:textAlignment w:val="auto"/>
        <w:rPr>
          <w:rFonts w:ascii="Arial" w:hAnsi="Arial"/>
          <w:sz w:val="22"/>
        </w:rPr>
      </w:pPr>
      <w:proofErr w:type="gramStart"/>
      <w:r w:rsidRPr="00DB160D">
        <w:rPr>
          <w:rFonts w:ascii="Arial" w:hAnsi="Arial"/>
          <w:sz w:val="22"/>
        </w:rPr>
        <w:t>dans</w:t>
      </w:r>
      <w:proofErr w:type="gramEnd"/>
      <w:r w:rsidRPr="00DB160D">
        <w:rPr>
          <w:rFonts w:ascii="Arial" w:hAnsi="Arial"/>
          <w:sz w:val="22"/>
        </w:rPr>
        <w:t xml:space="preserve"> laquelle :</w:t>
      </w:r>
    </w:p>
    <w:p w14:paraId="7AAB4907" w14:textId="77777777" w:rsidR="001C780C" w:rsidRPr="00DB160D" w:rsidRDefault="001C780C" w:rsidP="001C780C">
      <w:pPr>
        <w:pBdr>
          <w:top w:val="none" w:sz="0" w:space="0" w:color="auto"/>
          <w:left w:val="none" w:sz="0" w:space="0" w:color="auto"/>
          <w:bottom w:val="none" w:sz="0" w:space="0" w:color="auto"/>
          <w:right w:val="none" w:sz="0" w:space="0" w:color="auto"/>
        </w:pBdr>
        <w:autoSpaceDE w:val="0"/>
        <w:autoSpaceDN w:val="0"/>
        <w:adjustRightInd w:val="0"/>
        <w:textAlignment w:val="auto"/>
        <w:rPr>
          <w:rFonts w:ascii="Arial" w:hAnsi="Arial"/>
          <w:sz w:val="22"/>
        </w:rPr>
      </w:pPr>
    </w:p>
    <w:p w14:paraId="181D901A" w14:textId="07D17967"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textAlignment w:val="auto"/>
        <w:rPr>
          <w:rFonts w:ascii="Arial" w:hAnsi="Arial"/>
          <w:sz w:val="22"/>
        </w:rPr>
      </w:pPr>
      <w:r w:rsidRPr="00DB160D">
        <w:rPr>
          <w:rFonts w:ascii="Arial" w:hAnsi="Arial"/>
          <w:sz w:val="22"/>
        </w:rPr>
        <w:t>P =</w:t>
      </w:r>
      <w:r w:rsidRPr="00DB160D">
        <w:rPr>
          <w:rFonts w:ascii="Arial" w:hAnsi="Arial"/>
          <w:sz w:val="22"/>
        </w:rPr>
        <w:tab/>
        <w:t>prix (HT) révisé</w:t>
      </w:r>
    </w:p>
    <w:p w14:paraId="412DE0FB" w14:textId="33BECCAA"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textAlignment w:val="auto"/>
        <w:rPr>
          <w:rFonts w:ascii="Arial" w:hAnsi="Arial"/>
          <w:sz w:val="22"/>
        </w:rPr>
      </w:pPr>
      <w:r w:rsidRPr="00DB160D">
        <w:rPr>
          <w:rFonts w:ascii="Arial" w:hAnsi="Arial"/>
          <w:sz w:val="22"/>
        </w:rPr>
        <w:t>Po =</w:t>
      </w:r>
      <w:r w:rsidRPr="00DB160D">
        <w:rPr>
          <w:rFonts w:ascii="Arial" w:hAnsi="Arial"/>
          <w:sz w:val="22"/>
        </w:rPr>
        <w:tab/>
        <w:t>prix (HT) initial prévu dans le bordereau de prix</w:t>
      </w:r>
    </w:p>
    <w:p w14:paraId="181CC51E" w14:textId="5814460A"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textAlignment w:val="auto"/>
        <w:rPr>
          <w:rFonts w:ascii="Arial" w:hAnsi="Arial"/>
          <w:sz w:val="22"/>
        </w:rPr>
      </w:pPr>
      <w:r w:rsidRPr="00DB160D">
        <w:rPr>
          <w:rFonts w:ascii="Arial" w:hAnsi="Arial"/>
          <w:sz w:val="22"/>
        </w:rPr>
        <w:t>ICHT-n =</w:t>
      </w:r>
      <w:r w:rsidRPr="00DB160D">
        <w:rPr>
          <w:rFonts w:ascii="Arial" w:hAnsi="Arial"/>
          <w:sz w:val="22"/>
        </w:rPr>
        <w:tab/>
        <w:t>indice du coût horaire de travail « services administratif et soutien » connu à l</w:t>
      </w:r>
      <w:r w:rsidR="00093BF0">
        <w:rPr>
          <w:rFonts w:ascii="Arial" w:hAnsi="Arial"/>
          <w:sz w:val="22"/>
        </w:rPr>
        <w:t>a d</w:t>
      </w:r>
      <w:r w:rsidRPr="00DB160D">
        <w:rPr>
          <w:rFonts w:ascii="Arial" w:hAnsi="Arial"/>
          <w:sz w:val="22"/>
        </w:rPr>
        <w:t>ate de la reconduction</w:t>
      </w:r>
    </w:p>
    <w:p w14:paraId="22C2D1C3" w14:textId="77777777"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jc w:val="both"/>
        <w:textAlignment w:val="auto"/>
        <w:rPr>
          <w:rFonts w:ascii="Arial" w:hAnsi="Arial"/>
          <w:sz w:val="22"/>
        </w:rPr>
      </w:pPr>
      <w:r w:rsidRPr="00DB160D">
        <w:rPr>
          <w:rFonts w:ascii="Arial" w:hAnsi="Arial"/>
          <w:sz w:val="22"/>
        </w:rPr>
        <w:t xml:space="preserve">ICHT-no = </w:t>
      </w:r>
      <w:r w:rsidRPr="00DB160D">
        <w:rPr>
          <w:rFonts w:ascii="Arial" w:hAnsi="Arial"/>
          <w:sz w:val="22"/>
        </w:rPr>
        <w:tab/>
        <w:t>indice du coût horaire de travail « services administratif et soutien » du mois de remise des offres,</w:t>
      </w:r>
    </w:p>
    <w:p w14:paraId="26F5F2B8" w14:textId="05334228"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jc w:val="both"/>
        <w:textAlignment w:val="auto"/>
        <w:rPr>
          <w:rFonts w:ascii="Arial" w:hAnsi="Arial"/>
          <w:sz w:val="22"/>
        </w:rPr>
      </w:pPr>
      <w:r w:rsidRPr="00DB160D">
        <w:rPr>
          <w:rFonts w:ascii="Arial" w:hAnsi="Arial"/>
          <w:sz w:val="22"/>
        </w:rPr>
        <w:t xml:space="preserve">FSD3 = </w:t>
      </w:r>
      <w:r w:rsidRPr="00DB160D">
        <w:rPr>
          <w:rFonts w:ascii="Arial" w:hAnsi="Arial"/>
          <w:sz w:val="22"/>
        </w:rPr>
        <w:tab/>
        <w:t xml:space="preserve">indice de « Frais et Services Divers 3 » </w:t>
      </w:r>
      <w:proofErr w:type="gramStart"/>
      <w:r w:rsidRPr="00DB160D">
        <w:rPr>
          <w:rFonts w:ascii="Arial" w:hAnsi="Arial"/>
          <w:sz w:val="22"/>
        </w:rPr>
        <w:t>( FSD</w:t>
      </w:r>
      <w:proofErr w:type="gramEnd"/>
      <w:r w:rsidRPr="00DB160D">
        <w:rPr>
          <w:rFonts w:ascii="Arial" w:hAnsi="Arial"/>
          <w:sz w:val="22"/>
        </w:rPr>
        <w:t>3) connu à la date de la reconduction</w:t>
      </w:r>
    </w:p>
    <w:p w14:paraId="446D3E42" w14:textId="28AE0681" w:rsidR="001C780C" w:rsidRPr="00DB160D" w:rsidRDefault="001C780C" w:rsidP="00DB160D">
      <w:pPr>
        <w:pBdr>
          <w:top w:val="none" w:sz="0" w:space="0" w:color="auto"/>
          <w:left w:val="none" w:sz="0" w:space="0" w:color="auto"/>
          <w:bottom w:val="none" w:sz="0" w:space="0" w:color="auto"/>
          <w:right w:val="none" w:sz="0" w:space="0" w:color="auto"/>
        </w:pBdr>
        <w:tabs>
          <w:tab w:val="left" w:pos="1134"/>
        </w:tabs>
        <w:autoSpaceDE w:val="0"/>
        <w:autoSpaceDN w:val="0"/>
        <w:adjustRightInd w:val="0"/>
        <w:jc w:val="both"/>
        <w:textAlignment w:val="auto"/>
        <w:rPr>
          <w:rFonts w:ascii="Arial" w:hAnsi="Arial"/>
          <w:sz w:val="22"/>
        </w:rPr>
      </w:pPr>
      <w:r w:rsidRPr="00DB160D">
        <w:rPr>
          <w:rFonts w:ascii="Arial" w:hAnsi="Arial"/>
          <w:sz w:val="22"/>
        </w:rPr>
        <w:t>FSD3o =</w:t>
      </w:r>
      <w:r w:rsidRPr="00DB160D">
        <w:rPr>
          <w:rFonts w:ascii="Arial" w:hAnsi="Arial"/>
          <w:sz w:val="22"/>
        </w:rPr>
        <w:tab/>
        <w:t xml:space="preserve">indice de « Frais et Services Divers 3 » </w:t>
      </w:r>
      <w:proofErr w:type="gramStart"/>
      <w:r w:rsidRPr="00DB160D">
        <w:rPr>
          <w:rFonts w:ascii="Arial" w:hAnsi="Arial"/>
          <w:sz w:val="22"/>
        </w:rPr>
        <w:t>( FSD</w:t>
      </w:r>
      <w:proofErr w:type="gramEnd"/>
      <w:r w:rsidRPr="00DB160D">
        <w:rPr>
          <w:rFonts w:ascii="Arial" w:hAnsi="Arial"/>
          <w:sz w:val="22"/>
        </w:rPr>
        <w:t>3 ) du mois de remise des offres.</w:t>
      </w:r>
    </w:p>
    <w:p w14:paraId="2DFA3368" w14:textId="77777777" w:rsidR="001C780C" w:rsidRPr="00DB160D" w:rsidRDefault="001C780C" w:rsidP="001C780C">
      <w:pPr>
        <w:pBdr>
          <w:top w:val="none" w:sz="0" w:space="0" w:color="auto"/>
          <w:left w:val="none" w:sz="0" w:space="0" w:color="auto"/>
          <w:bottom w:val="none" w:sz="0" w:space="0" w:color="auto"/>
          <w:right w:val="none" w:sz="0" w:space="0" w:color="auto"/>
        </w:pBdr>
        <w:autoSpaceDE w:val="0"/>
        <w:autoSpaceDN w:val="0"/>
        <w:adjustRightInd w:val="0"/>
        <w:textAlignment w:val="auto"/>
        <w:rPr>
          <w:rFonts w:ascii="Arial" w:hAnsi="Arial"/>
          <w:sz w:val="22"/>
        </w:rPr>
      </w:pPr>
      <w:r w:rsidRPr="00DB160D">
        <w:rPr>
          <w:rFonts w:ascii="Arial" w:hAnsi="Arial"/>
          <w:sz w:val="22"/>
        </w:rPr>
        <w:t>Les indices sont publiés au Moniteur des Travaux Publics.</w:t>
      </w:r>
    </w:p>
    <w:p w14:paraId="7292F6EB" w14:textId="349759F3" w:rsidR="001C780C" w:rsidRPr="00DB160D" w:rsidRDefault="001C780C" w:rsidP="00CA08DC">
      <w:p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r w:rsidRPr="00DB160D">
        <w:rPr>
          <w:rFonts w:ascii="Arial" w:hAnsi="Arial"/>
          <w:sz w:val="22"/>
        </w:rPr>
        <w:t xml:space="preserve">Pour la mise en </w:t>
      </w:r>
      <w:r w:rsidR="00CA08DC" w:rsidRPr="00DB160D">
        <w:rPr>
          <w:rFonts w:ascii="Arial" w:hAnsi="Arial"/>
          <w:sz w:val="22"/>
        </w:rPr>
        <w:t>œuvre</w:t>
      </w:r>
      <w:r w:rsidRPr="00DB160D">
        <w:rPr>
          <w:rFonts w:ascii="Arial" w:hAnsi="Arial"/>
          <w:sz w:val="22"/>
        </w:rPr>
        <w:t xml:space="preserve"> de cette formule, les calculs intermédiaires et finaux seront effectués avec au maximum trois décimales.</w:t>
      </w:r>
    </w:p>
    <w:p w14:paraId="0B1782EB" w14:textId="77777777" w:rsidR="001C780C" w:rsidRPr="00DB160D" w:rsidRDefault="001C780C" w:rsidP="00CA08DC">
      <w:p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sz w:val="22"/>
        </w:rPr>
      </w:pPr>
      <w:r w:rsidRPr="00DB160D">
        <w:rPr>
          <w:rFonts w:ascii="Arial" w:hAnsi="Arial"/>
          <w:sz w:val="22"/>
        </w:rPr>
        <w:t>Un nouveau bordereau des prix est adressé au titulaire par l’Agence avant l’application des nouveaux prix. Ce nouveau bordereau constitue, une fois pour toutes, pièce justificative de toutes les factures émises par le titulaire, afférentes aux prestations fournies au titre du marché pour l’année de reconduction concernée.</w:t>
      </w:r>
    </w:p>
    <w:p w14:paraId="20063A6E" w14:textId="77777777" w:rsidR="001C780C" w:rsidRPr="00DB160D" w:rsidRDefault="001C780C" w:rsidP="001C780C">
      <w:pPr>
        <w:keepLines/>
        <w:widowControl w:val="0"/>
        <w:pBdr>
          <w:top w:val="none" w:sz="0" w:space="0" w:color="auto"/>
          <w:left w:val="none" w:sz="0" w:space="0" w:color="auto"/>
          <w:bottom w:val="none" w:sz="0" w:space="0" w:color="auto"/>
          <w:right w:val="none" w:sz="0" w:space="0" w:color="auto"/>
        </w:pBdr>
        <w:ind w:firstLine="708"/>
        <w:jc w:val="both"/>
        <w:textAlignment w:val="auto"/>
        <w:rPr>
          <w:rFonts w:ascii="Arial" w:hAnsi="Arial"/>
          <w:sz w:val="22"/>
        </w:rPr>
      </w:pPr>
    </w:p>
    <w:p w14:paraId="29FC4542" w14:textId="77777777" w:rsidR="001C780C" w:rsidRPr="00DB160D" w:rsidRDefault="001C780C" w:rsidP="001C780C">
      <w:pPr>
        <w:keepLines/>
        <w:widowControl w:val="0"/>
        <w:pBdr>
          <w:top w:val="none" w:sz="0" w:space="0" w:color="auto"/>
          <w:left w:val="none" w:sz="0" w:space="0" w:color="auto"/>
          <w:bottom w:val="none" w:sz="0" w:space="0" w:color="auto"/>
          <w:right w:val="none" w:sz="0" w:space="0" w:color="auto"/>
        </w:pBdr>
        <w:jc w:val="both"/>
        <w:textAlignment w:val="auto"/>
        <w:rPr>
          <w:rFonts w:ascii="Arial" w:hAnsi="Arial"/>
          <w:sz w:val="22"/>
        </w:rPr>
      </w:pPr>
      <w:r w:rsidRPr="00DB160D">
        <w:rPr>
          <w:rFonts w:ascii="Arial" w:hAnsi="Arial"/>
          <w:sz w:val="22"/>
        </w:rPr>
        <w:lastRenderedPageBreak/>
        <w:t>En cas de contestation, le titulaire devra adresser à l’Agence son propre bordereau sous quinzaine.</w:t>
      </w:r>
    </w:p>
    <w:p w14:paraId="4666B502" w14:textId="77777777" w:rsidR="001C780C" w:rsidRPr="00DB160D" w:rsidRDefault="001C780C" w:rsidP="001D65EE">
      <w:pPr>
        <w:pStyle w:val="RedaliaNormal"/>
        <w:tabs>
          <w:tab w:val="clear" w:pos="8505"/>
          <w:tab w:val="left" w:pos="851"/>
          <w:tab w:val="left" w:pos="3402"/>
          <w:tab w:val="left" w:pos="5529"/>
        </w:tabs>
      </w:pPr>
    </w:p>
    <w:p w14:paraId="71B7B390" w14:textId="77777777" w:rsidR="001C780C" w:rsidRPr="00DB160D" w:rsidRDefault="001C780C" w:rsidP="001D65EE">
      <w:pPr>
        <w:pStyle w:val="RedaliaNormal"/>
        <w:tabs>
          <w:tab w:val="clear" w:pos="8505"/>
          <w:tab w:val="left" w:pos="851"/>
          <w:tab w:val="left" w:pos="3402"/>
          <w:tab w:val="left" w:pos="5529"/>
        </w:tabs>
      </w:pPr>
    </w:p>
    <w:p w14:paraId="502F4A45" w14:textId="77777777" w:rsidR="008F4620" w:rsidRDefault="00193ACD" w:rsidP="00EB2CAB">
      <w:pPr>
        <w:pStyle w:val="CCP-Titre1"/>
      </w:pPr>
      <w:bookmarkStart w:id="81" w:name="_Toc68255371"/>
      <w:bookmarkStart w:id="82" w:name="_Toc158819808"/>
      <w:bookmarkStart w:id="83" w:name="_Toc179450225"/>
      <w:r>
        <w:t>Règlement des comptes au titulaire</w:t>
      </w:r>
      <w:bookmarkEnd w:id="81"/>
      <w:bookmarkEnd w:id="82"/>
      <w:bookmarkEnd w:id="83"/>
    </w:p>
    <w:p w14:paraId="4141141B" w14:textId="77777777" w:rsidR="008F4620" w:rsidRDefault="00193ACD" w:rsidP="00930714">
      <w:pPr>
        <w:pStyle w:val="CCP-Titre2"/>
      </w:pPr>
      <w:bookmarkStart w:id="84" w:name="_Toc158819809"/>
      <w:bookmarkStart w:id="85" w:name="_Toc179450226"/>
      <w:r>
        <w:t>Modalités de règlement du prix</w:t>
      </w:r>
      <w:bookmarkEnd w:id="84"/>
      <w:bookmarkEnd w:id="85"/>
    </w:p>
    <w:p w14:paraId="3C7A3F3F" w14:textId="65919A71" w:rsidR="009112AB" w:rsidRDefault="009112AB" w:rsidP="00902028">
      <w:pPr>
        <w:pStyle w:val="CCP-Titre3"/>
        <w:outlineLvl w:val="2"/>
      </w:pPr>
      <w:bookmarkStart w:id="86" w:name="_Toc158819810"/>
      <w:bookmarkStart w:id="87" w:name="_Toc179450227"/>
      <w:r>
        <w:t>Règlement du prix</w:t>
      </w:r>
      <w:bookmarkEnd w:id="86"/>
      <w:bookmarkEnd w:id="87"/>
    </w:p>
    <w:p w14:paraId="6ECCFA1A" w14:textId="7CC89DBA" w:rsidR="00E201F7" w:rsidRDefault="00E201F7" w:rsidP="00E201F7">
      <w:pPr>
        <w:pStyle w:val="RedaliaNormal"/>
      </w:pPr>
      <w:r w:rsidRPr="009D19E2">
        <w:t xml:space="preserve">Le paiement s'effectuera suivant les règles de la comptabilité publique dans les conditions prévues aux articles 11 et 12 du </w:t>
      </w:r>
      <w:r>
        <w:t>CCAG FCS.</w:t>
      </w:r>
    </w:p>
    <w:p w14:paraId="24604B48" w14:textId="0337F540" w:rsidR="008F4620" w:rsidRDefault="00193ACD">
      <w:pPr>
        <w:pStyle w:val="RedaliaNormal"/>
      </w:pPr>
      <w:r>
        <w:t xml:space="preserve">Selon les dispositions de l’article 11 du CCAG FCS, les précisions suivantes sont apportées : </w:t>
      </w:r>
    </w:p>
    <w:p w14:paraId="1D34DD74" w14:textId="1F3B9936" w:rsidR="008F4620" w:rsidRDefault="00E201F7">
      <w:pPr>
        <w:pStyle w:val="RedaliaNormal"/>
      </w:pPr>
      <w:proofErr w:type="gramStart"/>
      <w:r>
        <w:t>l</w:t>
      </w:r>
      <w:r w:rsidR="00193ACD">
        <w:t>e</w:t>
      </w:r>
      <w:proofErr w:type="gramEnd"/>
      <w:r w:rsidR="00193ACD">
        <w:t xml:space="preserve"> règlement du prix s'effectue à chaque réalisation de prestations et décision d'admission distinctes : ce règlement prend la forme d'un règlement partiel définitif dans les conditions de l'article 11.7.1 du CCAG FCS.</w:t>
      </w:r>
    </w:p>
    <w:p w14:paraId="4C7179CB" w14:textId="77777777" w:rsidR="00E201F7" w:rsidRPr="00E201F7" w:rsidRDefault="00E201F7">
      <w:pPr>
        <w:pStyle w:val="RedaliaNormal"/>
        <w:rPr>
          <w:sz w:val="10"/>
          <w:szCs w:val="10"/>
        </w:rPr>
      </w:pPr>
    </w:p>
    <w:p w14:paraId="2D74D6BA" w14:textId="1758ECBB" w:rsidR="00E201F7" w:rsidRDefault="00E201F7" w:rsidP="004A2D43">
      <w:pPr>
        <w:widowControl w:val="0"/>
        <w:tabs>
          <w:tab w:val="left" w:leader="dot" w:pos="8505"/>
        </w:tabs>
        <w:suppressAutoHyphens/>
        <w:spacing w:before="40"/>
        <w:jc w:val="both"/>
        <w:textAlignment w:val="auto"/>
        <w:rPr>
          <w:rFonts w:ascii="Arial" w:hAnsi="Arial"/>
          <w:sz w:val="22"/>
        </w:rPr>
      </w:pPr>
      <w:r w:rsidRPr="00E201F7">
        <w:rPr>
          <w:rFonts w:ascii="Arial" w:hAnsi="Arial"/>
          <w:sz w:val="22"/>
        </w:rPr>
        <w:t>Si l’exécution du bon de commande doit être plus longue que trois mois, conformément aux articles R2191-21 et R2191-22 du Code de la commande publique un acompte sera versé au titulaire sur présentation d’un récapitulatif de la prestation réalisée.</w:t>
      </w:r>
      <w:r w:rsidR="004A2D43">
        <w:rPr>
          <w:rFonts w:ascii="Arial" w:hAnsi="Arial"/>
          <w:sz w:val="22"/>
        </w:rPr>
        <w:t xml:space="preserve"> </w:t>
      </w:r>
      <w:r w:rsidRPr="00E201F7">
        <w:rPr>
          <w:rFonts w:ascii="Arial" w:hAnsi="Arial"/>
          <w:sz w:val="22"/>
        </w:rPr>
        <w:t>De même, si le titulaire en fait la demande, les prestations feront l’objet d’acomptes mensuels.</w:t>
      </w:r>
    </w:p>
    <w:p w14:paraId="78525975" w14:textId="77777777" w:rsidR="00D518E3" w:rsidRDefault="00D518E3" w:rsidP="004A2D43">
      <w:pPr>
        <w:widowControl w:val="0"/>
        <w:tabs>
          <w:tab w:val="left" w:leader="dot" w:pos="8505"/>
        </w:tabs>
        <w:suppressAutoHyphens/>
        <w:spacing w:before="40"/>
        <w:jc w:val="both"/>
        <w:textAlignment w:val="auto"/>
        <w:rPr>
          <w:rFonts w:ascii="Arial" w:hAnsi="Arial"/>
          <w:sz w:val="22"/>
        </w:rPr>
      </w:pPr>
    </w:p>
    <w:p w14:paraId="57117C2B" w14:textId="3D0F684D" w:rsidR="00D518E3" w:rsidRPr="00D518E3" w:rsidRDefault="00D518E3" w:rsidP="00D518E3">
      <w:pPr>
        <w:widowControl w:val="0"/>
        <w:tabs>
          <w:tab w:val="left" w:leader="dot" w:pos="8505"/>
        </w:tabs>
        <w:suppressAutoHyphens/>
        <w:spacing w:before="40"/>
        <w:jc w:val="both"/>
        <w:textAlignment w:val="auto"/>
        <w:rPr>
          <w:rFonts w:ascii="Arial" w:hAnsi="Arial"/>
          <w:sz w:val="22"/>
        </w:rPr>
      </w:pPr>
      <w:r w:rsidRPr="00D518E3">
        <w:rPr>
          <w:rFonts w:ascii="Arial" w:hAnsi="Arial"/>
          <w:sz w:val="22"/>
        </w:rPr>
        <w:t xml:space="preserve">L’Agence s’engage à régler, après service fait, mensuellement, et sur facture dûment déposée sur </w:t>
      </w:r>
      <w:r w:rsidR="00CA08DC" w:rsidRPr="00D518E3">
        <w:rPr>
          <w:rFonts w:ascii="Arial" w:hAnsi="Arial"/>
          <w:sz w:val="22"/>
        </w:rPr>
        <w:t>CHORUS en</w:t>
      </w:r>
      <w:r w:rsidRPr="00D518E3">
        <w:rPr>
          <w:rFonts w:ascii="Arial" w:hAnsi="Arial"/>
          <w:sz w:val="22"/>
        </w:rPr>
        <w:t xml:space="preserve"> début de chaque mois, le montant de l’intervention considérée. </w:t>
      </w:r>
    </w:p>
    <w:p w14:paraId="54D5519D" w14:textId="0B8C7C71" w:rsidR="00D518E3" w:rsidRPr="00D518E3" w:rsidRDefault="00D518E3" w:rsidP="00D518E3">
      <w:pPr>
        <w:widowControl w:val="0"/>
        <w:tabs>
          <w:tab w:val="left" w:leader="dot" w:pos="8505"/>
        </w:tabs>
        <w:suppressAutoHyphens/>
        <w:spacing w:before="40"/>
        <w:jc w:val="both"/>
        <w:textAlignment w:val="auto"/>
        <w:rPr>
          <w:rFonts w:ascii="Arial" w:hAnsi="Arial"/>
          <w:sz w:val="22"/>
        </w:rPr>
      </w:pPr>
      <w:r w:rsidRPr="00D518E3">
        <w:rPr>
          <w:rFonts w:ascii="Arial" w:hAnsi="Arial"/>
          <w:sz w:val="22"/>
        </w:rPr>
        <w:t xml:space="preserve">L’Agence remboursera mensuellement au titulaire les frais engagés pour les déplacements effectués pour les besoins du </w:t>
      </w:r>
      <w:r w:rsidR="00CA08DC" w:rsidRPr="00D518E3">
        <w:rPr>
          <w:rFonts w:ascii="Arial" w:hAnsi="Arial"/>
          <w:sz w:val="22"/>
        </w:rPr>
        <w:t>service :</w:t>
      </w:r>
      <w:r w:rsidRPr="00D518E3">
        <w:rPr>
          <w:rFonts w:ascii="Arial" w:hAnsi="Arial"/>
          <w:sz w:val="22"/>
        </w:rPr>
        <w:t xml:space="preserve"> visite à domicile, et sur présentation de justificatifs (péages, parking</w:t>
      </w:r>
      <w:r w:rsidR="00CA08DC">
        <w:rPr>
          <w:rFonts w:ascii="Arial" w:hAnsi="Arial"/>
          <w:sz w:val="22"/>
        </w:rPr>
        <w:t>,</w:t>
      </w:r>
      <w:r w:rsidR="00552B2F">
        <w:rPr>
          <w:rFonts w:ascii="Arial" w:hAnsi="Arial"/>
          <w:sz w:val="22"/>
        </w:rPr>
        <w:t xml:space="preserve"> </w:t>
      </w:r>
      <w:r w:rsidRPr="00D518E3">
        <w:rPr>
          <w:rFonts w:ascii="Arial" w:hAnsi="Arial"/>
          <w:sz w:val="22"/>
        </w:rPr>
        <w:t>plafonné</w:t>
      </w:r>
      <w:r w:rsidR="00CA08DC">
        <w:rPr>
          <w:rFonts w:ascii="Arial" w:hAnsi="Arial"/>
          <w:sz w:val="22"/>
        </w:rPr>
        <w:t>s</w:t>
      </w:r>
      <w:r w:rsidRPr="00D518E3">
        <w:rPr>
          <w:rFonts w:ascii="Arial" w:hAnsi="Arial"/>
          <w:sz w:val="22"/>
        </w:rPr>
        <w:t xml:space="preserve"> au forfait indiqué au BPU (UO0</w:t>
      </w:r>
      <w:r w:rsidR="00CA08DC">
        <w:rPr>
          <w:rFonts w:ascii="Arial" w:hAnsi="Arial"/>
          <w:sz w:val="22"/>
        </w:rPr>
        <w:t>3</w:t>
      </w:r>
      <w:r w:rsidRPr="00D518E3">
        <w:rPr>
          <w:rFonts w:ascii="Arial" w:hAnsi="Arial"/>
          <w:sz w:val="22"/>
        </w:rPr>
        <w:t>)).</w:t>
      </w:r>
    </w:p>
    <w:p w14:paraId="16A8E5A1" w14:textId="77777777" w:rsidR="00D518E3" w:rsidRPr="00D518E3" w:rsidRDefault="00D518E3" w:rsidP="00D518E3">
      <w:pPr>
        <w:widowControl w:val="0"/>
        <w:tabs>
          <w:tab w:val="left" w:leader="dot" w:pos="8505"/>
        </w:tabs>
        <w:suppressAutoHyphens/>
        <w:spacing w:before="40"/>
        <w:jc w:val="both"/>
        <w:textAlignment w:val="auto"/>
        <w:rPr>
          <w:rFonts w:ascii="Arial" w:hAnsi="Arial"/>
          <w:sz w:val="22"/>
        </w:rPr>
      </w:pPr>
      <w:r w:rsidRPr="00D518E3">
        <w:rPr>
          <w:rFonts w:ascii="Arial" w:hAnsi="Arial"/>
          <w:sz w:val="22"/>
        </w:rPr>
        <w:t>Les frais de déplacements seront remboursés sur présentation d’une facture mentionnant le nombre de kilomètres effectués. Le montant correspond au barème des indemnités kilométriques publié au journal officiel au moment du déplacement.</w:t>
      </w:r>
    </w:p>
    <w:p w14:paraId="687E130C" w14:textId="6EACEEFF" w:rsidR="00D518E3" w:rsidRPr="00D518E3" w:rsidRDefault="00D518E3" w:rsidP="00D518E3">
      <w:pPr>
        <w:widowControl w:val="0"/>
        <w:tabs>
          <w:tab w:val="left" w:leader="dot" w:pos="8505"/>
        </w:tabs>
        <w:suppressAutoHyphens/>
        <w:spacing w:before="40"/>
        <w:jc w:val="both"/>
        <w:textAlignment w:val="auto"/>
        <w:rPr>
          <w:rFonts w:ascii="Arial" w:hAnsi="Arial"/>
          <w:sz w:val="22"/>
        </w:rPr>
      </w:pPr>
      <w:r w:rsidRPr="00D518E3">
        <w:rPr>
          <w:rFonts w:ascii="Arial" w:hAnsi="Arial"/>
          <w:sz w:val="22"/>
        </w:rPr>
        <w:t xml:space="preserve">Le prix du rapport d’activité annuel est inclus dans le </w:t>
      </w:r>
      <w:r w:rsidR="00D54499">
        <w:rPr>
          <w:rFonts w:ascii="Arial" w:hAnsi="Arial"/>
          <w:sz w:val="22"/>
        </w:rPr>
        <w:t>BPU (UO04)</w:t>
      </w:r>
      <w:r w:rsidRPr="00D518E3">
        <w:rPr>
          <w:rFonts w:ascii="Arial" w:hAnsi="Arial"/>
          <w:sz w:val="22"/>
        </w:rPr>
        <w:t>.</w:t>
      </w:r>
    </w:p>
    <w:p w14:paraId="283B2D29" w14:textId="77777777" w:rsidR="00D518E3" w:rsidRDefault="00D518E3" w:rsidP="004A2D43">
      <w:pPr>
        <w:widowControl w:val="0"/>
        <w:tabs>
          <w:tab w:val="left" w:leader="dot" w:pos="8505"/>
        </w:tabs>
        <w:suppressAutoHyphens/>
        <w:spacing w:before="40"/>
        <w:jc w:val="both"/>
        <w:textAlignment w:val="auto"/>
        <w:rPr>
          <w:rFonts w:ascii="Arial" w:hAnsi="Arial"/>
          <w:sz w:val="22"/>
        </w:rPr>
      </w:pPr>
    </w:p>
    <w:p w14:paraId="137C4E0B" w14:textId="77777777" w:rsidR="004A2D43" w:rsidRPr="004A2D43" w:rsidRDefault="004A2D43" w:rsidP="004A2D43">
      <w:pPr>
        <w:widowControl w:val="0"/>
        <w:tabs>
          <w:tab w:val="left" w:leader="dot" w:pos="8505"/>
        </w:tabs>
        <w:suppressAutoHyphens/>
        <w:spacing w:before="40"/>
        <w:jc w:val="both"/>
        <w:textAlignment w:val="auto"/>
        <w:rPr>
          <w:rFonts w:ascii="Arial" w:hAnsi="Arial"/>
          <w:sz w:val="22"/>
        </w:rPr>
      </w:pPr>
    </w:p>
    <w:p w14:paraId="10206BE2" w14:textId="1DDEC588" w:rsidR="008F4620" w:rsidRDefault="00193ACD" w:rsidP="00902028">
      <w:pPr>
        <w:pStyle w:val="CCP-Titre3"/>
        <w:outlineLvl w:val="2"/>
      </w:pPr>
      <w:bookmarkStart w:id="88" w:name="_Toc158819811"/>
      <w:bookmarkStart w:id="89" w:name="_Toc179450228"/>
      <w:r>
        <w:t>Demandes de paiement</w:t>
      </w:r>
      <w:bookmarkEnd w:id="88"/>
      <w:bookmarkEnd w:id="89"/>
    </w:p>
    <w:p w14:paraId="0FCB716A" w14:textId="77777777" w:rsidR="009112AB" w:rsidRPr="009112AB" w:rsidRDefault="009112AB" w:rsidP="009112AB">
      <w:pPr>
        <w:pStyle w:val="RdaliaRetraitniveau2"/>
        <w:numPr>
          <w:ilvl w:val="0"/>
          <w:numId w:val="28"/>
        </w:numPr>
        <w:spacing w:after="120"/>
      </w:pPr>
      <w:r w:rsidRPr="009112AB">
        <w:rPr>
          <w:u w:val="single"/>
        </w:rPr>
        <w:t>Demande de paiement d'</w:t>
      </w:r>
      <w:r w:rsidRPr="009112AB">
        <w:rPr>
          <w:b/>
          <w:bCs/>
          <w:u w:val="single"/>
        </w:rPr>
        <w:t>acompte</w:t>
      </w:r>
      <w:r w:rsidRPr="009112AB">
        <w:t> :</w:t>
      </w:r>
    </w:p>
    <w:p w14:paraId="0ACAA96E" w14:textId="3AD9074A" w:rsidR="009112AB" w:rsidRPr="009112AB" w:rsidRDefault="009112AB" w:rsidP="009112AB">
      <w:pPr>
        <w:widowControl w:val="0"/>
        <w:tabs>
          <w:tab w:val="left" w:leader="dot" w:pos="8505"/>
        </w:tabs>
        <w:suppressAutoHyphens/>
        <w:spacing w:before="40"/>
        <w:jc w:val="both"/>
        <w:textAlignment w:val="auto"/>
        <w:rPr>
          <w:rFonts w:ascii="Arial" w:hAnsi="Arial"/>
          <w:sz w:val="22"/>
        </w:rPr>
      </w:pPr>
      <w:r w:rsidRPr="009112AB">
        <w:rPr>
          <w:rFonts w:ascii="Arial" w:hAnsi="Arial"/>
          <w:sz w:val="22"/>
        </w:rPr>
        <w:t xml:space="preserve">Lorsque le titulaire a droit au paiement d'acomptes conformément aux dispositions ci-dessus, la demande de paiement d'acompte est établie, conformément à l'article 11.2 du CCAG </w:t>
      </w:r>
      <w:r>
        <w:rPr>
          <w:rFonts w:ascii="Arial" w:hAnsi="Arial"/>
          <w:sz w:val="22"/>
        </w:rPr>
        <w:t>FCS</w:t>
      </w:r>
      <w:r w:rsidRPr="009112AB">
        <w:rPr>
          <w:rFonts w:ascii="Arial" w:hAnsi="Arial"/>
          <w:sz w:val="22"/>
        </w:rPr>
        <w:t xml:space="preserve">, par le titulaire. </w:t>
      </w:r>
    </w:p>
    <w:p w14:paraId="1BD2A419" w14:textId="77777777" w:rsidR="009112AB" w:rsidRPr="009112AB" w:rsidRDefault="009112AB" w:rsidP="009112AB">
      <w:pPr>
        <w:widowControl w:val="0"/>
        <w:tabs>
          <w:tab w:val="left" w:leader="dot" w:pos="8505"/>
        </w:tabs>
        <w:suppressAutoHyphens/>
        <w:spacing w:before="40"/>
        <w:jc w:val="both"/>
        <w:textAlignment w:val="auto"/>
        <w:rPr>
          <w:rFonts w:ascii="Arial" w:hAnsi="Arial"/>
          <w:sz w:val="22"/>
        </w:rPr>
      </w:pPr>
      <w:r w:rsidRPr="009112AB">
        <w:rPr>
          <w:rFonts w:ascii="Arial" w:hAnsi="Arial"/>
          <w:sz w:val="22"/>
        </w:rPr>
        <w:t xml:space="preserve">Elle indique les prestations effectuées donnant droit à paiement pour la période considérée. </w:t>
      </w:r>
    </w:p>
    <w:p w14:paraId="7AEE2354" w14:textId="7A1B12EE" w:rsidR="009112AB" w:rsidRPr="009112AB" w:rsidRDefault="009112AB" w:rsidP="009112AB">
      <w:pPr>
        <w:widowControl w:val="0"/>
        <w:tabs>
          <w:tab w:val="left" w:leader="dot" w:pos="8505"/>
        </w:tabs>
        <w:suppressAutoHyphens/>
        <w:spacing w:before="40"/>
        <w:jc w:val="both"/>
        <w:textAlignment w:val="auto"/>
        <w:rPr>
          <w:rFonts w:ascii="Arial" w:hAnsi="Arial"/>
          <w:sz w:val="22"/>
        </w:rPr>
      </w:pPr>
      <w:r w:rsidRPr="009112AB">
        <w:rPr>
          <w:rFonts w:ascii="Arial" w:hAnsi="Arial"/>
          <w:sz w:val="22"/>
        </w:rPr>
        <w:t xml:space="preserve">En complément des dispositions de l’article 11.3 du CCAG </w:t>
      </w:r>
      <w:r w:rsidR="00B170BE">
        <w:rPr>
          <w:rFonts w:ascii="Arial" w:hAnsi="Arial"/>
          <w:sz w:val="22"/>
        </w:rPr>
        <w:t>FCS</w:t>
      </w:r>
      <w:r w:rsidRPr="009112AB">
        <w:rPr>
          <w:rFonts w:ascii="Arial" w:hAnsi="Arial"/>
          <w:sz w:val="22"/>
        </w:rPr>
        <w:t>, la demande de paiement est datée et comporte, selon le cas :</w:t>
      </w:r>
    </w:p>
    <w:p w14:paraId="1CCE3BF6"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Les références du contrat ;</w:t>
      </w:r>
    </w:p>
    <w:p w14:paraId="2EDF1C51"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 montant des prestations admises, établi conformément aux stipulations du contrat, hors TVA et, le cas échéant, diminué des réfactions fixées le cas échéant ou le montant des prestations correspondant à la période en cause ;</w:t>
      </w:r>
    </w:p>
    <w:p w14:paraId="404E21FF"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La décomposition des prix forfaitaires et/ou le détail des prix unitaires ;</w:t>
      </w:r>
    </w:p>
    <w:p w14:paraId="107B13EC"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 détail des calculs, avec justificatifs à l’appui, de l’application des coefficients d’actualisation ou de révision des prix ;</w:t>
      </w:r>
    </w:p>
    <w:p w14:paraId="5CB807DE"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 xml:space="preserve">En cas de groupement conjoint, pour chaque membre du groupement, le montant des </w:t>
      </w:r>
      <w:r w:rsidRPr="00B170BE">
        <w:lastRenderedPageBreak/>
        <w:t>prestations effectuées par celui-ci ;</w:t>
      </w:r>
    </w:p>
    <w:p w14:paraId="1B12C643"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En cas de sous-traitance, la nature des prestations exécutées par le sous-traitant, leur montant total hors TVA, leur montant TTC ainsi que, le cas échéant les variations de prix établies hors TVA et TTC ;</w:t>
      </w:r>
    </w:p>
    <w:p w14:paraId="3A4CC06C"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 cas échéant, les indemnités, primes et retenues ;</w:t>
      </w:r>
    </w:p>
    <w:p w14:paraId="2D7EBF09"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Les pénalités éventuelles pour retard ;</w:t>
      </w:r>
    </w:p>
    <w:p w14:paraId="727380E7"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Les avances à rembourser ;</w:t>
      </w:r>
    </w:p>
    <w:p w14:paraId="54250671"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 montant de la TVA ;</w:t>
      </w:r>
    </w:p>
    <w:p w14:paraId="2B7505E1" w14:textId="77777777" w:rsidR="009112AB" w:rsidRPr="00B170BE" w:rsidRDefault="009112AB" w:rsidP="00B170BE">
      <w:pPr>
        <w:pStyle w:val="Paragraphedeliste"/>
        <w:numPr>
          <w:ilvl w:val="0"/>
          <w:numId w:val="30"/>
        </w:numPr>
        <w:tabs>
          <w:tab w:val="num" w:pos="0"/>
          <w:tab w:val="left" w:leader="dot" w:pos="8505"/>
        </w:tabs>
        <w:spacing w:before="40"/>
        <w:ind w:left="567"/>
        <w:jc w:val="both"/>
        <w:textAlignment w:val="auto"/>
      </w:pPr>
      <w:r w:rsidRPr="00B170BE">
        <w:t>Le montant TTC.</w:t>
      </w:r>
    </w:p>
    <w:p w14:paraId="436F40A3" w14:textId="77777777" w:rsidR="009112AB" w:rsidRPr="009112AB" w:rsidRDefault="009112AB" w:rsidP="009112AB">
      <w:pPr>
        <w:widowControl w:val="0"/>
        <w:tabs>
          <w:tab w:val="left" w:leader="dot" w:pos="8505"/>
        </w:tabs>
        <w:suppressAutoHyphens/>
        <w:spacing w:before="40"/>
        <w:jc w:val="both"/>
        <w:textAlignment w:val="auto"/>
        <w:rPr>
          <w:rFonts w:ascii="Arial" w:hAnsi="Arial"/>
          <w:sz w:val="8"/>
          <w:szCs w:val="8"/>
        </w:rPr>
      </w:pPr>
    </w:p>
    <w:p w14:paraId="1E0F7406" w14:textId="77777777" w:rsidR="009112AB" w:rsidRDefault="009112AB" w:rsidP="009112AB">
      <w:pPr>
        <w:widowControl w:val="0"/>
        <w:tabs>
          <w:tab w:val="left" w:leader="dot" w:pos="8505"/>
        </w:tabs>
        <w:suppressAutoHyphens/>
        <w:spacing w:before="40"/>
        <w:jc w:val="both"/>
        <w:textAlignment w:val="auto"/>
        <w:rPr>
          <w:rFonts w:ascii="Arial" w:hAnsi="Arial"/>
          <w:sz w:val="22"/>
        </w:rPr>
      </w:pPr>
      <w:r w:rsidRPr="009112AB">
        <w:rPr>
          <w:rFonts w:ascii="Arial" w:hAnsi="Arial"/>
          <w:sz w:val="22"/>
        </w:rPr>
        <w:t>L’acheteur se réserve le droit de compléter ou de rectifier les demandes de paiement d'acompte qui comporteraient des erreurs ou seraient incomplètes. Dans ce cas, il doit notifier au titulaire la demande de paiement rectifiée.</w:t>
      </w:r>
    </w:p>
    <w:p w14:paraId="5141294F" w14:textId="77777777" w:rsidR="00DF17EE" w:rsidRDefault="00DF17EE" w:rsidP="009112AB">
      <w:pPr>
        <w:widowControl w:val="0"/>
        <w:tabs>
          <w:tab w:val="left" w:leader="dot" w:pos="8505"/>
        </w:tabs>
        <w:suppressAutoHyphens/>
        <w:spacing w:before="40"/>
        <w:jc w:val="both"/>
        <w:textAlignment w:val="auto"/>
        <w:rPr>
          <w:rFonts w:ascii="Arial" w:hAnsi="Arial"/>
          <w:sz w:val="22"/>
        </w:rPr>
      </w:pPr>
    </w:p>
    <w:p w14:paraId="52A5B514" w14:textId="77777777" w:rsidR="009112AB" w:rsidRPr="00B170BE" w:rsidRDefault="009112AB" w:rsidP="009112AB">
      <w:pPr>
        <w:pStyle w:val="RedaliaNormal"/>
        <w:rPr>
          <w:sz w:val="16"/>
          <w:szCs w:val="14"/>
        </w:rPr>
      </w:pPr>
    </w:p>
    <w:p w14:paraId="51AAB393" w14:textId="77777777" w:rsidR="008F4620" w:rsidRPr="009112AB" w:rsidRDefault="00193ACD" w:rsidP="009112AB">
      <w:pPr>
        <w:pStyle w:val="RdaliaRetraitniveau2"/>
        <w:numPr>
          <w:ilvl w:val="0"/>
          <w:numId w:val="28"/>
        </w:numPr>
        <w:spacing w:after="120"/>
        <w:rPr>
          <w:u w:val="single"/>
        </w:rPr>
      </w:pPr>
      <w:r w:rsidRPr="009112AB">
        <w:rPr>
          <w:u w:val="single"/>
        </w:rPr>
        <w:t xml:space="preserve">Demande de </w:t>
      </w:r>
      <w:r w:rsidRPr="00B170BE">
        <w:rPr>
          <w:b/>
          <w:bCs/>
          <w:u w:val="single"/>
        </w:rPr>
        <w:t>règlement partiel définitif</w:t>
      </w:r>
      <w:r w:rsidRPr="009112AB">
        <w:rPr>
          <w:u w:val="single"/>
        </w:rPr>
        <w:t> :</w:t>
      </w:r>
    </w:p>
    <w:p w14:paraId="1CB7F894" w14:textId="3E6398BC" w:rsidR="008F4620" w:rsidRDefault="00193ACD">
      <w:pPr>
        <w:pStyle w:val="RedaliaNormal"/>
      </w:pPr>
      <w:r>
        <w:t>Lorsque le titulaire a droit à un règlement partiel définitif conformément aux dispositions ci-dessus, les demandes de paiement des règlements partiels définitifs sont établies, conformément aux articles 11.3 et 11.7 du CCAG FCS ainsi qu’aux dispositions ci-dessus, par le titulaire, dans un délai de 8 jours à compter de chaque décision distincte d'admission des prestations.</w:t>
      </w:r>
    </w:p>
    <w:p w14:paraId="049BC3BB" w14:textId="77777777" w:rsidR="008F4620" w:rsidRDefault="00193ACD">
      <w:pPr>
        <w:pStyle w:val="RedaliaNormal"/>
      </w:pPr>
      <w:r>
        <w:t>Le titulaire transmet le décompte correspondant au règlement partiel définitif qui comporte en outre les parties suivantes :</w:t>
      </w:r>
    </w:p>
    <w:p w14:paraId="66B08BD6" w14:textId="77777777" w:rsidR="008F4620" w:rsidRDefault="00193ACD">
      <w:pPr>
        <w:pStyle w:val="RdaliaRetraitniveau1"/>
      </w:pPr>
      <w:r>
        <w:t>Une récapitulation des acomptes perçus pour l'ensemble des prestations du contrat objet du projet de décompte ;</w:t>
      </w:r>
    </w:p>
    <w:p w14:paraId="1DF185B5" w14:textId="77777777" w:rsidR="008F4620" w:rsidRDefault="00193ACD">
      <w:pPr>
        <w:pStyle w:val="RdaliaRetraitniveau1"/>
      </w:pPr>
      <w:r>
        <w:t>Le cas échéant, une demande de paiement correspondant :</w:t>
      </w:r>
    </w:p>
    <w:p w14:paraId="55A338FC" w14:textId="77777777" w:rsidR="008F4620" w:rsidRDefault="00193ACD" w:rsidP="00270A97">
      <w:pPr>
        <w:pStyle w:val="RdaliaRetraitniveau1"/>
        <w:numPr>
          <w:ilvl w:val="0"/>
          <w:numId w:val="32"/>
        </w:numPr>
        <w:ind w:left="1134"/>
      </w:pPr>
      <w:r>
        <w:t>Aux sommes dues le dernier mois d'exécution, si le titulaire n'a pas produit une demande d'acompte pour ces prestations ;</w:t>
      </w:r>
    </w:p>
    <w:p w14:paraId="71CDF948" w14:textId="77777777" w:rsidR="008F4620" w:rsidRDefault="00193ACD" w:rsidP="00270A97">
      <w:pPr>
        <w:pStyle w:val="RdaliaRetraitniveau1"/>
        <w:numPr>
          <w:ilvl w:val="0"/>
          <w:numId w:val="32"/>
        </w:numPr>
        <w:ind w:left="1134"/>
      </w:pPr>
      <w:r>
        <w:t>Au solde du règlement partiel définitif.</w:t>
      </w:r>
    </w:p>
    <w:p w14:paraId="05E121EA" w14:textId="77777777" w:rsidR="008F4620" w:rsidRPr="00270A97" w:rsidRDefault="008F4620">
      <w:pPr>
        <w:pStyle w:val="RedaliaNormal"/>
        <w:rPr>
          <w:sz w:val="14"/>
          <w:szCs w:val="12"/>
        </w:rPr>
      </w:pPr>
    </w:p>
    <w:p w14:paraId="28DED112" w14:textId="77777777" w:rsidR="008F4620" w:rsidRDefault="00193ACD">
      <w:pPr>
        <w:pStyle w:val="RedaliaNormal"/>
      </w:pPr>
      <w:r>
        <w:t>L’acheteur se réserve le droit de compléter ou de rectifier la demande de paiement et le décompte partiel définitif qui comporteraient des erreurs ou seraient incomplets. Dans ce cas, il doit notifier au titulaire la demande de paiement rectifiée.</w:t>
      </w:r>
    </w:p>
    <w:p w14:paraId="070768D3" w14:textId="77777777" w:rsidR="008F4620" w:rsidRPr="00270A97" w:rsidRDefault="008F4620">
      <w:pPr>
        <w:pStyle w:val="RedaliaNormal"/>
        <w:rPr>
          <w:sz w:val="14"/>
          <w:szCs w:val="12"/>
        </w:rPr>
      </w:pPr>
    </w:p>
    <w:p w14:paraId="424D0C7E" w14:textId="77777777" w:rsidR="008F4620" w:rsidRPr="00270A97" w:rsidRDefault="00193ACD" w:rsidP="00270A97">
      <w:pPr>
        <w:pStyle w:val="RdaliaRetraitniveau2"/>
        <w:numPr>
          <w:ilvl w:val="0"/>
          <w:numId w:val="28"/>
        </w:numPr>
        <w:spacing w:after="120"/>
        <w:rPr>
          <w:u w:val="single"/>
        </w:rPr>
      </w:pPr>
      <w:r w:rsidRPr="00270A97">
        <w:rPr>
          <w:b/>
          <w:bCs/>
          <w:u w:val="single"/>
        </w:rPr>
        <w:t>Solde</w:t>
      </w:r>
      <w:r w:rsidRPr="00270A97">
        <w:rPr>
          <w:u w:val="single"/>
        </w:rPr>
        <w:t xml:space="preserve"> du contrat :</w:t>
      </w:r>
    </w:p>
    <w:p w14:paraId="20E50D33" w14:textId="77777777" w:rsidR="008F4620" w:rsidRDefault="00193ACD">
      <w:pPr>
        <w:pStyle w:val="RedaliaNormal"/>
      </w:pPr>
      <w:r>
        <w:t>La demande de paiement du solde est établie, conformément aux dispositions</w:t>
      </w:r>
      <w:r>
        <w:rPr>
          <w:rStyle w:val="Policepardfaut1"/>
          <w:i/>
        </w:rPr>
        <w:t xml:space="preserve"> </w:t>
      </w:r>
      <w:r>
        <w:t>ci-dessous et à l’article 11.7 du CCAG FCS, par le titulaire dans un délai de 8 jours à compter de la décision d'admission des prestations ou de la dernière décision d'admission distincte en cas de règlement partiel définitif.</w:t>
      </w:r>
    </w:p>
    <w:p w14:paraId="0E3825B0" w14:textId="77777777" w:rsidR="008F4620" w:rsidRPr="00270A97" w:rsidRDefault="008F4620">
      <w:pPr>
        <w:pStyle w:val="RedaliaNormal"/>
        <w:rPr>
          <w:sz w:val="10"/>
          <w:szCs w:val="10"/>
        </w:rPr>
      </w:pPr>
    </w:p>
    <w:p w14:paraId="1B0A8158" w14:textId="77777777" w:rsidR="008F4620" w:rsidRDefault="00193ACD">
      <w:pPr>
        <w:pStyle w:val="RedaliaNormal"/>
      </w:pPr>
      <w:r>
        <w:t>Le titulaire transmet le décompte pour solde qui comporte en outre les parties suivantes :</w:t>
      </w:r>
    </w:p>
    <w:p w14:paraId="7D10CD7B" w14:textId="77777777" w:rsidR="008F4620" w:rsidRDefault="00193ACD">
      <w:pPr>
        <w:pStyle w:val="RdaliaRetraitniveau1"/>
      </w:pPr>
      <w:r>
        <w:t>Une récapitulation des acomptes et/ou règlements partiels définitifs perçus pour l'ensemble des prestations du contrat objet du projet de décompte ;</w:t>
      </w:r>
    </w:p>
    <w:p w14:paraId="08A7D096" w14:textId="77777777" w:rsidR="008F4620" w:rsidRDefault="00193ACD">
      <w:pPr>
        <w:pStyle w:val="RdaliaRetraitniveau1"/>
      </w:pPr>
      <w:r>
        <w:t>Le cas échéant, une demande de paiement correspondant :</w:t>
      </w:r>
    </w:p>
    <w:p w14:paraId="28F9C95C" w14:textId="77777777" w:rsidR="008F4620" w:rsidRDefault="00193ACD" w:rsidP="00270A97">
      <w:pPr>
        <w:pStyle w:val="RdaliaRetraitniveau1"/>
        <w:numPr>
          <w:ilvl w:val="0"/>
          <w:numId w:val="32"/>
        </w:numPr>
        <w:ind w:left="1134"/>
      </w:pPr>
      <w:r>
        <w:t>Aux sommes dues le dernier mois d'exécution, si le titulaire n'a pas produit une demande d'acompte pour ces prestations ;</w:t>
      </w:r>
    </w:p>
    <w:p w14:paraId="11AE911C" w14:textId="77777777" w:rsidR="008F4620" w:rsidRDefault="00193ACD" w:rsidP="00270A97">
      <w:pPr>
        <w:pStyle w:val="RdaliaRetraitniveau1"/>
        <w:numPr>
          <w:ilvl w:val="0"/>
          <w:numId w:val="32"/>
        </w:numPr>
        <w:ind w:left="1134"/>
      </w:pPr>
      <w:r>
        <w:t>Au solde du contrat.</w:t>
      </w:r>
    </w:p>
    <w:p w14:paraId="7101ABF9" w14:textId="77777777" w:rsidR="008F4620" w:rsidRPr="00561B59" w:rsidRDefault="008F4620">
      <w:pPr>
        <w:pStyle w:val="RedaliaNormal"/>
        <w:rPr>
          <w:sz w:val="10"/>
          <w:szCs w:val="10"/>
        </w:rPr>
      </w:pPr>
    </w:p>
    <w:p w14:paraId="682F5043" w14:textId="77777777" w:rsidR="008F4620" w:rsidRDefault="00193ACD">
      <w:pPr>
        <w:pStyle w:val="RedaliaNormal"/>
      </w:pPr>
      <w:r>
        <w:t>L’acheteur se réserve le droit de compléter ou de rectifier les demandes de paiement qui comporteraient des erreurs ou seraient incomplètes. Dans ce cas, il doit notifier au titulaire la demande de paiement rectifiée.</w:t>
      </w:r>
    </w:p>
    <w:p w14:paraId="20DBB868" w14:textId="77777777" w:rsidR="00FB2AEC" w:rsidRDefault="00FB2AEC">
      <w:pPr>
        <w:pStyle w:val="RedaliaNormal"/>
      </w:pPr>
    </w:p>
    <w:p w14:paraId="43DCF216" w14:textId="77777777" w:rsidR="00365CFE" w:rsidRDefault="00365CFE">
      <w:pPr>
        <w:pStyle w:val="RedaliaNormal"/>
      </w:pPr>
    </w:p>
    <w:p w14:paraId="03BD607F" w14:textId="77777777" w:rsidR="00365CFE" w:rsidRDefault="00365CFE">
      <w:pPr>
        <w:pStyle w:val="RedaliaNormal"/>
      </w:pPr>
    </w:p>
    <w:p w14:paraId="7A270E40" w14:textId="77777777" w:rsidR="008F4620" w:rsidRDefault="00193ACD" w:rsidP="00902028">
      <w:pPr>
        <w:pStyle w:val="CCP-Titre3"/>
        <w:outlineLvl w:val="2"/>
      </w:pPr>
      <w:bookmarkStart w:id="90" w:name="_Toc158819812"/>
      <w:bookmarkStart w:id="91" w:name="_Toc179450229"/>
      <w:r>
        <w:t>Transmission des demandes de paiement</w:t>
      </w:r>
      <w:bookmarkEnd w:id="90"/>
      <w:bookmarkEnd w:id="91"/>
    </w:p>
    <w:p w14:paraId="475AAD61" w14:textId="77777777" w:rsidR="008F4620" w:rsidRDefault="00193ACD">
      <w:pPr>
        <w:pStyle w:val="RedaliaNormal"/>
      </w:pPr>
      <w:r>
        <w:t xml:space="preserve">Conformément aux articles L. 2192-1 à L. 2192-3 du Code de la commande publique, les opérateurs économiques doivent transmettre leurs factures sous forme électronique. Pour ce faire, ils doivent utiliser le "portail public de facturation" nommé Chorus Pro via l'url : </w:t>
      </w:r>
      <w:hyperlink r:id="rId10" w:anchor="_blank" w:history="1">
        <w:r>
          <w:rPr>
            <w:rStyle w:val="Lienhypertexte1"/>
          </w:rPr>
          <w:t>https://chorus-pro.gouv.fr</w:t>
        </w:r>
      </w:hyperlink>
    </w:p>
    <w:p w14:paraId="7CBA2D17" w14:textId="54864EB1" w:rsidR="008F4620" w:rsidRDefault="00193ACD">
      <w:pPr>
        <w:pStyle w:val="RedaliaNormal"/>
      </w:pPr>
      <w:r>
        <w:t>L'identifiant SIRET de l'acheteur nécessaire au dépôt d'une facture dans le portail Chorus Pro est le suivant : 18570301400018.</w:t>
      </w:r>
    </w:p>
    <w:p w14:paraId="33EAB70B" w14:textId="77777777" w:rsidR="00690FCE" w:rsidRDefault="00690FCE" w:rsidP="00690FCE">
      <w:pPr>
        <w:pStyle w:val="CCP-Titre2"/>
      </w:pPr>
      <w:bookmarkStart w:id="92" w:name="_Toc158819813"/>
      <w:bookmarkStart w:id="93" w:name="_Toc179450230"/>
      <w:r>
        <w:t>Règlement en cas de groupements économiques</w:t>
      </w:r>
      <w:bookmarkEnd w:id="92"/>
      <w:bookmarkEnd w:id="93"/>
    </w:p>
    <w:p w14:paraId="4E7CE7CE" w14:textId="77777777" w:rsidR="00690FCE" w:rsidRDefault="00690FCE" w:rsidP="00690FCE">
      <w:pPr>
        <w:pStyle w:val="RedaliaNormal"/>
      </w:pPr>
      <w:r>
        <w:t xml:space="preserve">En cas de groupement, seul le mandataire du groupement est habilité à présenter les demandes de paiement. </w:t>
      </w:r>
    </w:p>
    <w:p w14:paraId="30FDDE3B" w14:textId="77777777" w:rsidR="00690FCE" w:rsidRPr="00690FCE" w:rsidRDefault="00690FCE" w:rsidP="00690FCE">
      <w:pPr>
        <w:pStyle w:val="RedaliaNormal"/>
      </w:pPr>
      <w:r>
        <w:t xml:space="preserve">En cas de groupement solidaire, il sera procédé à un règlement séparé de chacun des membres, si la répartition des paiements est identifiée </w:t>
      </w:r>
      <w:r w:rsidRPr="00690FCE">
        <w:t xml:space="preserve">à l'article </w:t>
      </w:r>
      <w:r w:rsidRPr="00690FCE">
        <w:rPr>
          <w:i/>
          <w:iCs/>
        </w:rPr>
        <w:t>Engagement du/des contractant(s)</w:t>
      </w:r>
      <w:r w:rsidRPr="00690FCE">
        <w:t xml:space="preserve"> du présent CCP valant Acte d'engagement. </w:t>
      </w:r>
    </w:p>
    <w:p w14:paraId="24F26CAC" w14:textId="77777777" w:rsidR="00690FCE" w:rsidRDefault="00690FCE" w:rsidP="00690FCE">
      <w:pPr>
        <w:pStyle w:val="RedaliaNormal"/>
      </w:pPr>
      <w:r>
        <w:t>Le mandataire du groupement indique dans chaque demande de paiement qu'il transmet à l’acheteur, la répartition des paiements pour chacun des membres du groupement.</w:t>
      </w:r>
    </w:p>
    <w:p w14:paraId="033FBE48" w14:textId="77777777" w:rsidR="00690FCE" w:rsidRDefault="00690FCE" w:rsidP="00690FCE">
      <w:pPr>
        <w:pStyle w:val="RedaliaNormal"/>
      </w:pPr>
      <w:r>
        <w:t>L'acceptation d'un règlement à chacun des membres du groupement solidaire ne saurait remettre en cause la solidarité des membres.</w:t>
      </w:r>
    </w:p>
    <w:p w14:paraId="0D60B6CE" w14:textId="77777777" w:rsidR="008F4620" w:rsidRDefault="00193ACD" w:rsidP="00690FCE">
      <w:pPr>
        <w:pStyle w:val="CCP-Titre2"/>
      </w:pPr>
      <w:bookmarkStart w:id="94" w:name="_Toc158819814"/>
      <w:bookmarkStart w:id="95" w:name="_Toc179450231"/>
      <w:bookmarkStart w:id="96" w:name="_Hlk158813876"/>
      <w:r>
        <w:t>Paiement des sous-traitants</w:t>
      </w:r>
      <w:bookmarkEnd w:id="94"/>
      <w:bookmarkEnd w:id="95"/>
    </w:p>
    <w:p w14:paraId="5251C298" w14:textId="77777777" w:rsidR="008F4620" w:rsidRDefault="00193ACD">
      <w:pPr>
        <w:pStyle w:val="RedaliaNormal"/>
      </w:pPr>
      <w:r>
        <w:t>Le paiement du sous-traitant ayant droit au paiement direct s’effectue dans les conditions prévues notamment aux articles L. 2193-10 et R. 2193-10 du Code de la commande publique.</w:t>
      </w:r>
    </w:p>
    <w:bookmarkEnd w:id="96"/>
    <w:p w14:paraId="25A31F2E" w14:textId="77777777" w:rsidR="008F4620" w:rsidRPr="00690FCE" w:rsidRDefault="008F4620">
      <w:pPr>
        <w:pStyle w:val="RedaliaNormal"/>
        <w:rPr>
          <w:sz w:val="10"/>
          <w:szCs w:val="10"/>
        </w:rPr>
      </w:pPr>
    </w:p>
    <w:p w14:paraId="7DEFF901" w14:textId="77777777" w:rsidR="008F4620" w:rsidRDefault="00193ACD">
      <w:pPr>
        <w:pStyle w:val="RedaliaNormal"/>
      </w:pPr>
      <w:r>
        <w:t>Le sous-traitant adresse sa demande de paiement, en LR/AR, libellée au nom du pouvoir adjudicateur et accompagnée des factures au titulaire du marché. Il transmet également copie de ces pièces à l’Agence de l’eau.</w:t>
      </w:r>
    </w:p>
    <w:p w14:paraId="7A309EA2" w14:textId="77777777" w:rsidR="008F4620" w:rsidRPr="00690FCE" w:rsidRDefault="008F4620">
      <w:pPr>
        <w:pStyle w:val="RedaliaNormal"/>
        <w:rPr>
          <w:sz w:val="10"/>
          <w:szCs w:val="10"/>
        </w:rPr>
      </w:pPr>
    </w:p>
    <w:p w14:paraId="3642B60C" w14:textId="77777777" w:rsidR="008F4620" w:rsidRDefault="00193ACD">
      <w:pPr>
        <w:pStyle w:val="RedaliaNormal"/>
      </w:pPr>
      <w:r>
        <w:t>Pour permettre la vérification des sommes à payer directement au sous-traitant et pour assurer l’établissement des acomptes correspondants, le représentant du pouvoir adjudicateur transmet sans délai, copie des factures reçues au titulaire du marché. Cette transmission est sans conséquence sur le délai prévu par à l’article R. 2193-12 du Code susvisé pour la vérification de la demande de paiement.</w:t>
      </w:r>
    </w:p>
    <w:p w14:paraId="384EB450" w14:textId="77777777" w:rsidR="008F4620" w:rsidRDefault="00193ACD">
      <w:pPr>
        <w:pStyle w:val="RedaliaNormal"/>
      </w:pPr>
      <w:r>
        <w:t>Le titulaire du marché adresse de façon concomitante au sous-traitant et au pouvoir adjudicateur, par tout moyen permettant de déterminer date certaine, sa décision concernant la demande de paiement et indiquant la somme à régler par l’Agence à chaque sous-traitant concerné, cette somme tenant compte d’une éventuelle révision ou actualisation des prix prévue dans le contrat de sous-traitance et incluant la TVA, étant entendu que sans réponse de sa part dans les 15 jours à réception de l’AR visé au 2ème alinéa, les prestations sont réputées acceptées et seront réglées par le pouvoir adjudicateur au sous-traitant.</w:t>
      </w:r>
    </w:p>
    <w:p w14:paraId="3E68459E" w14:textId="77777777" w:rsidR="008F4620" w:rsidRPr="00093C47" w:rsidRDefault="008F4620">
      <w:pPr>
        <w:pStyle w:val="RedaliaNormal"/>
        <w:rPr>
          <w:sz w:val="10"/>
          <w:szCs w:val="10"/>
        </w:rPr>
      </w:pPr>
    </w:p>
    <w:p w14:paraId="41438F19" w14:textId="5AE25B04" w:rsidR="008F4620" w:rsidRDefault="00193ACD">
      <w:pPr>
        <w:pStyle w:val="RedaliaNormal"/>
      </w:pPr>
      <w:r>
        <w:t>Le paiement des sommes dues au sous-traitant fera l’objet d’un virement administratif.</w:t>
      </w:r>
    </w:p>
    <w:p w14:paraId="640E30C7" w14:textId="77777777" w:rsidR="00B84C84" w:rsidRDefault="00B84C84">
      <w:pPr>
        <w:pStyle w:val="RedaliaNormal"/>
      </w:pPr>
    </w:p>
    <w:p w14:paraId="0079E0AF" w14:textId="359AD2E1" w:rsidR="00555D0A" w:rsidRDefault="00555D0A" w:rsidP="00555D0A">
      <w:pPr>
        <w:pStyle w:val="CCP-Titre2"/>
      </w:pPr>
      <w:bookmarkStart w:id="97" w:name="_Toc158819815"/>
      <w:bookmarkStart w:id="98" w:name="_Toc179450232"/>
      <w:r>
        <w:t>Paiement des cotraitants</w:t>
      </w:r>
      <w:bookmarkEnd w:id="97"/>
      <w:bookmarkEnd w:id="98"/>
    </w:p>
    <w:p w14:paraId="57643B94" w14:textId="77777777" w:rsidR="00555D0A" w:rsidRDefault="00555D0A" w:rsidP="00555D0A">
      <w:pPr>
        <w:pStyle w:val="RedaliaNormal"/>
      </w:pPr>
      <w:r>
        <w:t xml:space="preserve">Dans le cas d'un groupement, la signature du projet de décompte par le mandataire vaut acceptation par celui-ci de la somme à payer éventuellement à chacun des cotraitants, compte tenu des modalités de répartition des paiements prévus dans le marché. </w:t>
      </w:r>
    </w:p>
    <w:p w14:paraId="3E36A107" w14:textId="77777777" w:rsidR="00C90373" w:rsidRDefault="00C90373" w:rsidP="00555D0A">
      <w:pPr>
        <w:pStyle w:val="RedaliaNormal"/>
      </w:pPr>
    </w:p>
    <w:p w14:paraId="4AB8F923" w14:textId="77777777" w:rsidR="00C90373" w:rsidRDefault="00C90373" w:rsidP="00555D0A">
      <w:pPr>
        <w:pStyle w:val="RedaliaNormal"/>
      </w:pPr>
    </w:p>
    <w:p w14:paraId="57D57D9C" w14:textId="77777777" w:rsidR="008F4620" w:rsidRDefault="00193ACD" w:rsidP="00555D0A">
      <w:pPr>
        <w:pStyle w:val="CCP-Titre2"/>
      </w:pPr>
      <w:bookmarkStart w:id="99" w:name="_Toc158819816"/>
      <w:bookmarkStart w:id="100" w:name="_Toc179450233"/>
      <w:r>
        <w:lastRenderedPageBreak/>
        <w:t>Délais de paiement</w:t>
      </w:r>
      <w:bookmarkEnd w:id="99"/>
      <w:bookmarkEnd w:id="100"/>
    </w:p>
    <w:p w14:paraId="3440A71C" w14:textId="77777777" w:rsidR="008F4620" w:rsidRDefault="00193ACD">
      <w:pPr>
        <w:pStyle w:val="RedaliaNormal"/>
      </w:pPr>
      <w:r>
        <w:t>Les délais dont dispose l’acheteur ou son représentant pour procéder au paiement des règlements partiels définitifs et du solde sont fixés à 30 jours.</w:t>
      </w:r>
    </w:p>
    <w:p w14:paraId="2F57A40E" w14:textId="77777777" w:rsidR="008F4620" w:rsidRDefault="00193ACD" w:rsidP="00555D0A">
      <w:pPr>
        <w:pStyle w:val="CCP-Titre2"/>
      </w:pPr>
      <w:bookmarkStart w:id="101" w:name="_Toc52680813"/>
      <w:bookmarkStart w:id="102" w:name="_Toc171397167"/>
      <w:bookmarkStart w:id="103" w:name="_Toc158819817"/>
      <w:bookmarkStart w:id="104" w:name="_Toc179450234"/>
      <w:r>
        <w:t>Intérêts moratoires</w:t>
      </w:r>
      <w:bookmarkEnd w:id="101"/>
      <w:bookmarkEnd w:id="102"/>
      <w:bookmarkEnd w:id="103"/>
      <w:bookmarkEnd w:id="104"/>
    </w:p>
    <w:p w14:paraId="503D807B" w14:textId="77777777" w:rsidR="008F4620" w:rsidRDefault="00193ACD">
      <w:pPr>
        <w:pStyle w:val="RedaliaNormal"/>
      </w:pPr>
      <w:r>
        <w:t xml:space="preserve">Le défaut de paiement des avances, des acomptes, des règlements partiels définitifs ou du solde dans le délai fixé par le marché donne droit à des intérêts moratoires, calculés à compter du lendemain de l'expiration dudit délai (ou de l’échéance prévue par le marché) jusqu'à la date de mise en paiement du principal incluse (article R. 2192-32 du Code de la commande publique). </w:t>
      </w:r>
    </w:p>
    <w:p w14:paraId="6276CEE4" w14:textId="5FCF8097" w:rsidR="008F4620" w:rsidRDefault="00193ACD">
      <w:pPr>
        <w:pStyle w:val="RedaliaNormal"/>
      </w:pPr>
      <w:r>
        <w:t xml:space="preserve">Le taux des intérêts moratoires applicables en cas de dépassement du délai maximum de paiement est égal au taux d'intérêt appliqué par la Banque Centrale Européenne (BCE) à ses opérations principales de refinancement les plus récentes en vigueur au premier jour du semestre de l'année civile au cours duquel les intérêts moratoires ont commencé à courir, majoré de </w:t>
      </w:r>
      <w:r w:rsidR="0092287D">
        <w:t>10,5</w:t>
      </w:r>
      <w:r>
        <w:t xml:space="preserve"> points de pourcentage.</w:t>
      </w:r>
    </w:p>
    <w:p w14:paraId="02EBE35D" w14:textId="77777777" w:rsidR="008F4620" w:rsidRDefault="00193ACD">
      <w:pPr>
        <w:pStyle w:val="RedaliaNormal"/>
      </w:pPr>
      <w:r>
        <w:t>Le montant de l'indemnité forfaitaire pour frais de recouvrement est fixé à 40 €.</w:t>
      </w:r>
    </w:p>
    <w:p w14:paraId="3C1F6298" w14:textId="77777777" w:rsidR="008F4620" w:rsidRDefault="00193ACD" w:rsidP="00EB2CAB">
      <w:pPr>
        <w:pStyle w:val="CCP-Titre1"/>
      </w:pPr>
      <w:bookmarkStart w:id="105" w:name="_Toc68255372"/>
      <w:bookmarkStart w:id="106" w:name="_Toc68255373"/>
      <w:bookmarkStart w:id="107" w:name="_Toc68255375"/>
      <w:bookmarkStart w:id="108" w:name="_Toc158819818"/>
      <w:bookmarkStart w:id="109" w:name="_Toc179450235"/>
      <w:bookmarkEnd w:id="105"/>
      <w:bookmarkEnd w:id="106"/>
      <w:r>
        <w:t>Constatation de l’exécution des prestations</w:t>
      </w:r>
      <w:bookmarkEnd w:id="107"/>
      <w:bookmarkEnd w:id="108"/>
      <w:bookmarkEnd w:id="109"/>
    </w:p>
    <w:p w14:paraId="1B163AE9" w14:textId="77777777" w:rsidR="008F4620" w:rsidRDefault="00193ACD" w:rsidP="00E14B3F">
      <w:pPr>
        <w:pStyle w:val="CCP-Titre2"/>
      </w:pPr>
      <w:bookmarkStart w:id="110" w:name="_Toc158819819"/>
      <w:bookmarkStart w:id="111" w:name="_Toc179450236"/>
      <w:r>
        <w:t>Opérations de vérification et décisions</w:t>
      </w:r>
      <w:bookmarkEnd w:id="110"/>
      <w:bookmarkEnd w:id="111"/>
    </w:p>
    <w:p w14:paraId="3EDEC061" w14:textId="4FA67B0B" w:rsidR="008F4620" w:rsidRDefault="00193ACD">
      <w:pPr>
        <w:pStyle w:val="RedaliaNormal"/>
      </w:pPr>
      <w:r>
        <w:t>Les opérations de vérifications quantitatives et qualitatives sont effectuées conformément aux dispositions des articles 27, 28 et 29 du CCAG FCS.</w:t>
      </w:r>
    </w:p>
    <w:p w14:paraId="7F2CF723" w14:textId="77777777" w:rsidR="00E14B3F" w:rsidRDefault="00E14B3F" w:rsidP="00E14B3F">
      <w:pPr>
        <w:keepLines/>
        <w:widowControl w:val="0"/>
        <w:suppressAutoHyphens/>
        <w:ind w:right="-424"/>
        <w:jc w:val="both"/>
        <w:textAlignment w:val="auto"/>
        <w:rPr>
          <w:rFonts w:ascii="Arial" w:hAnsi="Arial" w:cs="Calibri"/>
          <w:sz w:val="12"/>
          <w:szCs w:val="14"/>
        </w:rPr>
      </w:pPr>
    </w:p>
    <w:p w14:paraId="0A678658" w14:textId="77777777" w:rsidR="005F7114" w:rsidRPr="00C5048C" w:rsidRDefault="005F7114" w:rsidP="00E14B3F">
      <w:pPr>
        <w:keepLines/>
        <w:widowControl w:val="0"/>
        <w:suppressAutoHyphens/>
        <w:ind w:right="-424"/>
        <w:jc w:val="both"/>
        <w:textAlignment w:val="auto"/>
        <w:rPr>
          <w:rFonts w:ascii="Arial" w:hAnsi="Arial" w:cs="Calibri"/>
          <w:sz w:val="12"/>
          <w:szCs w:val="14"/>
        </w:rPr>
      </w:pPr>
    </w:p>
    <w:p w14:paraId="16847A7E" w14:textId="77777777" w:rsidR="008F4620" w:rsidRDefault="00193ACD" w:rsidP="00E14B3F">
      <w:pPr>
        <w:pStyle w:val="CCP-Titre2"/>
      </w:pPr>
      <w:bookmarkStart w:id="112" w:name="_Toc158819820"/>
      <w:bookmarkStart w:id="113" w:name="_Toc179450237"/>
      <w:r>
        <w:t>Admission, ajournement, réfaction et rejet</w:t>
      </w:r>
      <w:bookmarkEnd w:id="112"/>
      <w:bookmarkEnd w:id="113"/>
    </w:p>
    <w:p w14:paraId="1B4074CB" w14:textId="24ADE730" w:rsidR="00BF5E00" w:rsidRDefault="00BF5E00" w:rsidP="00996CBB">
      <w:pPr>
        <w:pStyle w:val="RedaliaNormal"/>
      </w:pPr>
      <w:r>
        <w:t>Par dérogation à l’article 30 du CCAG FCS, le délai d’admission du rapport d’activité est porté à 30 jours à réception du rapport.</w:t>
      </w:r>
    </w:p>
    <w:p w14:paraId="66BE5F61" w14:textId="77777777" w:rsidR="005F7114" w:rsidRPr="00F14A44" w:rsidRDefault="005F7114" w:rsidP="00996CBB">
      <w:pPr>
        <w:pStyle w:val="RedaliaNormal"/>
        <w:rPr>
          <w:rFonts w:cs="Calibri"/>
          <w:bCs/>
          <w:i/>
          <w:color w:val="C00000"/>
          <w:szCs w:val="22"/>
          <w:highlight w:val="yellow"/>
        </w:rPr>
      </w:pPr>
    </w:p>
    <w:p w14:paraId="26B53715" w14:textId="77777777" w:rsidR="008F4620" w:rsidRPr="00A82787" w:rsidRDefault="00193ACD" w:rsidP="00844FA1">
      <w:pPr>
        <w:pStyle w:val="CCP-Titre1"/>
        <w:pBdr>
          <w:bottom w:val="single" w:sz="4" w:space="31" w:color="385623" w:themeColor="accent6" w:themeShade="80"/>
        </w:pBdr>
      </w:pPr>
      <w:bookmarkStart w:id="114" w:name="_Toc158819821"/>
      <w:bookmarkStart w:id="115" w:name="_Toc179450238"/>
      <w:r w:rsidRPr="00A82787">
        <w:t>Suspension des prestations en cas de circonstances imprévisibles</w:t>
      </w:r>
      <w:bookmarkEnd w:id="114"/>
      <w:bookmarkEnd w:id="115"/>
    </w:p>
    <w:p w14:paraId="110EF4C7" w14:textId="707B27E3" w:rsidR="008F4620" w:rsidRDefault="00193ACD">
      <w:pPr>
        <w:pStyle w:val="RedaliaNormal"/>
      </w:pPr>
      <w:r>
        <w:t xml:space="preserve">Lorsque la poursuite de l’exécution </w:t>
      </w:r>
      <w:sdt>
        <w:sdtPr>
          <w:id w:val="-1713880420"/>
          <w:placeholder>
            <w:docPart w:val="C21B2EEE61CA42678802AD3AA7B347C6"/>
          </w:placeholder>
          <w:comboBox>
            <w:listItem w:value="Choisissez un élément."/>
            <w:listItem w:displayText="du marché" w:value="du marché"/>
            <w:listItem w:displayText="de l'accord-cadre" w:value="de l'accord-cadre"/>
          </w:comboBox>
        </w:sdtPr>
        <w:sdtEndPr/>
        <w:sdtContent>
          <w:r w:rsidR="00351072">
            <w:t>de l'accord-cadre</w:t>
          </w:r>
        </w:sdtContent>
      </w:sdt>
      <w:r w:rsidR="00A82787" w:rsidRPr="00C5048C">
        <w:t xml:space="preserve"> </w:t>
      </w:r>
      <w:r>
        <w:t>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l'acheteur. Lorsque la suspension sera demandée par le titulaire, l'acheteur se prononcera sur le bien-fondé de cette demande dans les meilleurs délais.</w:t>
      </w:r>
    </w:p>
    <w:p w14:paraId="05D12919" w14:textId="77777777" w:rsidR="008F4620" w:rsidRDefault="00193ACD">
      <w:pPr>
        <w:pStyle w:val="RedaliaNormal"/>
      </w:pPr>
      <w:r>
        <w:t>Les dispositions de l’article 24 du CCAG FCS seront applicables.</w:t>
      </w:r>
    </w:p>
    <w:p w14:paraId="44225D67" w14:textId="77777777" w:rsidR="008F4620" w:rsidRDefault="00193ACD" w:rsidP="00EB2CAB">
      <w:pPr>
        <w:pStyle w:val="CCP-Titre1"/>
      </w:pPr>
      <w:bookmarkStart w:id="116" w:name="_Toc158819822"/>
      <w:bookmarkStart w:id="117" w:name="_Toc179450239"/>
      <w:r>
        <w:t>Propriété intellectuelle – Utilisation des résultats</w:t>
      </w:r>
      <w:bookmarkEnd w:id="116"/>
      <w:bookmarkEnd w:id="117"/>
    </w:p>
    <w:p w14:paraId="75661088" w14:textId="77777777" w:rsidR="008F4620" w:rsidRDefault="00193ACD" w:rsidP="00A82787">
      <w:pPr>
        <w:pStyle w:val="CCP-Titre2"/>
      </w:pPr>
      <w:bookmarkStart w:id="118" w:name="_Toc158819823"/>
      <w:bookmarkStart w:id="119" w:name="_Toc179450240"/>
      <w:r>
        <w:t>Régime des connaissances antérieures et connaissances antérieures standards</w:t>
      </w:r>
      <w:bookmarkEnd w:id="118"/>
      <w:bookmarkEnd w:id="119"/>
    </w:p>
    <w:p w14:paraId="6795229F" w14:textId="77777777" w:rsidR="008F4620" w:rsidRDefault="00193ACD">
      <w:pPr>
        <w:pStyle w:val="LO-Normal"/>
      </w:pPr>
      <w:r>
        <w:t>Les dispositions des articles 35 et 36 du CCAG FCS seront applicables au marché.</w:t>
      </w:r>
    </w:p>
    <w:p w14:paraId="5F5E1948" w14:textId="77777777" w:rsidR="008F4620" w:rsidRPr="00A82787" w:rsidRDefault="008F4620">
      <w:pPr>
        <w:pStyle w:val="RedaliaNormal"/>
        <w:rPr>
          <w:sz w:val="8"/>
          <w:szCs w:val="6"/>
        </w:rPr>
      </w:pPr>
    </w:p>
    <w:p w14:paraId="37FCD219" w14:textId="77777777" w:rsidR="008F4620" w:rsidRDefault="00193ACD">
      <w:pPr>
        <w:pStyle w:val="RedaliaNormal"/>
      </w:pPr>
      <w:r>
        <w:lastRenderedPageBreak/>
        <w:t>Aussi, 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w:t>
      </w:r>
    </w:p>
    <w:p w14:paraId="7914D4FB" w14:textId="77777777" w:rsidR="008F4620" w:rsidRDefault="00193ACD">
      <w:pPr>
        <w:pStyle w:val="RedaliaNormal"/>
      </w:pPr>
      <w:r>
        <w:t>Le titulaire précise l'ensemble des éléments nécessaires à l'utilisation des connaissances antérieures et connaissances antérieures standards par l'acheteur.</w:t>
      </w:r>
    </w:p>
    <w:p w14:paraId="2F3BA176" w14:textId="77777777" w:rsidR="008F4620" w:rsidRDefault="00193ACD" w:rsidP="00A82787">
      <w:pPr>
        <w:pStyle w:val="CCP-Titre2"/>
      </w:pPr>
      <w:bookmarkStart w:id="120" w:name="_Toc158819824"/>
      <w:bookmarkStart w:id="121" w:name="_Toc179450241"/>
      <w:r>
        <w:t>Régime des résultats</w:t>
      </w:r>
      <w:bookmarkEnd w:id="120"/>
      <w:bookmarkEnd w:id="121"/>
    </w:p>
    <w:p w14:paraId="1DAE0483" w14:textId="77777777" w:rsidR="008F4620" w:rsidRDefault="00193ACD">
      <w:pPr>
        <w:pStyle w:val="RedaliaNormal"/>
      </w:pPr>
      <w:r>
        <w:t>En vertu de l’article 37 du CCAG FCS :</w:t>
      </w:r>
    </w:p>
    <w:p w14:paraId="37EFC47F" w14:textId="437AE823" w:rsidR="008F4620" w:rsidRDefault="00A82787">
      <w:pPr>
        <w:pStyle w:val="RedaliaRetraitavecpuce"/>
      </w:pPr>
      <w:r>
        <w:t>L</w:t>
      </w:r>
      <w:r w:rsidR="00193ACD">
        <w:t>e titulaire accorde à l’acheteur, les droits nécessaires pour utiliser ou faire utiliser les résultats, en l'état ou modifiés, de façon permanente ou temporaire, en tout ou partie, par tout moyen et sous toutes formes, pour les besoins et finalités d’utilisation découlant de l’objet des prestations du marché.</w:t>
      </w:r>
    </w:p>
    <w:p w14:paraId="04520ABE" w14:textId="77777777" w:rsidR="008F4620" w:rsidRDefault="00193ACD">
      <w:pPr>
        <w:pStyle w:val="RedaliaRetraitavecpuce"/>
      </w:pPr>
      <w:r>
        <w:t>Pour permettre à l’acheteur d’exercer les droits qui lui sont accordés, le titulaire livre spontanément et au fur et à mesure de l’exécution des prestations, l'ensemble des éléments nécessaires à cet exercice, ainsi que leurs mises à jour ou évolutions au cours du marché.</w:t>
      </w:r>
    </w:p>
    <w:p w14:paraId="5A72BCE4" w14:textId="06E4D8C7" w:rsidR="008F4620" w:rsidRDefault="00193ACD">
      <w:pPr>
        <w:pStyle w:val="RedaliaRetraitavecpuce"/>
      </w:pPr>
      <w:r>
        <w:t xml:space="preserve">Le titulaire ne peut opposer ses droits ou titres de propriété intellectuelle ou ses droits de toute autre nature à l'utilisation des résultats et des connaissances antérieures, lorsque celle-ci est conforme aux besoins d’utilisation applicables au </w:t>
      </w:r>
      <w:r w:rsidR="00A82787">
        <w:t>présent CCP</w:t>
      </w:r>
      <w:r>
        <w:t>.</w:t>
      </w:r>
    </w:p>
    <w:p w14:paraId="7EC5548F" w14:textId="1DA9DFFE" w:rsidR="008F4620" w:rsidRDefault="00193ACD" w:rsidP="00EB2CAB">
      <w:pPr>
        <w:pStyle w:val="CCP-Titre1"/>
      </w:pPr>
      <w:bookmarkStart w:id="122" w:name="_Toc2394467"/>
      <w:bookmarkStart w:id="123" w:name="_Toc68255376"/>
      <w:bookmarkStart w:id="124" w:name="_Toc158819825"/>
      <w:bookmarkStart w:id="125" w:name="_Toc179450242"/>
      <w:r>
        <w:t>Pénalités</w:t>
      </w:r>
      <w:bookmarkEnd w:id="122"/>
      <w:bookmarkEnd w:id="123"/>
      <w:bookmarkEnd w:id="124"/>
      <w:bookmarkEnd w:id="125"/>
    </w:p>
    <w:p w14:paraId="785880DF" w14:textId="042F9196" w:rsidR="00212176" w:rsidRDefault="00212176" w:rsidP="00212176">
      <w:pPr>
        <w:pStyle w:val="RedaliaNormal"/>
      </w:pPr>
      <w:proofErr w:type="gramStart"/>
      <w:r>
        <w:t>es</w:t>
      </w:r>
      <w:proofErr w:type="gramEnd"/>
      <w:r>
        <w:t xml:space="preserve"> pénalités seront appliquées en cas de retard dans l’exécution des prestations conformément aux stipulations de l’article 14 du CCAG Fournitures courantes et Services.</w:t>
      </w:r>
    </w:p>
    <w:p w14:paraId="7654D0B0" w14:textId="77777777" w:rsidR="00212176" w:rsidRDefault="00212176" w:rsidP="00212176">
      <w:p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cs="Arial"/>
          <w:sz w:val="22"/>
          <w:szCs w:val="22"/>
        </w:rPr>
      </w:pPr>
      <w:r>
        <w:rPr>
          <w:rFonts w:ascii="Arial" w:hAnsi="Arial" w:cs="Arial"/>
          <w:sz w:val="22"/>
          <w:szCs w:val="22"/>
        </w:rPr>
        <w:t>L’acheteur invitera, par écrit, le titulaire à présenter ses observations dans un délai de quinze jours. Cette invitation précisera le montant des pénalités susceptibles d’être appliquées, le ou les retards concernés ainsi que le délai imparti au titulaire pour présenter ses observations.</w:t>
      </w:r>
    </w:p>
    <w:p w14:paraId="2ED6DC83" w14:textId="77777777" w:rsidR="00212176" w:rsidRDefault="00212176" w:rsidP="00212176">
      <w:pPr>
        <w:pBdr>
          <w:top w:val="none" w:sz="0" w:space="0" w:color="auto"/>
          <w:left w:val="none" w:sz="0" w:space="0" w:color="auto"/>
          <w:bottom w:val="none" w:sz="0" w:space="0" w:color="auto"/>
          <w:right w:val="none" w:sz="0" w:space="0" w:color="auto"/>
        </w:pBdr>
        <w:autoSpaceDE w:val="0"/>
        <w:autoSpaceDN w:val="0"/>
        <w:adjustRightInd w:val="0"/>
        <w:jc w:val="both"/>
        <w:textAlignment w:val="auto"/>
        <w:rPr>
          <w:rFonts w:ascii="Arial" w:hAnsi="Arial" w:cs="Arial"/>
          <w:sz w:val="22"/>
          <w:szCs w:val="22"/>
        </w:rPr>
      </w:pPr>
      <w:r>
        <w:rPr>
          <w:rFonts w:ascii="Arial" w:hAnsi="Arial" w:cs="Arial"/>
          <w:sz w:val="22"/>
          <w:szCs w:val="22"/>
        </w:rPr>
        <w:t>A défaut de réponse du titulaire dans ce délai ou si l’acheteur considère que les observations</w:t>
      </w:r>
    </w:p>
    <w:p w14:paraId="03D648B6" w14:textId="77777777" w:rsidR="00212176" w:rsidRDefault="00212176" w:rsidP="00212176">
      <w:pPr>
        <w:pBdr>
          <w:top w:val="none" w:sz="0" w:space="0" w:color="auto"/>
          <w:left w:val="none" w:sz="0" w:space="0" w:color="auto"/>
          <w:bottom w:val="none" w:sz="0" w:space="0" w:color="auto"/>
          <w:right w:val="none" w:sz="0" w:space="0" w:color="auto"/>
        </w:pBdr>
        <w:autoSpaceDE w:val="0"/>
        <w:autoSpaceDN w:val="0"/>
        <w:adjustRightInd w:val="0"/>
        <w:jc w:val="both"/>
        <w:textAlignment w:val="auto"/>
      </w:pPr>
      <w:proofErr w:type="gramStart"/>
      <w:r>
        <w:rPr>
          <w:rFonts w:ascii="Arial" w:hAnsi="Arial" w:cs="Arial"/>
          <w:sz w:val="22"/>
          <w:szCs w:val="22"/>
        </w:rPr>
        <w:t>formulées</w:t>
      </w:r>
      <w:proofErr w:type="gramEnd"/>
      <w:r>
        <w:rPr>
          <w:rFonts w:ascii="Arial" w:hAnsi="Arial" w:cs="Arial"/>
          <w:sz w:val="22"/>
          <w:szCs w:val="22"/>
        </w:rPr>
        <w:t xml:space="preserve"> par le titulaire en application du premier alinéa ne permettent pas de démontrer que le retard n’est pas imputable à celui-ci ou à ses sous-traitants, les pénalités pour retard seront appliquées dans les conditions mentionnées ci-après.</w:t>
      </w:r>
    </w:p>
    <w:p w14:paraId="6002E75D" w14:textId="77777777" w:rsidR="00212176" w:rsidRDefault="00212176" w:rsidP="00D234DB">
      <w:pPr>
        <w:pStyle w:val="RedaliaNormal"/>
      </w:pPr>
    </w:p>
    <w:p w14:paraId="5A10E408" w14:textId="0DED347A" w:rsidR="00D234DB" w:rsidRDefault="00D234DB" w:rsidP="00D234DB">
      <w:pPr>
        <w:pStyle w:val="RedaliaNormal"/>
      </w:pPr>
      <w:r w:rsidRPr="00DB160D">
        <w:t>Par dérogation à l’article 14.1.3 du CCAG FCS</w:t>
      </w:r>
      <w:r w:rsidRPr="00D234DB">
        <w:t>, le</w:t>
      </w:r>
      <w:r w:rsidRPr="00A82C44">
        <w:t xml:space="preserve"> titulaire sera exonéré des pénalités dont le montant ne dépasse pas 300 euros HT sur l’ensemble </w:t>
      </w:r>
      <w:sdt>
        <w:sdtPr>
          <w:rPr>
            <w:snapToGrid w:val="0"/>
            <w:szCs w:val="22"/>
          </w:rPr>
          <w:id w:val="-1877921806"/>
          <w:placeholder>
            <w:docPart w:val="5850DC32A36F46348494EA33A8E65723"/>
          </w:placeholder>
          <w:comboBox>
            <w:listItem w:value="Choisissez un élément."/>
            <w:listItem w:displayText="du marché" w:value="du marché"/>
            <w:listItem w:displayText="de l'accord-cadre" w:value="de l'accord-cadre"/>
          </w:comboBox>
        </w:sdtPr>
        <w:sdtEndPr/>
        <w:sdtContent>
          <w:r>
            <w:rPr>
              <w:snapToGrid w:val="0"/>
              <w:szCs w:val="22"/>
            </w:rPr>
            <w:t>de l'accord-cadre</w:t>
          </w:r>
        </w:sdtContent>
      </w:sdt>
      <w:r w:rsidRPr="00A82C44">
        <w:t>.</w:t>
      </w:r>
    </w:p>
    <w:p w14:paraId="18DAF809" w14:textId="77777777" w:rsidR="002D0A49" w:rsidRDefault="002D0A49">
      <w:pPr>
        <w:pStyle w:val="RedaliaNormal"/>
        <w:rPr>
          <w:b/>
          <w:bCs/>
        </w:rPr>
      </w:pPr>
    </w:p>
    <w:p w14:paraId="2AFB6A38" w14:textId="57AD2FBD" w:rsidR="008F4620" w:rsidRDefault="00193ACD" w:rsidP="005F1637">
      <w:pPr>
        <w:pStyle w:val="CCP-Titre2"/>
      </w:pPr>
      <w:bookmarkStart w:id="126" w:name="_Toc158819826"/>
      <w:bookmarkStart w:id="127" w:name="_Toc179450243"/>
      <w:r>
        <w:t xml:space="preserve">Pénalités pour </w:t>
      </w:r>
      <w:r w:rsidR="00010D48">
        <w:t>retard</w:t>
      </w:r>
      <w:bookmarkEnd w:id="126"/>
      <w:bookmarkEnd w:id="127"/>
    </w:p>
    <w:p w14:paraId="7D8C5E4F" w14:textId="70E380F3" w:rsidR="005F1637" w:rsidRDefault="005F1637" w:rsidP="005F1637">
      <w:pPr>
        <w:pStyle w:val="RedaliaNormal"/>
      </w:pPr>
      <w:bookmarkStart w:id="128" w:name="_Toc68255377"/>
      <w:r>
        <w:t>Le document à produire par le titulaire dans un délai fixé par le présent CCP</w:t>
      </w:r>
      <w:r w:rsidRPr="00CE0076">
        <w:t xml:space="preserve"> </w:t>
      </w:r>
      <w:r>
        <w:t>doivent être transmis par le titulaire par tout moyen permettant d’attester de leur date de réception par l’acheteur.</w:t>
      </w:r>
    </w:p>
    <w:p w14:paraId="0D0AEF1E" w14:textId="77777777" w:rsidR="005F1637" w:rsidRPr="005F1637" w:rsidRDefault="005F1637" w:rsidP="005F1637">
      <w:pPr>
        <w:pStyle w:val="RedaliaNormal"/>
        <w:rPr>
          <w:sz w:val="14"/>
          <w:szCs w:val="12"/>
        </w:rPr>
      </w:pPr>
    </w:p>
    <w:p w14:paraId="20EB6D3C" w14:textId="5CB0E435" w:rsidR="005F1637" w:rsidRPr="004A2D43" w:rsidRDefault="005B2BED" w:rsidP="005F1637">
      <w:pPr>
        <w:pStyle w:val="RedaliaNormal"/>
      </w:pPr>
      <w:r w:rsidRPr="00BF3CCE">
        <w:t>Par dérogations aux</w:t>
      </w:r>
      <w:r w:rsidR="005F1637" w:rsidRPr="00BF3CCE">
        <w:t xml:space="preserve"> stipulations de l’article 14.1.1 du CCAG FCS relatives</w:t>
      </w:r>
      <w:r w:rsidR="005F1637" w:rsidRPr="004A2D43">
        <w:t xml:space="preserve"> aux pénalités de retard</w:t>
      </w:r>
      <w:r w:rsidR="00BF3CCE">
        <w:t>, cette</w:t>
      </w:r>
      <w:r w:rsidR="005F1637" w:rsidRPr="004A2D43">
        <w:t xml:space="preserve"> pénalité est calculée par application de la formule suivante : </w:t>
      </w:r>
    </w:p>
    <w:p w14:paraId="02CA68D9" w14:textId="7940AD50" w:rsidR="005F1637" w:rsidRPr="004A2D43" w:rsidRDefault="005F1637" w:rsidP="005F1637">
      <w:pPr>
        <w:pStyle w:val="RedaliaNormal"/>
        <w:jc w:val="center"/>
        <w:rPr>
          <w:color w:val="C00000"/>
        </w:rPr>
      </w:pPr>
      <w:r w:rsidRPr="004A2D43">
        <w:t>P = V * R/</w:t>
      </w:r>
      <w:r w:rsidR="00745602" w:rsidRPr="00E2090B">
        <w:t>100</w:t>
      </w:r>
      <w:r w:rsidR="00745602" w:rsidRPr="004A2D43">
        <w:rPr>
          <w:color w:val="C00000"/>
        </w:rPr>
        <w:t xml:space="preserve"> </w:t>
      </w:r>
    </w:p>
    <w:p w14:paraId="2A24FC57" w14:textId="77777777" w:rsidR="005F1637" w:rsidRDefault="005F1637" w:rsidP="005F1637">
      <w:pPr>
        <w:pStyle w:val="RedaliaNormal"/>
        <w:jc w:val="center"/>
        <w:rPr>
          <w:color w:val="C00000"/>
          <w:highlight w:val="yellow"/>
        </w:rPr>
      </w:pPr>
    </w:p>
    <w:p w14:paraId="49E19659" w14:textId="77777777" w:rsidR="005F1637" w:rsidRDefault="005F1637" w:rsidP="005F1637">
      <w:pPr>
        <w:pStyle w:val="RedaliaNormal"/>
      </w:pPr>
      <w:proofErr w:type="gramStart"/>
      <w:r>
        <w:t>dans</w:t>
      </w:r>
      <w:proofErr w:type="gramEnd"/>
      <w:r>
        <w:t xml:space="preserve"> laquelle : </w:t>
      </w:r>
    </w:p>
    <w:p w14:paraId="6E51BE0E" w14:textId="77777777" w:rsidR="005F1637" w:rsidRDefault="005F1637" w:rsidP="005F1637">
      <w:pPr>
        <w:pStyle w:val="RedaliaNormal"/>
      </w:pPr>
      <w:r>
        <w:t xml:space="preserve">P = le montant de la pénalité ; </w:t>
      </w:r>
    </w:p>
    <w:p w14:paraId="50F5043D" w14:textId="77777777" w:rsidR="005F1637" w:rsidRDefault="005F1637" w:rsidP="005F1637">
      <w:pPr>
        <w:pStyle w:val="RedaliaNormal"/>
      </w:pPr>
      <w: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w:t>
      </w:r>
      <w:r>
        <w:lastRenderedPageBreak/>
        <w:t xml:space="preserve">d’une partie rend l’ensemble inutilisable ; </w:t>
      </w:r>
    </w:p>
    <w:p w14:paraId="60265153" w14:textId="576F210B" w:rsidR="00745602" w:rsidRDefault="005F1637" w:rsidP="005F1637">
      <w:pPr>
        <w:pStyle w:val="RedaliaNormal"/>
      </w:pPr>
      <w:r>
        <w:t>R = le nombre de jours de retard.</w:t>
      </w:r>
    </w:p>
    <w:p w14:paraId="5D538A19" w14:textId="68E5B885" w:rsidR="00745602" w:rsidRDefault="00745602" w:rsidP="005F1637">
      <w:pPr>
        <w:pStyle w:val="RedaliaNormal"/>
      </w:pPr>
    </w:p>
    <w:p w14:paraId="439B8F8D" w14:textId="65E30E78" w:rsidR="00BF3CCE" w:rsidRDefault="00BF3CCE" w:rsidP="00DB160D">
      <w:pPr>
        <w:pStyle w:val="CCP-Titre2"/>
      </w:pPr>
      <w:r>
        <w:t xml:space="preserve">Autres pénalités </w:t>
      </w:r>
    </w:p>
    <w:p w14:paraId="642A60EA" w14:textId="77777777" w:rsidR="00BF3CCE" w:rsidRDefault="00BF3CCE" w:rsidP="005F1637">
      <w:pPr>
        <w:pStyle w:val="RedaliaNormal"/>
      </w:pPr>
    </w:p>
    <w:p w14:paraId="49440595" w14:textId="17D80EE5" w:rsidR="00745602" w:rsidRPr="00DB160D" w:rsidRDefault="00745602" w:rsidP="005F1637">
      <w:pPr>
        <w:pStyle w:val="RedaliaNormal"/>
        <w:rPr>
          <w:b/>
          <w:bCs/>
        </w:rPr>
      </w:pPr>
      <w:r w:rsidRPr="00DB160D">
        <w:rPr>
          <w:b/>
          <w:bCs/>
        </w:rPr>
        <w:t xml:space="preserve">Pénalité </w:t>
      </w:r>
      <w:r w:rsidR="009D5C80" w:rsidRPr="00DB160D">
        <w:rPr>
          <w:b/>
          <w:bCs/>
        </w:rPr>
        <w:t>pour</w:t>
      </w:r>
      <w:r w:rsidRPr="00DB160D">
        <w:rPr>
          <w:b/>
          <w:bCs/>
        </w:rPr>
        <w:t xml:space="preserve"> non tenu</w:t>
      </w:r>
      <w:r w:rsidR="005B1295" w:rsidRPr="00DB160D">
        <w:rPr>
          <w:b/>
          <w:bCs/>
        </w:rPr>
        <w:t>e</w:t>
      </w:r>
      <w:r w:rsidRPr="00DB160D">
        <w:rPr>
          <w:b/>
          <w:bCs/>
        </w:rPr>
        <w:t xml:space="preserve"> de </w:t>
      </w:r>
      <w:r w:rsidR="005B1295" w:rsidRPr="00DB160D">
        <w:rPr>
          <w:b/>
          <w:bCs/>
        </w:rPr>
        <w:t xml:space="preserve">la </w:t>
      </w:r>
      <w:r w:rsidRPr="00DB160D">
        <w:rPr>
          <w:b/>
          <w:bCs/>
        </w:rPr>
        <w:t>permanence</w:t>
      </w:r>
    </w:p>
    <w:p w14:paraId="341C160F" w14:textId="03D47618" w:rsidR="00745602" w:rsidRDefault="009D5C80" w:rsidP="002B4067">
      <w:pPr>
        <w:pStyle w:val="RdaliaRetraitniveau1"/>
      </w:pPr>
      <w:r>
        <w:t>En cas de permanence programmée non honorée et non reportée au moins 3j avant la date de tenu</w:t>
      </w:r>
      <w:r w:rsidR="005B1295">
        <w:t>e</w:t>
      </w:r>
      <w:r>
        <w:t>, une pénalité de 50% du montant de l’UO considérée sera appliquée.</w:t>
      </w:r>
    </w:p>
    <w:p w14:paraId="742E279C" w14:textId="77777777" w:rsidR="009D5C80" w:rsidRDefault="009D5C80" w:rsidP="005F1637">
      <w:pPr>
        <w:pStyle w:val="RedaliaNormal"/>
      </w:pPr>
    </w:p>
    <w:p w14:paraId="39E66DF9" w14:textId="29B28EF0" w:rsidR="00745602" w:rsidRPr="00DB160D" w:rsidRDefault="00745602" w:rsidP="005F1637">
      <w:pPr>
        <w:pStyle w:val="RedaliaNormal"/>
        <w:rPr>
          <w:b/>
          <w:bCs/>
        </w:rPr>
      </w:pPr>
      <w:bookmarkStart w:id="129" w:name="_Hlk183167735"/>
      <w:r w:rsidRPr="00DB160D">
        <w:rPr>
          <w:b/>
          <w:bCs/>
        </w:rPr>
        <w:t xml:space="preserve">Pénalité </w:t>
      </w:r>
      <w:r w:rsidR="009D5C80" w:rsidRPr="00DB160D">
        <w:rPr>
          <w:b/>
          <w:bCs/>
        </w:rPr>
        <w:t>pour</w:t>
      </w:r>
      <w:r w:rsidRPr="00DB160D">
        <w:rPr>
          <w:b/>
          <w:bCs/>
        </w:rPr>
        <w:t xml:space="preserve"> rdv non honoré</w:t>
      </w:r>
    </w:p>
    <w:p w14:paraId="422260E2" w14:textId="3750ECBF" w:rsidR="009D5C80" w:rsidRDefault="009D5C80" w:rsidP="009D5C80">
      <w:pPr>
        <w:pStyle w:val="RdaliaRetraitniveau1"/>
      </w:pPr>
      <w:r>
        <w:t xml:space="preserve">En cas de rdv </w:t>
      </w:r>
      <w:bookmarkEnd w:id="129"/>
      <w:r>
        <w:t>avec un agent, programmé en dehors des permanences et non honoré, une pénalité de 50% de l’UO3 sera appliquée.</w:t>
      </w:r>
    </w:p>
    <w:p w14:paraId="6D03B63F" w14:textId="77777777" w:rsidR="00365CFE" w:rsidRDefault="00365CFE" w:rsidP="00297CD1">
      <w:pPr>
        <w:pStyle w:val="RdaliaRetraitniveau1"/>
        <w:numPr>
          <w:ilvl w:val="0"/>
          <w:numId w:val="0"/>
        </w:numPr>
        <w:ind w:left="720"/>
      </w:pPr>
    </w:p>
    <w:p w14:paraId="192DBC4F" w14:textId="44D819A3" w:rsidR="00297CD1" w:rsidRPr="00DB160D" w:rsidRDefault="00297CD1" w:rsidP="00297CD1">
      <w:pPr>
        <w:pStyle w:val="RedaliaNormal"/>
        <w:rPr>
          <w:b/>
          <w:bCs/>
        </w:rPr>
      </w:pPr>
      <w:r w:rsidRPr="00DB160D">
        <w:rPr>
          <w:b/>
          <w:bCs/>
        </w:rPr>
        <w:t>Pénalité pour r</w:t>
      </w:r>
      <w:r>
        <w:rPr>
          <w:b/>
          <w:bCs/>
        </w:rPr>
        <w:t>apport annuel non transmis</w:t>
      </w:r>
    </w:p>
    <w:p w14:paraId="253B1EE2" w14:textId="653D5014" w:rsidR="00C374D8" w:rsidRDefault="00297CD1" w:rsidP="00297CD1">
      <w:pPr>
        <w:pStyle w:val="RdaliaRetraitniveau1"/>
      </w:pPr>
      <w:r>
        <w:t xml:space="preserve">En cas de </w:t>
      </w:r>
      <w:r w:rsidR="00642DDE">
        <w:t>non-transmission</w:t>
      </w:r>
      <w:r>
        <w:t xml:space="preserve"> du rapport annuel (UO4) un forfait de 10 €</w:t>
      </w:r>
      <w:r w:rsidRPr="00297CD1">
        <w:t xml:space="preserve"> </w:t>
      </w:r>
      <w:r>
        <w:t>sera appliqué par nombre de jours de retard.</w:t>
      </w:r>
    </w:p>
    <w:p w14:paraId="27542D30" w14:textId="77777777" w:rsidR="005F1637" w:rsidRPr="002C670C" w:rsidRDefault="005F1637" w:rsidP="005F1637">
      <w:pPr>
        <w:pStyle w:val="RedaliaNormal"/>
        <w:rPr>
          <w:sz w:val="8"/>
          <w:szCs w:val="8"/>
        </w:rPr>
      </w:pPr>
    </w:p>
    <w:p w14:paraId="1CB5100B" w14:textId="77777777" w:rsidR="008F4620" w:rsidRDefault="00193ACD" w:rsidP="00EB2CAB">
      <w:pPr>
        <w:pStyle w:val="CCP-Titre1"/>
      </w:pPr>
      <w:bookmarkStart w:id="130" w:name="_Toc68255379"/>
      <w:bookmarkStart w:id="131" w:name="_Toc158819828"/>
      <w:bookmarkStart w:id="132" w:name="_Toc179450244"/>
      <w:bookmarkEnd w:id="128"/>
      <w:r>
        <w:t>Garanties</w:t>
      </w:r>
      <w:bookmarkEnd w:id="130"/>
      <w:bookmarkEnd w:id="131"/>
      <w:bookmarkEnd w:id="132"/>
    </w:p>
    <w:p w14:paraId="693525CC" w14:textId="77777777" w:rsidR="008F4620" w:rsidRDefault="00193ACD">
      <w:pPr>
        <w:pStyle w:val="RedaliaNormal"/>
      </w:pPr>
      <w:r>
        <w:t>Il sera fait application de l'article 33 du CCAG FCS.</w:t>
      </w:r>
    </w:p>
    <w:p w14:paraId="36F7FEF7" w14:textId="77777777" w:rsidR="008F4620" w:rsidRDefault="00193ACD" w:rsidP="00EB2CAB">
      <w:pPr>
        <w:pStyle w:val="CCP-Titre1"/>
      </w:pPr>
      <w:bookmarkStart w:id="133" w:name="_Toc2394495"/>
      <w:bookmarkStart w:id="134" w:name="_Toc68255380"/>
      <w:bookmarkStart w:id="135" w:name="_Toc158819829"/>
      <w:bookmarkStart w:id="136" w:name="_Toc179450245"/>
      <w:r>
        <w:t>Assurances</w:t>
      </w:r>
      <w:bookmarkEnd w:id="133"/>
      <w:bookmarkEnd w:id="134"/>
      <w:bookmarkEnd w:id="135"/>
      <w:bookmarkEnd w:id="136"/>
    </w:p>
    <w:p w14:paraId="62FD2D3C" w14:textId="77777777" w:rsidR="008F4620" w:rsidRDefault="00193ACD">
      <w:pPr>
        <w:pStyle w:val="RedaliaNormal"/>
      </w:pPr>
      <w:r>
        <w:t>Le titulaire désigné dans le marché devra justifier dans les quinze jours à compter de la demande de l’acheteur d’une assurance couvrant les conséquences pécuniaires de la responsabilité civile qu’il encourt vis-à-vis des tiers et de l’acheteur à la suite de tous les dommages corporels, matériels ou immatériels survenant pendant ou après l’exécution des prestations.</w:t>
      </w:r>
    </w:p>
    <w:p w14:paraId="25BD3908" w14:textId="77777777" w:rsidR="008F4620" w:rsidRDefault="00193ACD" w:rsidP="00EB2CAB">
      <w:pPr>
        <w:pStyle w:val="CCP-Titre1"/>
      </w:pPr>
      <w:bookmarkStart w:id="137" w:name="_Toc68255381"/>
      <w:bookmarkStart w:id="138" w:name="_Toc158819830"/>
      <w:bookmarkStart w:id="139" w:name="_Toc179450246"/>
      <w:r>
        <w:t>Différends</w:t>
      </w:r>
      <w:bookmarkEnd w:id="137"/>
      <w:bookmarkEnd w:id="138"/>
      <w:bookmarkEnd w:id="139"/>
    </w:p>
    <w:p w14:paraId="6741A066" w14:textId="77777777" w:rsidR="008F4620" w:rsidRDefault="00193ACD">
      <w:pPr>
        <w:pStyle w:val="RedaliaNormal"/>
      </w:pPr>
      <w:r>
        <w:t>En cas de différends entre les parties, il sera fait application de l’article 46 du CCAG FCS.</w:t>
      </w:r>
    </w:p>
    <w:p w14:paraId="5BB3679B" w14:textId="77777777" w:rsidR="008F4620" w:rsidRDefault="00193ACD">
      <w:pPr>
        <w:pStyle w:val="RedaliaNormal"/>
      </w:pPr>
      <w:r>
        <w:t>La loi française est seule applicable.</w:t>
      </w:r>
    </w:p>
    <w:p w14:paraId="0C9A9D7F" w14:textId="77777777" w:rsidR="008F4620" w:rsidRDefault="00193ACD">
      <w:pPr>
        <w:pStyle w:val="RedaliaNormal"/>
      </w:pPr>
      <w:r>
        <w:t>Le tribunal compétent est le Tribunal administratif de Strasbourg.</w:t>
      </w:r>
    </w:p>
    <w:p w14:paraId="2298D21A" w14:textId="77777777" w:rsidR="008F4620" w:rsidRDefault="00193ACD" w:rsidP="00EB2CAB">
      <w:pPr>
        <w:pStyle w:val="CCP-Titre1"/>
      </w:pPr>
      <w:bookmarkStart w:id="140" w:name="_Toc68255382"/>
      <w:bookmarkStart w:id="141" w:name="_Toc158819831"/>
      <w:bookmarkStart w:id="142" w:name="_Toc179450247"/>
      <w:r>
        <w:t>Dispositions en cas d’intervenants étrangers</w:t>
      </w:r>
      <w:bookmarkEnd w:id="140"/>
      <w:bookmarkEnd w:id="141"/>
      <w:bookmarkEnd w:id="142"/>
    </w:p>
    <w:p w14:paraId="5BC0F56D" w14:textId="7DE51F71" w:rsidR="008F4620" w:rsidRDefault="00193ACD">
      <w:pPr>
        <w:pStyle w:val="RedaliaNormal"/>
      </w:pPr>
      <w:r>
        <w:t>En cas de litige, la loi française est seule applicable. Les tribunaux français sont seuls compétents. Les correspondances sont rédigées en français.</w:t>
      </w:r>
    </w:p>
    <w:p w14:paraId="14944977" w14:textId="77777777" w:rsidR="008F4620" w:rsidRDefault="00193ACD">
      <w:pPr>
        <w:pStyle w:val="RedaliaNormal"/>
      </w:pPr>
      <w:r>
        <w:t>Si le titulaire est établi dans un autre pays de l’Union Européenne sans avoir d'établissement en France, il facture ses prestations hors TVA et a droit à ce que l'administration lui communique un numéro d'identification fiscal.</w:t>
      </w:r>
    </w:p>
    <w:p w14:paraId="17D31F2B" w14:textId="77777777" w:rsidR="008F4620" w:rsidRDefault="00193ACD">
      <w:pPr>
        <w:pStyle w:val="RedaliaNormal"/>
      </w:pPr>
      <w:r>
        <w:t>La monnaie de compte du marché est l'euro (€). Le prix, libellé en euro, reste inchangé en cas de variation de change.</w:t>
      </w:r>
    </w:p>
    <w:p w14:paraId="195F6C4C" w14:textId="77777777" w:rsidR="008F4620" w:rsidRPr="00F1697C" w:rsidRDefault="008F4620">
      <w:pPr>
        <w:pStyle w:val="RedaliaNormal"/>
        <w:rPr>
          <w:sz w:val="6"/>
          <w:szCs w:val="4"/>
        </w:rPr>
      </w:pPr>
    </w:p>
    <w:p w14:paraId="7CCA5182" w14:textId="77777777" w:rsidR="008F4620" w:rsidRDefault="00193ACD">
      <w:pPr>
        <w:pStyle w:val="RedaliaNormal"/>
      </w:pPr>
      <w:r>
        <w:t xml:space="preserve">Si le titulaire entend recourir aux services d'un sous-traitant étranger, la demande de sous-traitance doit comprendre, outre les éléments prévus aux articles </w:t>
      </w:r>
      <w:r>
        <w:rPr>
          <w:rStyle w:val="Policepardfaut1"/>
          <w:bCs/>
        </w:rPr>
        <w:t>R.2193-1 et R. 2193-3</w:t>
      </w:r>
      <w:r>
        <w:t xml:space="preserve"> du Code de la commande publique, une déclaration du sous-traitant, comportant son identité et son adresse ainsi rédigée :</w:t>
      </w:r>
    </w:p>
    <w:p w14:paraId="78A5E760" w14:textId="77777777" w:rsidR="008F4620" w:rsidRDefault="008F4620">
      <w:pPr>
        <w:pStyle w:val="RedaliaNormal"/>
      </w:pPr>
    </w:p>
    <w:p w14:paraId="5DCA2275" w14:textId="77777777" w:rsidR="00297CD1" w:rsidRDefault="00297CD1">
      <w:pPr>
        <w:pStyle w:val="RedaliaNormal"/>
      </w:pPr>
    </w:p>
    <w:p w14:paraId="7A12591E" w14:textId="77777777" w:rsidR="00297CD1" w:rsidRDefault="00297CD1">
      <w:pPr>
        <w:pStyle w:val="RedaliaNormal"/>
      </w:pPr>
    </w:p>
    <w:p w14:paraId="3B2D7C06" w14:textId="77777777" w:rsidR="00297CD1" w:rsidRDefault="00297CD1">
      <w:pPr>
        <w:pStyle w:val="RedaliaNormal"/>
      </w:pPr>
    </w:p>
    <w:p w14:paraId="0FAA5786" w14:textId="1A132A20" w:rsidR="008F4620" w:rsidRDefault="00193ACD">
      <w:pPr>
        <w:pStyle w:val="RedaliaNormal"/>
        <w:jc w:val="center"/>
      </w:pPr>
      <w:r>
        <w:rPr>
          <w:i/>
          <w:iCs/>
        </w:rPr>
        <w:t xml:space="preserve">« J'accepte que le droit français soit le seul applicable et les tribunaux français seuls </w:t>
      </w:r>
      <w:r w:rsidRPr="00F1697C">
        <w:rPr>
          <w:i/>
          <w:iCs/>
        </w:rPr>
        <w:t xml:space="preserve">compétents pour l'exécution en sous-traitance </w:t>
      </w:r>
      <w:sdt>
        <w:sdtPr>
          <w:rPr>
            <w:i/>
            <w:iCs/>
            <w:snapToGrid w:val="0"/>
            <w:szCs w:val="22"/>
          </w:rPr>
          <w:id w:val="1328935427"/>
          <w:placeholder>
            <w:docPart w:val="9F32E7CCB00F4A0884713EB872F1DA35"/>
          </w:placeholder>
          <w:comboBox>
            <w:listItem w:value="Choisissez un élément."/>
            <w:listItem w:displayText="du marché" w:value="du marché"/>
            <w:listItem w:displayText="de l'accord-cadre" w:value="de l'accord-cadre"/>
          </w:comboBox>
        </w:sdtPr>
        <w:sdtEndPr/>
        <w:sdtContent>
          <w:r w:rsidR="001D10F7">
            <w:rPr>
              <w:i/>
              <w:iCs/>
              <w:snapToGrid w:val="0"/>
              <w:szCs w:val="22"/>
            </w:rPr>
            <w:t>de l'accord-cadre</w:t>
          </w:r>
        </w:sdtContent>
      </w:sdt>
      <w:r w:rsidR="00F1697C">
        <w:rPr>
          <w:i/>
          <w:iCs/>
          <w:snapToGrid w:val="0"/>
          <w:szCs w:val="22"/>
        </w:rPr>
        <w:t xml:space="preserve"> </w:t>
      </w:r>
      <w:r w:rsidRPr="00F1697C">
        <w:rPr>
          <w:i/>
          <w:iCs/>
        </w:rPr>
        <w:t xml:space="preserve">n°............. </w:t>
      </w:r>
      <w:proofErr w:type="gramStart"/>
      <w:r w:rsidRPr="00F1697C">
        <w:rPr>
          <w:i/>
          <w:iCs/>
        </w:rPr>
        <w:t>du</w:t>
      </w:r>
      <w:proofErr w:type="gramEnd"/>
      <w:r w:rsidRPr="00F1697C">
        <w:rPr>
          <w:i/>
          <w:iCs/>
        </w:rPr>
        <w:t xml:space="preserve"> .......</w:t>
      </w:r>
      <w:r>
        <w:rPr>
          <w:i/>
          <w:iCs/>
        </w:rPr>
        <w:t xml:space="preserve"> </w:t>
      </w:r>
      <w:proofErr w:type="gramStart"/>
      <w:r>
        <w:rPr>
          <w:i/>
          <w:iCs/>
        </w:rPr>
        <w:t>ayant</w:t>
      </w:r>
      <w:proofErr w:type="gramEnd"/>
      <w:r>
        <w:rPr>
          <w:i/>
          <w:iCs/>
        </w:rPr>
        <w:t xml:space="preserve"> pour objet ............................</w:t>
      </w:r>
    </w:p>
    <w:p w14:paraId="14EC56B8" w14:textId="77777777" w:rsidR="008F4620" w:rsidRDefault="008F4620">
      <w:pPr>
        <w:pStyle w:val="RedaliaNormal"/>
        <w:jc w:val="center"/>
        <w:rPr>
          <w:i/>
          <w:iCs/>
        </w:rPr>
      </w:pPr>
    </w:p>
    <w:p w14:paraId="49C79CAC" w14:textId="77777777" w:rsidR="008F4620" w:rsidRDefault="00193ACD">
      <w:pPr>
        <w:pStyle w:val="RedaliaNormal"/>
        <w:jc w:val="center"/>
      </w:pPr>
      <w:r>
        <w:rPr>
          <w:i/>
          <w:iCs/>
        </w:rPr>
        <w:t>Mes demandes de paiement seront libellées dans la monnaie de compte du marché et soumises aux modalités de l'article « Prix » du CCAP ou CCP.</w:t>
      </w:r>
    </w:p>
    <w:p w14:paraId="09D2456F" w14:textId="77777777" w:rsidR="008F4620" w:rsidRDefault="00193ACD">
      <w:pPr>
        <w:pStyle w:val="RedaliaNormal"/>
        <w:jc w:val="center"/>
        <w:rPr>
          <w:i/>
          <w:iCs/>
        </w:rPr>
      </w:pPr>
      <w:r>
        <w:rPr>
          <w:i/>
          <w:iCs/>
        </w:rPr>
        <w:t>Leur prix restera inchangé en cas de variation de change. Les correspondances relatives au marché sont rédigées en français. »</w:t>
      </w:r>
    </w:p>
    <w:p w14:paraId="44538CD3" w14:textId="77777777" w:rsidR="00297CD1" w:rsidRDefault="00297CD1">
      <w:pPr>
        <w:pStyle w:val="RedaliaNormal"/>
        <w:jc w:val="center"/>
      </w:pPr>
    </w:p>
    <w:p w14:paraId="62BE69B8" w14:textId="77777777" w:rsidR="008F4620" w:rsidRDefault="00193ACD" w:rsidP="00EB2CAB">
      <w:pPr>
        <w:pStyle w:val="CCP-Titre1"/>
      </w:pPr>
      <w:bookmarkStart w:id="143" w:name="_Toc158819832"/>
      <w:bookmarkStart w:id="144" w:name="_Toc179450248"/>
      <w:r>
        <w:t>Obligations du titulaire relatives à la main d’œuvre et aux conditions de travail</w:t>
      </w:r>
      <w:bookmarkEnd w:id="143"/>
      <w:bookmarkEnd w:id="144"/>
    </w:p>
    <w:p w14:paraId="3DEAB31A" w14:textId="77777777" w:rsidR="008F4620" w:rsidRDefault="00193ACD">
      <w:pPr>
        <w:pStyle w:val="RedaliaNormal"/>
      </w:pPr>
      <w:r>
        <w:t>Les obligations qui s’imposent au titulaire sont celles prévues par les lois et règlements, relatifs à la protection de la main d’œuvre et aux conditions de travail du pays, où cette main d’œuvre est employée. Il est également tenu au respect des dispositions des huit conventions internationales du travail, lorsque celles-ci ne sont pas intégrées dans les lois et règlements du pays où cette main d’œuvre est employée.</w:t>
      </w:r>
    </w:p>
    <w:p w14:paraId="6FE5BE90" w14:textId="77777777" w:rsidR="008F4620" w:rsidRPr="001438B7" w:rsidRDefault="008F4620">
      <w:pPr>
        <w:pStyle w:val="RedaliaNormal"/>
        <w:rPr>
          <w:sz w:val="10"/>
          <w:szCs w:val="10"/>
        </w:rPr>
      </w:pPr>
    </w:p>
    <w:p w14:paraId="5BCC9D83" w14:textId="77777777" w:rsidR="008F4620" w:rsidRDefault="00193ACD">
      <w:pPr>
        <w:pStyle w:val="RedaliaNormal"/>
      </w:pPr>
      <w:r>
        <w:t>Le pouvoir adjudicateur se réserve le droit de demander, à tout moment pendant l’exécution du marché, les documents justifiant que le titulaire respecte les obligations mentionnées ci-dessus.</w:t>
      </w:r>
    </w:p>
    <w:p w14:paraId="53C38687" w14:textId="77777777" w:rsidR="008F4620" w:rsidRPr="001438B7" w:rsidRDefault="008F4620">
      <w:pPr>
        <w:pStyle w:val="RedaliaNormal"/>
        <w:rPr>
          <w:sz w:val="10"/>
          <w:szCs w:val="10"/>
        </w:rPr>
      </w:pPr>
    </w:p>
    <w:p w14:paraId="0F0CBE04" w14:textId="77777777" w:rsidR="008F4620" w:rsidRDefault="00193ACD">
      <w:pPr>
        <w:pStyle w:val="RedaliaNormal"/>
      </w:pPr>
      <w:r>
        <w:t>Il appartient au titulaire de transmettre au pouvoir adjudicateur, tous les six (6) mois et jusqu'à la fin du marché, les documents suivants :</w:t>
      </w:r>
    </w:p>
    <w:p w14:paraId="76E2522D" w14:textId="77777777" w:rsidR="008F4620" w:rsidRDefault="00193ACD">
      <w:pPr>
        <w:pStyle w:val="RedaliaRetraitavecpuce"/>
      </w:pPr>
      <w:r>
        <w:t xml:space="preserve">Les documents attestant qu'il est en règle du paiement de ses cotisations sociales </w:t>
      </w:r>
      <w:r>
        <w:rPr>
          <w:rStyle w:val="Policepardfaut1"/>
          <w:i/>
          <w:iCs/>
          <w:sz w:val="20"/>
          <w:szCs w:val="18"/>
        </w:rPr>
        <w:t>(attestations datant de moins de six mois)</w:t>
      </w:r>
      <w:r>
        <w:t> ;</w:t>
      </w:r>
    </w:p>
    <w:p w14:paraId="6377876D" w14:textId="77777777" w:rsidR="008F4620" w:rsidRDefault="00193ACD">
      <w:pPr>
        <w:pStyle w:val="RedaliaRetraitavecpuce"/>
      </w:pPr>
      <w:r>
        <w:t>La liste des salariés étrangers, en application des articles D.8254-2 à D.8254-5 du Code du travail qui mentionnera, pour chaque salarié, sa date d'embauche, sa nationalité, le type et le numéro d'ordre du titre valant autorisation du travail.</w:t>
      </w:r>
    </w:p>
    <w:p w14:paraId="7B933CD5" w14:textId="77777777" w:rsidR="008F4620" w:rsidRPr="001438B7" w:rsidRDefault="008F4620">
      <w:pPr>
        <w:pStyle w:val="RedaliaNormal"/>
        <w:rPr>
          <w:sz w:val="10"/>
          <w:szCs w:val="10"/>
        </w:rPr>
      </w:pPr>
    </w:p>
    <w:p w14:paraId="5A91A838" w14:textId="77777777" w:rsidR="008F4620" w:rsidRDefault="00193ACD">
      <w:pPr>
        <w:pStyle w:val="RedaliaNormal"/>
      </w:pPr>
      <w:r>
        <w:t xml:space="preserve">Afin de simplifier et de sécuriser les démarches administratives du titulaire, l’Agence de l’eau Rhin-Meuse met gracieusement à sa disposition une plate-forme en ligne : </w:t>
      </w:r>
      <w:hyperlink r:id="rId11" w:anchor="_blank" w:history="1">
        <w:r>
          <w:rPr>
            <w:rStyle w:val="Lienhypertexte1"/>
          </w:rPr>
          <w:t>www.e-attestations.com</w:t>
        </w:r>
      </w:hyperlink>
      <w:r>
        <w:t xml:space="preserve"> qui lui permettra de déposer l’ensemble des documents administratifs précités. Pour ce faire, le moment venu, le titulaire se verra adresser une clé d’identification pour accéder à cette plate-forme, y déposer les documents nécessaires et suivre leurs mises à jour. L’Agence de l’eau n’acceptera donc pas d’autres modes de transmission des pièces précitées.</w:t>
      </w:r>
    </w:p>
    <w:p w14:paraId="2E96E8F5" w14:textId="77777777" w:rsidR="00287A5A" w:rsidRDefault="00287A5A">
      <w:pPr>
        <w:pStyle w:val="RedaliaNormal"/>
      </w:pPr>
    </w:p>
    <w:p w14:paraId="0BF333D7" w14:textId="77777777" w:rsidR="00287A5A" w:rsidRPr="00642DDE" w:rsidRDefault="00287A5A" w:rsidP="00287A5A">
      <w:pPr>
        <w:keepLines/>
        <w:pBdr>
          <w:top w:val="none" w:sz="0" w:space="0" w:color="auto"/>
          <w:left w:val="none" w:sz="0" w:space="0" w:color="auto"/>
          <w:bottom w:val="none" w:sz="0" w:space="0" w:color="auto"/>
          <w:right w:val="none" w:sz="0" w:space="0" w:color="auto"/>
        </w:pBdr>
        <w:jc w:val="both"/>
        <w:textAlignment w:val="auto"/>
        <w:rPr>
          <w:rFonts w:ascii="Arial" w:hAnsi="Arial" w:cs="Arial"/>
          <w:bCs/>
          <w:iCs/>
          <w:sz w:val="22"/>
          <w:szCs w:val="22"/>
        </w:rPr>
      </w:pPr>
      <w:r w:rsidRPr="00642DDE">
        <w:rPr>
          <w:rFonts w:ascii="Arial" w:hAnsi="Arial" w:cs="Arial"/>
          <w:bCs/>
          <w:iCs/>
          <w:sz w:val="22"/>
          <w:szCs w:val="22"/>
        </w:rPr>
        <w:t>Par ailleurs, dans le cadre de ses engagements en matière de responsabilité sociétale des entreprises (RSE), l’Agence de l’eau Rhin-Meuse souhaite affiner l’évaluation RSE de ses tiers, Cette démarche est automatiquement réalisée, postérieurement à l’attribution du marché, via la plate-forme E-Attestations. Aussi, le titulaire pressenti sera également invité à compléter le questionnaire de maturité de sa démarche RSE accessible en ligne sur la plateforme. </w:t>
      </w:r>
    </w:p>
    <w:p w14:paraId="29990BD4" w14:textId="77777777" w:rsidR="00287A5A" w:rsidRDefault="00287A5A">
      <w:pPr>
        <w:pStyle w:val="RedaliaNormal"/>
      </w:pPr>
    </w:p>
    <w:p w14:paraId="6EFFE687" w14:textId="77777777" w:rsidR="00642DDE" w:rsidRDefault="00642DDE">
      <w:pPr>
        <w:pStyle w:val="RedaliaNormal"/>
      </w:pPr>
    </w:p>
    <w:p w14:paraId="27976944" w14:textId="77777777" w:rsidR="00642DDE" w:rsidRDefault="00642DDE">
      <w:pPr>
        <w:pStyle w:val="RedaliaNormal"/>
      </w:pPr>
    </w:p>
    <w:p w14:paraId="2AB883B8" w14:textId="77777777" w:rsidR="00642DDE" w:rsidRDefault="00642DDE">
      <w:pPr>
        <w:pStyle w:val="RedaliaNormal"/>
      </w:pPr>
    </w:p>
    <w:p w14:paraId="37C9F495" w14:textId="77777777" w:rsidR="00642DDE" w:rsidRDefault="00642DDE">
      <w:pPr>
        <w:pStyle w:val="RedaliaNormal"/>
      </w:pPr>
    </w:p>
    <w:p w14:paraId="7377BE7F" w14:textId="77777777" w:rsidR="00642DDE" w:rsidRDefault="00642DDE">
      <w:pPr>
        <w:pStyle w:val="RedaliaNormal"/>
      </w:pPr>
    </w:p>
    <w:p w14:paraId="1F4AA01C" w14:textId="77777777" w:rsidR="00642DDE" w:rsidRDefault="00642DDE">
      <w:pPr>
        <w:pStyle w:val="RedaliaNormal"/>
      </w:pPr>
    </w:p>
    <w:p w14:paraId="20EF5B77" w14:textId="77777777" w:rsidR="008F4620" w:rsidRDefault="00193ACD" w:rsidP="00EB2CAB">
      <w:pPr>
        <w:pStyle w:val="CCP-Titre1"/>
      </w:pPr>
      <w:bookmarkStart w:id="145" w:name="_Toc68255383"/>
      <w:bookmarkStart w:id="146" w:name="_Toc158819833"/>
      <w:bookmarkStart w:id="147" w:name="_Toc179450249"/>
      <w:bookmarkEnd w:id="145"/>
      <w:r>
        <w:t>Résiliation du marché</w:t>
      </w:r>
      <w:bookmarkEnd w:id="146"/>
      <w:bookmarkEnd w:id="147"/>
    </w:p>
    <w:p w14:paraId="1994A605" w14:textId="0A3C160E" w:rsidR="008F4620" w:rsidRDefault="00193ACD">
      <w:pPr>
        <w:pStyle w:val="RedaliaNormal"/>
      </w:pPr>
      <w:r>
        <w:t>Les dispositions des articles 38 à 45 du CCAG FCS</w:t>
      </w:r>
      <w:r w:rsidR="003C4CD2">
        <w:t>,</w:t>
      </w:r>
      <w:r>
        <w:t xml:space="preserve"> </w:t>
      </w:r>
      <w:r w:rsidR="003C4CD2">
        <w:t xml:space="preserve">auxquelles s’ajoutent les dispositions ci-dessous, </w:t>
      </w:r>
      <w:r>
        <w:t>sont applicables.</w:t>
      </w:r>
    </w:p>
    <w:p w14:paraId="76B1D3B9" w14:textId="77777777" w:rsidR="008F4620" w:rsidRDefault="00193ACD" w:rsidP="001438B7">
      <w:pPr>
        <w:pStyle w:val="CCP-Titre2"/>
      </w:pPr>
      <w:bookmarkStart w:id="148" w:name="_Toc269288887"/>
      <w:bookmarkStart w:id="149" w:name="_Toc158819834"/>
      <w:bookmarkStart w:id="150" w:name="_Toc179450250"/>
      <w:r>
        <w:t>Résiliation pour faute</w:t>
      </w:r>
      <w:bookmarkEnd w:id="148"/>
      <w:bookmarkEnd w:id="149"/>
      <w:bookmarkEnd w:id="150"/>
    </w:p>
    <w:p w14:paraId="1F144C1B" w14:textId="77777777" w:rsidR="008F4620" w:rsidRDefault="00193ACD">
      <w:pPr>
        <w:pStyle w:val="RedaliaNormal"/>
      </w:pPr>
      <w:r>
        <w:t>En cas de résiliation pour faute, il sera fait application de l’article 41 du CCAG FCS.</w:t>
      </w:r>
    </w:p>
    <w:p w14:paraId="68B870DD" w14:textId="77777777" w:rsidR="008F4620" w:rsidRDefault="00193ACD">
      <w:pPr>
        <w:pStyle w:val="RedaliaNormal"/>
      </w:pPr>
      <w:r>
        <w:t>L’acheteur pourra faire procéder par un tiers à l'exécution de tout ou partie des prestations prévues par le marché aux frais et risques du titulaire dans les conditions définies à l'article 45 du CCAG FCS. La décision de résiliation le mentionnera expressément.</w:t>
      </w:r>
    </w:p>
    <w:p w14:paraId="06CEABF3" w14:textId="77777777" w:rsidR="008F4620" w:rsidRDefault="00193ACD">
      <w:pPr>
        <w:pStyle w:val="RedaliaNormal"/>
      </w:pPr>
      <w:r>
        <w:t xml:space="preserve">Le titulaire n'a droit à aucune indemnisation. </w:t>
      </w:r>
    </w:p>
    <w:p w14:paraId="41A73EB4" w14:textId="77777777" w:rsidR="008F4620" w:rsidRDefault="00193ACD" w:rsidP="001438B7">
      <w:pPr>
        <w:pStyle w:val="CCP-Titre2"/>
      </w:pPr>
      <w:bookmarkStart w:id="151" w:name="_Toc269288888"/>
      <w:bookmarkStart w:id="152" w:name="_Toc158819835"/>
      <w:bookmarkStart w:id="153" w:name="_Toc179450251"/>
      <w:r>
        <w:t>Résiliation pour motif d’intérêt général</w:t>
      </w:r>
      <w:bookmarkEnd w:id="151"/>
      <w:bookmarkEnd w:id="152"/>
      <w:bookmarkEnd w:id="153"/>
    </w:p>
    <w:p w14:paraId="481D466C" w14:textId="77777777" w:rsidR="008F4620" w:rsidRDefault="00193ACD">
      <w:pPr>
        <w:pStyle w:val="RedaliaNormal"/>
      </w:pPr>
      <w:r>
        <w:t>En cas de résiliation pour motif d'intérêt général, l’indemnité de résiliation est fixée à 5 % du montant initial hors TVA du marché, diminué du montant hors TVA non révisé des prestations admises.</w:t>
      </w:r>
    </w:p>
    <w:p w14:paraId="4AE8B349" w14:textId="77777777" w:rsidR="00642DDE" w:rsidRDefault="00642DDE">
      <w:pPr>
        <w:pStyle w:val="RedaliaNormal"/>
      </w:pPr>
    </w:p>
    <w:p w14:paraId="1C5DBB40" w14:textId="77777777" w:rsidR="008F4620" w:rsidRDefault="00193ACD" w:rsidP="00EB2CAB">
      <w:pPr>
        <w:pStyle w:val="CCP-Titre1"/>
      </w:pPr>
      <w:bookmarkStart w:id="154" w:name="_Toc2394500"/>
      <w:bookmarkStart w:id="155" w:name="_Toc68255385"/>
      <w:bookmarkStart w:id="156" w:name="_Toc158819836"/>
      <w:bookmarkStart w:id="157" w:name="_Toc179450252"/>
      <w:r>
        <w:t>Dérogations aux documents généraux</w:t>
      </w:r>
      <w:bookmarkEnd w:id="154"/>
      <w:bookmarkEnd w:id="155"/>
      <w:bookmarkEnd w:id="156"/>
      <w:bookmarkEnd w:id="157"/>
    </w:p>
    <w:p w14:paraId="52E54B1C" w14:textId="77777777" w:rsidR="008F4620" w:rsidRDefault="00193ACD">
      <w:pPr>
        <w:pStyle w:val="RedaliaNormal"/>
      </w:pPr>
      <w:r>
        <w:t>Il est dérogé :</w:t>
      </w:r>
    </w:p>
    <w:p w14:paraId="69ABA107" w14:textId="715CE647" w:rsidR="00520C11" w:rsidRDefault="00520C11" w:rsidP="00001B62">
      <w:pPr>
        <w:pStyle w:val="RdaliaRetraitniveau2"/>
        <w:ind w:left="709"/>
        <w:rPr>
          <w:rStyle w:val="Policepardfaut1"/>
          <w:i/>
        </w:rPr>
      </w:pPr>
      <w:r w:rsidRPr="00640352">
        <w:t xml:space="preserve">À l’article 13.3.3 du CCAG </w:t>
      </w:r>
      <w:r>
        <w:t>FCS</w:t>
      </w:r>
      <w:r w:rsidRPr="00640352">
        <w:t xml:space="preserve"> par l’article </w:t>
      </w:r>
      <w:r w:rsidRPr="00640352">
        <w:rPr>
          <w:rStyle w:val="Policepardfaut1"/>
          <w:i/>
        </w:rPr>
        <w:t>Prolongation des délais d’exécution</w:t>
      </w:r>
      <w:r w:rsidR="002D0A49">
        <w:rPr>
          <w:rStyle w:val="Policepardfaut1"/>
          <w:i/>
        </w:rPr>
        <w:t xml:space="preserve"> (Article 3.2)</w:t>
      </w:r>
    </w:p>
    <w:p w14:paraId="7648BF75" w14:textId="419DE5CE" w:rsidR="002D0A49" w:rsidRPr="002D0A49" w:rsidRDefault="002D0A49" w:rsidP="000F5085">
      <w:pPr>
        <w:pStyle w:val="RdaliaRetraitniveau2"/>
        <w:numPr>
          <w:ilvl w:val="0"/>
          <w:numId w:val="0"/>
        </w:numPr>
        <w:ind w:left="1060" w:hanging="360"/>
        <w:rPr>
          <w:i/>
        </w:rPr>
      </w:pPr>
      <w:r w:rsidRPr="002D0A49">
        <w:rPr>
          <w:i/>
        </w:rPr>
        <w:t>À l’article 14.1.</w:t>
      </w:r>
      <w:r>
        <w:rPr>
          <w:i/>
        </w:rPr>
        <w:t>1</w:t>
      </w:r>
      <w:r w:rsidRPr="002D0A49">
        <w:rPr>
          <w:i/>
        </w:rPr>
        <w:t xml:space="preserve"> du CCAG FCS par l’article Pénalités pour retard </w:t>
      </w:r>
      <w:r>
        <w:rPr>
          <w:i/>
        </w:rPr>
        <w:t>(Article 12.1)</w:t>
      </w:r>
    </w:p>
    <w:p w14:paraId="4B03288C" w14:textId="0831FA04" w:rsidR="008F4620" w:rsidRPr="00DB160D" w:rsidRDefault="00193ACD" w:rsidP="00001B62">
      <w:pPr>
        <w:pStyle w:val="RdaliaRetraitniveau2"/>
        <w:ind w:left="709"/>
        <w:rPr>
          <w:rStyle w:val="Policepardfaut1"/>
        </w:rPr>
      </w:pPr>
      <w:r>
        <w:t xml:space="preserve">À l’article 14.1.3 du CCAG FCS par l’article </w:t>
      </w:r>
      <w:r w:rsidRPr="00520C11">
        <w:rPr>
          <w:rStyle w:val="Policepardfaut1"/>
          <w:i/>
        </w:rPr>
        <w:t xml:space="preserve">Pénalités pour retard </w:t>
      </w:r>
      <w:r w:rsidR="00D96D78">
        <w:rPr>
          <w:rStyle w:val="Policepardfaut1"/>
          <w:i/>
        </w:rPr>
        <w:t>(Article 12.1)</w:t>
      </w:r>
    </w:p>
    <w:p w14:paraId="029FD1A5" w14:textId="34FB363D" w:rsidR="00D12E0C" w:rsidRDefault="00D12E0C" w:rsidP="00001B62">
      <w:pPr>
        <w:pStyle w:val="RdaliaRetraitniveau2"/>
        <w:ind w:left="709"/>
        <w:rPr>
          <w:i/>
        </w:rPr>
      </w:pPr>
      <w:r w:rsidRPr="00DB160D">
        <w:rPr>
          <w:iCs/>
        </w:rPr>
        <w:t xml:space="preserve">A l’article 30 du CCAG FCS par l’article </w:t>
      </w:r>
      <w:r w:rsidRPr="00686163">
        <w:rPr>
          <w:i/>
        </w:rPr>
        <w:t>Admission, ajournement, rejet</w:t>
      </w:r>
      <w:r w:rsidR="00686163" w:rsidRPr="00DB160D">
        <w:rPr>
          <w:i/>
        </w:rPr>
        <w:t xml:space="preserve"> (Article 9.2)</w:t>
      </w:r>
    </w:p>
    <w:p w14:paraId="2787A636" w14:textId="77777777" w:rsidR="00642DDE" w:rsidRDefault="00642DDE" w:rsidP="00642DDE">
      <w:pPr>
        <w:pStyle w:val="RdaliaRetraitniveau2"/>
        <w:numPr>
          <w:ilvl w:val="0"/>
          <w:numId w:val="0"/>
        </w:numPr>
        <w:ind w:left="709"/>
        <w:rPr>
          <w:iCs/>
        </w:rPr>
      </w:pPr>
    </w:p>
    <w:p w14:paraId="4B57D0AA" w14:textId="77777777" w:rsidR="00642DDE" w:rsidRDefault="00642DDE" w:rsidP="00642DDE">
      <w:pPr>
        <w:pStyle w:val="RdaliaRetraitniveau2"/>
        <w:numPr>
          <w:ilvl w:val="0"/>
          <w:numId w:val="0"/>
        </w:numPr>
        <w:ind w:left="709"/>
        <w:rPr>
          <w:iCs/>
        </w:rPr>
      </w:pPr>
    </w:p>
    <w:p w14:paraId="12248A29" w14:textId="77777777" w:rsidR="00642DDE" w:rsidRDefault="00642DDE" w:rsidP="00642DDE">
      <w:pPr>
        <w:pStyle w:val="RdaliaRetraitniveau2"/>
        <w:numPr>
          <w:ilvl w:val="0"/>
          <w:numId w:val="0"/>
        </w:numPr>
        <w:ind w:left="709"/>
        <w:rPr>
          <w:iCs/>
        </w:rPr>
      </w:pPr>
    </w:p>
    <w:p w14:paraId="6D413B29" w14:textId="77777777" w:rsidR="00642DDE" w:rsidRDefault="00642DDE" w:rsidP="00642DDE">
      <w:pPr>
        <w:pStyle w:val="RdaliaRetraitniveau2"/>
        <w:numPr>
          <w:ilvl w:val="0"/>
          <w:numId w:val="0"/>
        </w:numPr>
        <w:ind w:left="709"/>
        <w:rPr>
          <w:iCs/>
        </w:rPr>
      </w:pPr>
    </w:p>
    <w:p w14:paraId="2258FB3F" w14:textId="77777777" w:rsidR="00642DDE" w:rsidRDefault="00642DDE" w:rsidP="00642DDE">
      <w:pPr>
        <w:pStyle w:val="RdaliaRetraitniveau2"/>
        <w:numPr>
          <w:ilvl w:val="0"/>
          <w:numId w:val="0"/>
        </w:numPr>
        <w:ind w:left="709"/>
        <w:rPr>
          <w:iCs/>
        </w:rPr>
      </w:pPr>
    </w:p>
    <w:p w14:paraId="2283A334" w14:textId="77777777" w:rsidR="00642DDE" w:rsidRDefault="00642DDE" w:rsidP="00642DDE">
      <w:pPr>
        <w:pStyle w:val="RdaliaRetraitniveau2"/>
        <w:numPr>
          <w:ilvl w:val="0"/>
          <w:numId w:val="0"/>
        </w:numPr>
        <w:ind w:left="709"/>
        <w:rPr>
          <w:iCs/>
        </w:rPr>
      </w:pPr>
    </w:p>
    <w:p w14:paraId="29D9A97F" w14:textId="77777777" w:rsidR="00642DDE" w:rsidRDefault="00642DDE" w:rsidP="00642DDE">
      <w:pPr>
        <w:pStyle w:val="RdaliaRetraitniveau2"/>
        <w:numPr>
          <w:ilvl w:val="0"/>
          <w:numId w:val="0"/>
        </w:numPr>
        <w:ind w:left="709"/>
        <w:rPr>
          <w:iCs/>
        </w:rPr>
      </w:pPr>
    </w:p>
    <w:p w14:paraId="23B08EE4" w14:textId="77777777" w:rsidR="00642DDE" w:rsidRDefault="00642DDE" w:rsidP="00642DDE">
      <w:pPr>
        <w:pStyle w:val="RdaliaRetraitniveau2"/>
        <w:numPr>
          <w:ilvl w:val="0"/>
          <w:numId w:val="0"/>
        </w:numPr>
        <w:ind w:left="709"/>
        <w:rPr>
          <w:iCs/>
        </w:rPr>
      </w:pPr>
    </w:p>
    <w:p w14:paraId="40E47FC3" w14:textId="77777777" w:rsidR="00642DDE" w:rsidRDefault="00642DDE" w:rsidP="00642DDE">
      <w:pPr>
        <w:pStyle w:val="RdaliaRetraitniveau2"/>
        <w:numPr>
          <w:ilvl w:val="0"/>
          <w:numId w:val="0"/>
        </w:numPr>
        <w:ind w:left="709"/>
        <w:rPr>
          <w:iCs/>
        </w:rPr>
      </w:pPr>
    </w:p>
    <w:p w14:paraId="6851261E" w14:textId="77777777" w:rsidR="00642DDE" w:rsidRDefault="00642DDE" w:rsidP="00642DDE">
      <w:pPr>
        <w:pStyle w:val="RdaliaRetraitniveau2"/>
        <w:numPr>
          <w:ilvl w:val="0"/>
          <w:numId w:val="0"/>
        </w:numPr>
        <w:ind w:left="709"/>
        <w:rPr>
          <w:iCs/>
        </w:rPr>
      </w:pPr>
    </w:p>
    <w:p w14:paraId="65F31B98" w14:textId="77777777" w:rsidR="00642DDE" w:rsidRDefault="00642DDE" w:rsidP="00642DDE">
      <w:pPr>
        <w:pStyle w:val="RdaliaRetraitniveau2"/>
        <w:numPr>
          <w:ilvl w:val="0"/>
          <w:numId w:val="0"/>
        </w:numPr>
        <w:ind w:left="709"/>
        <w:rPr>
          <w:iCs/>
        </w:rPr>
      </w:pPr>
    </w:p>
    <w:p w14:paraId="20AC9BEF" w14:textId="77777777" w:rsidR="00642DDE" w:rsidRDefault="00642DDE" w:rsidP="00642DDE">
      <w:pPr>
        <w:pStyle w:val="RdaliaRetraitniveau2"/>
        <w:numPr>
          <w:ilvl w:val="0"/>
          <w:numId w:val="0"/>
        </w:numPr>
        <w:ind w:left="709"/>
        <w:rPr>
          <w:iCs/>
        </w:rPr>
      </w:pPr>
    </w:p>
    <w:p w14:paraId="178F9610" w14:textId="77777777" w:rsidR="00642DDE" w:rsidRDefault="00642DDE" w:rsidP="00642DDE">
      <w:pPr>
        <w:pStyle w:val="RdaliaRetraitniveau2"/>
        <w:numPr>
          <w:ilvl w:val="0"/>
          <w:numId w:val="0"/>
        </w:numPr>
        <w:ind w:left="709"/>
        <w:rPr>
          <w:iCs/>
        </w:rPr>
      </w:pPr>
    </w:p>
    <w:p w14:paraId="4697581E" w14:textId="77777777" w:rsidR="00642DDE" w:rsidRDefault="00642DDE" w:rsidP="00642DDE">
      <w:pPr>
        <w:pStyle w:val="RdaliaRetraitniveau2"/>
        <w:numPr>
          <w:ilvl w:val="0"/>
          <w:numId w:val="0"/>
        </w:numPr>
        <w:ind w:left="709"/>
        <w:rPr>
          <w:iCs/>
        </w:rPr>
      </w:pPr>
    </w:p>
    <w:p w14:paraId="00134A56" w14:textId="77777777" w:rsidR="00642DDE" w:rsidRDefault="00642DDE" w:rsidP="00642DDE">
      <w:pPr>
        <w:pStyle w:val="RdaliaRetraitniveau2"/>
        <w:numPr>
          <w:ilvl w:val="0"/>
          <w:numId w:val="0"/>
        </w:numPr>
        <w:ind w:left="709"/>
        <w:rPr>
          <w:iCs/>
        </w:rPr>
      </w:pPr>
    </w:p>
    <w:p w14:paraId="37BF2609" w14:textId="77777777" w:rsidR="00642DDE" w:rsidRDefault="00642DDE" w:rsidP="00642DDE">
      <w:pPr>
        <w:pStyle w:val="RdaliaRetraitniveau2"/>
        <w:numPr>
          <w:ilvl w:val="0"/>
          <w:numId w:val="0"/>
        </w:numPr>
        <w:ind w:left="709"/>
        <w:rPr>
          <w:iCs/>
        </w:rPr>
      </w:pPr>
    </w:p>
    <w:p w14:paraId="2C9C4B40" w14:textId="77777777" w:rsidR="00642DDE" w:rsidRDefault="00642DDE" w:rsidP="00642DDE">
      <w:pPr>
        <w:pStyle w:val="RdaliaRetraitniveau2"/>
        <w:numPr>
          <w:ilvl w:val="0"/>
          <w:numId w:val="0"/>
        </w:numPr>
        <w:ind w:left="709"/>
        <w:rPr>
          <w:iCs/>
        </w:rPr>
      </w:pPr>
    </w:p>
    <w:p w14:paraId="608A0C02" w14:textId="77777777" w:rsidR="00642DDE" w:rsidRDefault="00642DDE" w:rsidP="00642DDE">
      <w:pPr>
        <w:pStyle w:val="RdaliaRetraitniveau2"/>
        <w:numPr>
          <w:ilvl w:val="0"/>
          <w:numId w:val="0"/>
        </w:numPr>
        <w:ind w:left="709"/>
        <w:rPr>
          <w:iCs/>
        </w:rPr>
      </w:pPr>
    </w:p>
    <w:p w14:paraId="276E486B" w14:textId="77777777" w:rsidR="00642DDE" w:rsidRDefault="00642DDE" w:rsidP="00642DDE">
      <w:pPr>
        <w:pStyle w:val="RdaliaRetraitniveau2"/>
        <w:numPr>
          <w:ilvl w:val="0"/>
          <w:numId w:val="0"/>
        </w:numPr>
        <w:ind w:left="709"/>
        <w:rPr>
          <w:iCs/>
        </w:rPr>
      </w:pPr>
    </w:p>
    <w:p w14:paraId="1965BE35" w14:textId="77777777" w:rsidR="00642DDE" w:rsidRDefault="00642DDE" w:rsidP="00642DDE">
      <w:pPr>
        <w:pStyle w:val="RdaliaRetraitniveau2"/>
        <w:numPr>
          <w:ilvl w:val="0"/>
          <w:numId w:val="0"/>
        </w:numPr>
        <w:ind w:left="709"/>
        <w:rPr>
          <w:iCs/>
        </w:rPr>
      </w:pPr>
    </w:p>
    <w:p w14:paraId="4984559A" w14:textId="77777777" w:rsidR="00642DDE" w:rsidRDefault="00642DDE" w:rsidP="00642DDE">
      <w:pPr>
        <w:pStyle w:val="RdaliaRetraitniveau2"/>
        <w:numPr>
          <w:ilvl w:val="0"/>
          <w:numId w:val="0"/>
        </w:numPr>
        <w:ind w:left="709"/>
        <w:rPr>
          <w:iCs/>
        </w:rPr>
      </w:pPr>
    </w:p>
    <w:p w14:paraId="338904A4" w14:textId="77777777" w:rsidR="00642DDE" w:rsidRPr="00DB160D" w:rsidRDefault="00642DDE" w:rsidP="00642DDE">
      <w:pPr>
        <w:pStyle w:val="RdaliaRetraitniveau2"/>
        <w:numPr>
          <w:ilvl w:val="0"/>
          <w:numId w:val="0"/>
        </w:numPr>
        <w:ind w:left="709"/>
        <w:rPr>
          <w:rStyle w:val="Policepardfaut1"/>
          <w:i/>
        </w:rPr>
      </w:pPr>
    </w:p>
    <w:p w14:paraId="73B785EE" w14:textId="77777777" w:rsidR="00B6468E" w:rsidRPr="00B6468E" w:rsidRDefault="00B6468E" w:rsidP="00EB2CAB">
      <w:pPr>
        <w:pStyle w:val="CCP-Titre1"/>
      </w:pPr>
      <w:bookmarkStart w:id="158" w:name="_Toc158810415"/>
      <w:bookmarkStart w:id="159" w:name="_Toc179450253"/>
      <w:bookmarkStart w:id="160" w:name="_Hlk158036185"/>
      <w:r w:rsidRPr="00B6468E">
        <w:t>Engagement du/des contractant(s)</w:t>
      </w:r>
      <w:bookmarkEnd w:id="158"/>
      <w:bookmarkEnd w:id="159"/>
      <w:r w:rsidRPr="00B6468E">
        <w:t xml:space="preserve"> </w:t>
      </w:r>
    </w:p>
    <w:p w14:paraId="14690DC2" w14:textId="77777777" w:rsidR="00B6468E" w:rsidRPr="00B6468E" w:rsidRDefault="00B6468E" w:rsidP="00B6468E">
      <w:pPr>
        <w:pStyle w:val="CCP-Titre2"/>
      </w:pPr>
      <w:bookmarkStart w:id="161" w:name="_Toc158810416"/>
      <w:bookmarkStart w:id="162" w:name="_Toc179450254"/>
      <w:bookmarkEnd w:id="160"/>
      <w:r w:rsidRPr="00B6468E">
        <w:t>Identification et engagement du titulaire ou du groupement titulaire</w:t>
      </w:r>
      <w:bookmarkEnd w:id="161"/>
      <w:bookmarkEnd w:id="162"/>
      <w:r w:rsidRPr="00B6468E">
        <w:t> </w:t>
      </w:r>
    </w:p>
    <w:p w14:paraId="23F95843" w14:textId="77777777" w:rsidR="00684C8C" w:rsidRDefault="00684C8C" w:rsidP="00684C8C">
      <w:pPr>
        <w:pStyle w:val="RedaliaNormal"/>
        <w:spacing w:before="0"/>
      </w:pPr>
      <w:r w:rsidRPr="00DC34BB">
        <w:t xml:space="preserve">Après avoir pris connaissance </w:t>
      </w:r>
      <w:r>
        <w:t>du présent CCP</w:t>
      </w:r>
      <w:r w:rsidRPr="00DC34BB">
        <w:t xml:space="preserve"> </w:t>
      </w:r>
      <w:r w:rsidRPr="00511F8F">
        <w:t>et de ses annexes</w:t>
      </w:r>
      <w:r>
        <w:t xml:space="preserve"> et conformément à ses clauses, le signataire :</w:t>
      </w:r>
    </w:p>
    <w:p w14:paraId="2FBBDA62" w14:textId="77777777" w:rsidR="00684C8C" w:rsidRPr="00CD5781" w:rsidRDefault="00684C8C" w:rsidP="00684C8C">
      <w:pPr>
        <w:pStyle w:val="RedaliaNormal"/>
        <w:rPr>
          <w:sz w:val="14"/>
          <w:szCs w:val="12"/>
        </w:rPr>
      </w:pPr>
    </w:p>
    <w:p w14:paraId="54B5B0FD" w14:textId="77777777" w:rsidR="00684C8C" w:rsidRPr="00DC34BB" w:rsidRDefault="00684C8C" w:rsidP="00684C8C">
      <w:pPr>
        <w:pStyle w:val="RedaliaNormal"/>
        <w:rPr>
          <w:i/>
          <w:iCs/>
        </w:rPr>
      </w:pPr>
      <w:r w:rsidRPr="00DC34BB">
        <w:rPr>
          <w:i/>
          <w:iCs/>
        </w:rPr>
        <w:t>(Compléter ci-dessous)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70"/>
      </w:tblGrid>
      <w:tr w:rsidR="00684C8C" w:rsidRPr="00DC34BB" w14:paraId="3638E875" w14:textId="77777777" w:rsidTr="000509D3">
        <w:trPr>
          <w:trHeight w:val="776"/>
        </w:trPr>
        <w:tc>
          <w:tcPr>
            <w:tcW w:w="3397" w:type="dxa"/>
            <w:shd w:val="clear" w:color="auto" w:fill="auto"/>
            <w:vAlign w:val="center"/>
          </w:tcPr>
          <w:p w14:paraId="5953B1C3" w14:textId="77777777" w:rsidR="00684C8C" w:rsidRPr="00DC34BB" w:rsidRDefault="00684C8C" w:rsidP="000509D3">
            <w:pPr>
              <w:pStyle w:val="RedaliaNormal"/>
            </w:pPr>
            <w:r w:rsidRPr="00DC34BB">
              <w:t>Nom du signataire</w:t>
            </w:r>
          </w:p>
        </w:tc>
        <w:tc>
          <w:tcPr>
            <w:tcW w:w="5670" w:type="dxa"/>
            <w:shd w:val="clear" w:color="auto" w:fill="auto"/>
            <w:vAlign w:val="center"/>
          </w:tcPr>
          <w:p w14:paraId="7AD771E2" w14:textId="13067FF1" w:rsidR="00684C8C" w:rsidRPr="00684C8C" w:rsidRDefault="00684C8C" w:rsidP="000509D3">
            <w:pPr>
              <w:pStyle w:val="RedaliaNormal"/>
              <w:rPr>
                <w:iCs/>
              </w:rPr>
            </w:pPr>
          </w:p>
        </w:tc>
      </w:tr>
      <w:tr w:rsidR="00684C8C" w:rsidRPr="00DC34BB" w14:paraId="33A5238F" w14:textId="77777777" w:rsidTr="000509D3">
        <w:trPr>
          <w:trHeight w:val="1255"/>
        </w:trPr>
        <w:tc>
          <w:tcPr>
            <w:tcW w:w="3397" w:type="dxa"/>
            <w:shd w:val="clear" w:color="auto" w:fill="auto"/>
            <w:vAlign w:val="center"/>
          </w:tcPr>
          <w:p w14:paraId="403AA5FF" w14:textId="77777777" w:rsidR="00684C8C" w:rsidRPr="00DC34BB" w:rsidRDefault="00684C8C" w:rsidP="000509D3">
            <w:pPr>
              <w:pStyle w:val="RedaliaNormal"/>
              <w:rPr>
                <w:bCs/>
              </w:rPr>
            </w:pPr>
            <w:r w:rsidRPr="00DC34BB">
              <w:t>Nom commercial</w:t>
            </w:r>
            <w:r w:rsidRPr="00DC34BB">
              <w:rPr>
                <w:bCs/>
              </w:rPr>
              <w:t xml:space="preserve"> </w:t>
            </w:r>
          </w:p>
          <w:p w14:paraId="24FF0B25" w14:textId="77777777" w:rsidR="00684C8C" w:rsidRPr="00DC34BB" w:rsidRDefault="00684C8C" w:rsidP="000509D3">
            <w:pPr>
              <w:pStyle w:val="RedaliaNormal"/>
              <w:rPr>
                <w:bCs/>
              </w:rPr>
            </w:pPr>
            <w:proofErr w:type="gramStart"/>
            <w:r w:rsidRPr="00DC34BB">
              <w:rPr>
                <w:bCs/>
              </w:rPr>
              <w:t>et</w:t>
            </w:r>
            <w:proofErr w:type="gramEnd"/>
            <w:r w:rsidRPr="00DC34BB">
              <w:rPr>
                <w:bCs/>
              </w:rPr>
              <w:t xml:space="preserve">/ou dénomination ou raison sociale </w:t>
            </w:r>
          </w:p>
        </w:tc>
        <w:tc>
          <w:tcPr>
            <w:tcW w:w="5670" w:type="dxa"/>
            <w:shd w:val="clear" w:color="auto" w:fill="auto"/>
            <w:vAlign w:val="center"/>
          </w:tcPr>
          <w:p w14:paraId="675B464F" w14:textId="77777777" w:rsidR="00684C8C" w:rsidRPr="00684C8C" w:rsidRDefault="00684C8C" w:rsidP="000509D3">
            <w:pPr>
              <w:pStyle w:val="RedaliaNormal"/>
              <w:rPr>
                <w:b/>
                <w:bCs/>
                <w:iCs/>
                <w:sz w:val="24"/>
                <w:szCs w:val="22"/>
              </w:rPr>
            </w:pPr>
          </w:p>
        </w:tc>
      </w:tr>
      <w:tr w:rsidR="00684C8C" w:rsidRPr="00DC34BB" w14:paraId="58F9A1E1" w14:textId="77777777" w:rsidTr="000509D3">
        <w:trPr>
          <w:trHeight w:val="990"/>
        </w:trPr>
        <w:tc>
          <w:tcPr>
            <w:tcW w:w="3397" w:type="dxa"/>
            <w:shd w:val="clear" w:color="auto" w:fill="auto"/>
            <w:vAlign w:val="center"/>
          </w:tcPr>
          <w:p w14:paraId="6151FD23" w14:textId="77777777" w:rsidR="00684C8C" w:rsidRPr="00DC34BB" w:rsidRDefault="00684C8C" w:rsidP="000509D3">
            <w:pPr>
              <w:pStyle w:val="RedaliaNormal"/>
              <w:rPr>
                <w:i/>
              </w:rPr>
            </w:pPr>
            <w:bookmarkStart w:id="163" w:name="_Hlk155787036"/>
            <w:r w:rsidRPr="00DC34BB">
              <w:rPr>
                <w:bCs/>
              </w:rPr>
              <w:t>Adresse siège</w:t>
            </w:r>
          </w:p>
        </w:tc>
        <w:tc>
          <w:tcPr>
            <w:tcW w:w="5670" w:type="dxa"/>
            <w:shd w:val="clear" w:color="auto" w:fill="auto"/>
            <w:vAlign w:val="center"/>
          </w:tcPr>
          <w:p w14:paraId="21691FE7" w14:textId="77777777" w:rsidR="00684C8C" w:rsidRPr="00DC34BB" w:rsidRDefault="00684C8C" w:rsidP="000509D3">
            <w:pPr>
              <w:pStyle w:val="RedaliaNormal"/>
              <w:rPr>
                <w:iCs/>
              </w:rPr>
            </w:pPr>
          </w:p>
        </w:tc>
      </w:tr>
      <w:bookmarkEnd w:id="163"/>
      <w:tr w:rsidR="00684C8C" w:rsidRPr="00DC34BB" w14:paraId="6BE36E25" w14:textId="77777777" w:rsidTr="000509D3">
        <w:trPr>
          <w:trHeight w:val="1259"/>
        </w:trPr>
        <w:tc>
          <w:tcPr>
            <w:tcW w:w="3397" w:type="dxa"/>
            <w:shd w:val="clear" w:color="auto" w:fill="auto"/>
            <w:vAlign w:val="center"/>
          </w:tcPr>
          <w:p w14:paraId="7BC42115" w14:textId="77777777" w:rsidR="00684C8C" w:rsidRPr="00DC34BB" w:rsidRDefault="00684C8C" w:rsidP="000509D3">
            <w:pPr>
              <w:pStyle w:val="RedaliaNormal"/>
            </w:pPr>
            <w:r w:rsidRPr="00DC34BB">
              <w:t>Adresse de l’établissement qui exécutera la prestation</w:t>
            </w:r>
          </w:p>
        </w:tc>
        <w:tc>
          <w:tcPr>
            <w:tcW w:w="5670" w:type="dxa"/>
            <w:shd w:val="clear" w:color="auto" w:fill="auto"/>
            <w:vAlign w:val="center"/>
          </w:tcPr>
          <w:p w14:paraId="2E36157F" w14:textId="77777777" w:rsidR="00684C8C" w:rsidRPr="00DC34BB" w:rsidRDefault="00684C8C" w:rsidP="000509D3">
            <w:pPr>
              <w:pStyle w:val="RedaliaNormal"/>
              <w:rPr>
                <w:iCs/>
              </w:rPr>
            </w:pPr>
          </w:p>
        </w:tc>
      </w:tr>
      <w:tr w:rsidR="00684C8C" w:rsidRPr="00DC34BB" w14:paraId="4721021D" w14:textId="77777777" w:rsidTr="000509D3">
        <w:trPr>
          <w:trHeight w:val="397"/>
        </w:trPr>
        <w:tc>
          <w:tcPr>
            <w:tcW w:w="3397" w:type="dxa"/>
            <w:shd w:val="clear" w:color="auto" w:fill="auto"/>
            <w:vAlign w:val="center"/>
          </w:tcPr>
          <w:p w14:paraId="0F056673" w14:textId="77777777" w:rsidR="00684C8C" w:rsidRPr="00DC34BB" w:rsidRDefault="00684C8C" w:rsidP="000509D3">
            <w:pPr>
              <w:pStyle w:val="RedaliaNormal"/>
            </w:pPr>
            <w:r w:rsidRPr="00DC34BB">
              <w:t>Numéro d’identification SIRET</w:t>
            </w:r>
          </w:p>
        </w:tc>
        <w:tc>
          <w:tcPr>
            <w:tcW w:w="5670" w:type="dxa"/>
            <w:shd w:val="clear" w:color="auto" w:fill="auto"/>
            <w:vAlign w:val="center"/>
          </w:tcPr>
          <w:p w14:paraId="5D37F78F" w14:textId="77777777" w:rsidR="00684C8C" w:rsidRPr="00DC34BB" w:rsidRDefault="00684C8C" w:rsidP="000509D3">
            <w:pPr>
              <w:pStyle w:val="RedaliaNormal"/>
              <w:rPr>
                <w:i/>
              </w:rPr>
            </w:pPr>
          </w:p>
        </w:tc>
      </w:tr>
      <w:tr w:rsidR="00684C8C" w:rsidRPr="00DC34BB" w14:paraId="2ACF47B9" w14:textId="77777777" w:rsidTr="000509D3">
        <w:trPr>
          <w:trHeight w:val="456"/>
        </w:trPr>
        <w:tc>
          <w:tcPr>
            <w:tcW w:w="3397" w:type="dxa"/>
            <w:shd w:val="clear" w:color="auto" w:fill="auto"/>
            <w:vAlign w:val="center"/>
          </w:tcPr>
          <w:p w14:paraId="585AF238" w14:textId="77777777" w:rsidR="00684C8C" w:rsidRPr="00DC34BB" w:rsidRDefault="00684C8C" w:rsidP="000509D3">
            <w:pPr>
              <w:pStyle w:val="RedaliaNormal"/>
            </w:pPr>
            <w:r w:rsidRPr="00DC34BB">
              <w:t>Numéro de téléphone</w:t>
            </w:r>
          </w:p>
        </w:tc>
        <w:tc>
          <w:tcPr>
            <w:tcW w:w="5670" w:type="dxa"/>
            <w:shd w:val="clear" w:color="auto" w:fill="auto"/>
            <w:vAlign w:val="center"/>
          </w:tcPr>
          <w:p w14:paraId="340B2676" w14:textId="77777777" w:rsidR="00684C8C" w:rsidRPr="00DC34BB" w:rsidRDefault="00684C8C" w:rsidP="000509D3">
            <w:pPr>
              <w:pStyle w:val="RedaliaNormal"/>
              <w:rPr>
                <w:i/>
              </w:rPr>
            </w:pPr>
          </w:p>
        </w:tc>
      </w:tr>
      <w:tr w:rsidR="00684C8C" w:rsidRPr="00DC34BB" w14:paraId="0787ACA9" w14:textId="77777777" w:rsidTr="000509D3">
        <w:trPr>
          <w:trHeight w:val="456"/>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6CFF494A" w14:textId="77777777" w:rsidR="00684C8C" w:rsidRPr="00DC34BB" w:rsidRDefault="00684C8C" w:rsidP="000509D3">
            <w:pPr>
              <w:pStyle w:val="RedaliaNormal"/>
            </w:pPr>
            <w:r w:rsidRPr="00DC34BB">
              <w:t xml:space="preserve">Adresse </w:t>
            </w:r>
            <w:proofErr w:type="gramStart"/>
            <w:r w:rsidRPr="00DC34BB">
              <w:t>mail</w:t>
            </w:r>
            <w:proofErr w:type="gram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8AB87DB" w14:textId="77777777" w:rsidR="00684C8C" w:rsidRPr="00DC34BB" w:rsidRDefault="00684C8C" w:rsidP="000509D3">
            <w:pPr>
              <w:pStyle w:val="RedaliaNormal"/>
              <w:rPr>
                <w:i/>
              </w:rPr>
            </w:pPr>
          </w:p>
        </w:tc>
      </w:tr>
    </w:tbl>
    <w:p w14:paraId="7AF78989" w14:textId="77777777" w:rsidR="00684C8C" w:rsidRPr="00DC34BB" w:rsidRDefault="00684C8C" w:rsidP="00684C8C">
      <w:pPr>
        <w:pStyle w:val="RedaliaNormal"/>
      </w:pPr>
    </w:p>
    <w:p w14:paraId="05644B2D" w14:textId="77777777" w:rsidR="00684C8C" w:rsidRDefault="00684C8C" w:rsidP="00684C8C">
      <w:pPr>
        <w:pStyle w:val="RedaliaNormal"/>
        <w:spacing w:line="360" w:lineRule="auto"/>
      </w:pPr>
      <w:r>
        <w:fldChar w:fldCharType="begin">
          <w:ffData>
            <w:name w:val="CaseACocher4"/>
            <w:enabled/>
            <w:calcOnExit w:val="0"/>
            <w:checkBox>
              <w:sizeAuto/>
              <w:default w:val="0"/>
            </w:checkBox>
          </w:ffData>
        </w:fldChar>
      </w:r>
      <w:bookmarkStart w:id="164" w:name="CaseACocher4"/>
      <w:r>
        <w:instrText xml:space="preserve"> FORMCHECKBOX </w:instrText>
      </w:r>
      <w:r w:rsidR="00D57EC9">
        <w:fldChar w:fldCharType="separate"/>
      </w:r>
      <w:r>
        <w:fldChar w:fldCharType="end"/>
      </w:r>
      <w:bookmarkEnd w:id="164"/>
      <w:r w:rsidRPr="00CD5781">
        <w:t xml:space="preserve"> </w:t>
      </w:r>
      <w:proofErr w:type="gramStart"/>
      <w:r w:rsidRPr="00CD5781">
        <w:t>s’engage</w:t>
      </w:r>
      <w:proofErr w:type="gramEnd"/>
      <w:r w:rsidRPr="00CD5781">
        <w:t>, sur la base de son offre et pour son propre compte ;</w:t>
      </w:r>
    </w:p>
    <w:p w14:paraId="73A4C14E" w14:textId="77777777" w:rsidR="00684C8C" w:rsidRDefault="00684C8C" w:rsidP="00684C8C">
      <w:pPr>
        <w:pStyle w:val="RedaliaNormal"/>
        <w:spacing w:line="360" w:lineRule="auto"/>
      </w:pPr>
      <w:r>
        <w:fldChar w:fldCharType="begin">
          <w:ffData>
            <w:name w:val="CaseACocher4"/>
            <w:enabled/>
            <w:calcOnExit w:val="0"/>
            <w:checkBox>
              <w:sizeAuto/>
              <w:default w:val="0"/>
            </w:checkBox>
          </w:ffData>
        </w:fldChar>
      </w:r>
      <w:r>
        <w:instrText xml:space="preserve"> FORMCHECKBOX </w:instrText>
      </w:r>
      <w:r w:rsidR="00D57EC9">
        <w:fldChar w:fldCharType="separate"/>
      </w:r>
      <w:r>
        <w:fldChar w:fldCharType="end"/>
      </w:r>
      <w:r w:rsidRPr="00CD5781">
        <w:t xml:space="preserve"> </w:t>
      </w:r>
      <w:proofErr w:type="gramStart"/>
      <w:r w:rsidRPr="00CD5781">
        <w:t>engage</w:t>
      </w:r>
      <w:proofErr w:type="gramEnd"/>
      <w:r w:rsidRPr="00CD5781">
        <w:t xml:space="preserve"> la société ……………………… sur la base de son offre ;</w:t>
      </w:r>
    </w:p>
    <w:p w14:paraId="1298C3E0" w14:textId="77777777" w:rsidR="00684C8C" w:rsidRDefault="00684C8C" w:rsidP="00684C8C">
      <w:pPr>
        <w:pStyle w:val="RedaliaNormal"/>
        <w:spacing w:line="360" w:lineRule="auto"/>
        <w:rPr>
          <w:spacing w:val="-4"/>
        </w:rPr>
      </w:pPr>
      <w:r>
        <w:fldChar w:fldCharType="begin">
          <w:ffData>
            <w:name w:val="CaseACocher4"/>
            <w:enabled/>
            <w:calcOnExit w:val="0"/>
            <w:checkBox>
              <w:sizeAuto/>
              <w:default w:val="0"/>
            </w:checkBox>
          </w:ffData>
        </w:fldChar>
      </w:r>
      <w:r>
        <w:instrText xml:space="preserve"> FORMCHECKBOX </w:instrText>
      </w:r>
      <w:r w:rsidR="00D57EC9">
        <w:fldChar w:fldCharType="separate"/>
      </w:r>
      <w:r>
        <w:fldChar w:fldCharType="end"/>
      </w:r>
      <w:r w:rsidRPr="00CD5781">
        <w:t xml:space="preserve"> </w:t>
      </w:r>
      <w:proofErr w:type="gramStart"/>
      <w:r w:rsidRPr="00CD5781">
        <w:rPr>
          <w:spacing w:val="-4"/>
        </w:rPr>
        <w:t>l’ensemble</w:t>
      </w:r>
      <w:proofErr w:type="gramEnd"/>
      <w:r w:rsidRPr="00CD5781">
        <w:rPr>
          <w:spacing w:val="-4"/>
        </w:rPr>
        <w:t xml:space="preserve"> des membres du groupement s’engagent, sur la base de l’offre du groupement ;</w:t>
      </w:r>
    </w:p>
    <w:p w14:paraId="0D78BDFC" w14:textId="77777777" w:rsidR="00B84C84" w:rsidRPr="00CD5781" w:rsidRDefault="00B84C84" w:rsidP="00684C8C">
      <w:pPr>
        <w:pStyle w:val="RedaliaNormal"/>
        <w:spacing w:line="360" w:lineRule="auto"/>
        <w:rPr>
          <w:spacing w:val="-4"/>
        </w:rPr>
      </w:pPr>
    </w:p>
    <w:p w14:paraId="099F29A4" w14:textId="77777777" w:rsidR="00684C8C" w:rsidRPr="007279FE" w:rsidRDefault="00684C8C" w:rsidP="00684C8C">
      <w:pPr>
        <w:pStyle w:val="RedaliaNormal"/>
        <w:rPr>
          <w:sz w:val="10"/>
          <w:szCs w:val="8"/>
        </w:rPr>
      </w:pPr>
    </w:p>
    <w:p w14:paraId="3A0D3412" w14:textId="77777777" w:rsidR="00684C8C" w:rsidRDefault="00684C8C" w:rsidP="00684C8C">
      <w:pPr>
        <w:pStyle w:val="RedaliaNormal"/>
      </w:pPr>
      <w:r>
        <w:t>1° Affirme, sous peine de résiliation de plein droit du marché aux torts exclusifs de la société pour laquelle il intervient (à ses torts exclusifs), que ladite société ne tombe pas sous le coup des interdictions découlant de l'article 39 de la loi n°54-404 du 10.04.1954,</w:t>
      </w:r>
    </w:p>
    <w:p w14:paraId="279378EC" w14:textId="77777777" w:rsidR="00684C8C" w:rsidRPr="007279FE" w:rsidRDefault="00684C8C" w:rsidP="00684C8C">
      <w:pPr>
        <w:pStyle w:val="RedaliaNormal"/>
        <w:rPr>
          <w:sz w:val="12"/>
          <w:szCs w:val="10"/>
        </w:rPr>
      </w:pPr>
    </w:p>
    <w:p w14:paraId="5F92BC2A" w14:textId="77777777" w:rsidR="00684C8C" w:rsidRDefault="00684C8C" w:rsidP="00684C8C">
      <w:pPr>
        <w:pStyle w:val="RedaliaNormal"/>
      </w:pPr>
      <w:r>
        <w:t>2° Certifie sur l’honneur avoir satisfait à l’ensemble de ses (leurs) obligations fiscales et sociales mentionnées à l’article D. 8222-5 du code du travail,</w:t>
      </w:r>
    </w:p>
    <w:p w14:paraId="1B498D92" w14:textId="77777777" w:rsidR="00684C8C" w:rsidRPr="007279FE" w:rsidRDefault="00684C8C" w:rsidP="00684C8C">
      <w:pPr>
        <w:pStyle w:val="RedaliaNormal"/>
        <w:rPr>
          <w:sz w:val="14"/>
          <w:szCs w:val="12"/>
        </w:rPr>
      </w:pPr>
    </w:p>
    <w:p w14:paraId="6FC8EC9C" w14:textId="77777777" w:rsidR="00684C8C" w:rsidRDefault="00684C8C" w:rsidP="00684C8C">
      <w:pPr>
        <w:pStyle w:val="RedaliaNormal"/>
      </w:pPr>
      <w:r>
        <w:t>3° Certifie sur l'honneur, et sous peine d'exclusion des marchés publics, que la fourniture des prestations ci-dessus mentionnées, sera réalisée avec des salariés employés régulièrement au regard des articles L.1221-10 à L.1221-12, L.3243-1 à L.3243-2 et L. 3243-4, R.3243-1 à R.3243-5 du code du travail,</w:t>
      </w:r>
    </w:p>
    <w:p w14:paraId="0A29FCF5" w14:textId="77777777" w:rsidR="00684C8C" w:rsidRPr="007279FE" w:rsidRDefault="00684C8C" w:rsidP="00684C8C">
      <w:pPr>
        <w:pStyle w:val="RedaliaNormal"/>
        <w:rPr>
          <w:sz w:val="14"/>
          <w:szCs w:val="12"/>
        </w:rPr>
      </w:pPr>
    </w:p>
    <w:p w14:paraId="07DA0638" w14:textId="77777777" w:rsidR="00684C8C" w:rsidRDefault="00684C8C" w:rsidP="00684C8C">
      <w:pPr>
        <w:pStyle w:val="RedaliaNormal"/>
      </w:pPr>
      <w:r>
        <w:t xml:space="preserve">4° Certifie n’avoir pas fait l’objet au cours des cinq dernières années d’une condamnation inscrite au bulletin n° 2 du casier judiciaire pour des infractions visées aux articles L.8221-1 à </w:t>
      </w:r>
      <w:r>
        <w:lastRenderedPageBreak/>
        <w:t>L.8221-2, L.8221-3 à L.8221-5, L.8231-1, L.5221-8 à L.8251-1 et L.8241-1 à L.8241-2 du code du travail.</w:t>
      </w:r>
    </w:p>
    <w:p w14:paraId="522D4332" w14:textId="77777777" w:rsidR="00684C8C" w:rsidRPr="007279FE" w:rsidRDefault="00684C8C" w:rsidP="00684C8C">
      <w:pPr>
        <w:pStyle w:val="RedaliaNormal"/>
        <w:rPr>
          <w:sz w:val="14"/>
          <w:szCs w:val="12"/>
        </w:rPr>
      </w:pPr>
    </w:p>
    <w:p w14:paraId="2D77BF7D" w14:textId="77777777" w:rsidR="00684C8C" w:rsidRDefault="00684C8C" w:rsidP="00684C8C">
      <w:pPr>
        <w:pStyle w:val="RedaliaNormal"/>
      </w:pPr>
      <w:r>
        <w:t>5° S'engage, sans réserve, à effectuer les prestations demandées dans les conditions définies, et sur la base de son offre, exprimée en euros ci-après,</w:t>
      </w:r>
    </w:p>
    <w:p w14:paraId="5EE35E4E" w14:textId="77777777" w:rsidR="00684C8C" w:rsidRPr="00705F1F" w:rsidRDefault="00684C8C" w:rsidP="00684C8C">
      <w:pPr>
        <w:pStyle w:val="RedaliaNormal"/>
        <w:rPr>
          <w:sz w:val="8"/>
          <w:szCs w:val="6"/>
        </w:rPr>
      </w:pPr>
    </w:p>
    <w:p w14:paraId="53A5BFAF" w14:textId="3096F62B" w:rsidR="00684C8C" w:rsidRDefault="00684C8C" w:rsidP="00684C8C">
      <w:pPr>
        <w:pStyle w:val="RedaliaNormal"/>
        <w:ind w:left="567"/>
      </w:pPr>
      <w:r>
        <w:fldChar w:fldCharType="begin">
          <w:ffData>
            <w:name w:val=""/>
            <w:enabled/>
            <w:calcOnExit w:val="0"/>
            <w:checkBox>
              <w:size w:val="20"/>
              <w:default w:val="0"/>
            </w:checkBox>
          </w:ffData>
        </w:fldChar>
      </w:r>
      <w:r>
        <w:instrText xml:space="preserve"> FORMCHECKBOX </w:instrText>
      </w:r>
      <w:r w:rsidR="00D57EC9">
        <w:fldChar w:fldCharType="separate"/>
      </w:r>
      <w:r>
        <w:fldChar w:fldCharType="end"/>
      </w:r>
      <w:r>
        <w:t xml:space="preserve">Aux prix indiqués dans l’annexe financière </w:t>
      </w:r>
      <w:r w:rsidRPr="007279FE">
        <w:t>(BPU) jointe au présent document.</w:t>
      </w:r>
    </w:p>
    <w:p w14:paraId="21222F60" w14:textId="29B44461" w:rsidR="00A15FAA" w:rsidRDefault="00A15FAA" w:rsidP="00B6468E">
      <w:pPr>
        <w:pStyle w:val="RedaliaNormal"/>
      </w:pPr>
    </w:p>
    <w:p w14:paraId="48C6FA29" w14:textId="77777777" w:rsidR="00244C57" w:rsidRPr="00244C57" w:rsidRDefault="00244C57" w:rsidP="00244C57">
      <w:pPr>
        <w:pStyle w:val="CCP-Titre2"/>
      </w:pPr>
      <w:bookmarkStart w:id="165" w:name="_Toc158810417"/>
      <w:bookmarkStart w:id="166" w:name="_Toc179450255"/>
      <w:r w:rsidRPr="00244C57">
        <w:t>Nature du groupement et, en cas de groupement conjoint, répartition des prestations :</w:t>
      </w:r>
      <w:bookmarkEnd w:id="165"/>
      <w:bookmarkEnd w:id="166"/>
    </w:p>
    <w:p w14:paraId="02DAF09C" w14:textId="77777777" w:rsidR="00244C57" w:rsidRDefault="00244C57" w:rsidP="00244C57">
      <w:pPr>
        <w:pStyle w:val="fcase1ertab"/>
        <w:tabs>
          <w:tab w:val="left" w:pos="851"/>
        </w:tabs>
        <w:spacing w:after="60"/>
        <w:rPr>
          <w:rFonts w:ascii="Arial" w:hAnsi="Arial" w:cs="Arial"/>
        </w:rPr>
      </w:pPr>
      <w:r>
        <w:rPr>
          <w:rFonts w:ascii="Arial" w:hAnsi="Arial" w:cs="Arial"/>
          <w:i/>
          <w:iCs/>
          <w:sz w:val="18"/>
          <w:szCs w:val="18"/>
        </w:rPr>
        <w:t>(En cas de groupement d’opérateurs économiques)</w:t>
      </w:r>
    </w:p>
    <w:p w14:paraId="244D510A" w14:textId="77777777" w:rsidR="00244C57" w:rsidRPr="00C94B0D" w:rsidRDefault="00244C57" w:rsidP="00244C57">
      <w:pPr>
        <w:pStyle w:val="fcase1ertab"/>
        <w:tabs>
          <w:tab w:val="left" w:pos="851"/>
        </w:tabs>
        <w:ind w:left="0" w:firstLine="0"/>
        <w:rPr>
          <w:rFonts w:ascii="Arial" w:hAnsi="Arial" w:cs="Arial"/>
          <w:sz w:val="22"/>
          <w:szCs w:val="22"/>
        </w:rPr>
      </w:pPr>
      <w:r w:rsidRPr="00C94B0D">
        <w:rPr>
          <w:rFonts w:ascii="Arial" w:hAnsi="Arial" w:cs="Arial"/>
          <w:sz w:val="22"/>
          <w:szCs w:val="22"/>
        </w:rPr>
        <w:t>Pour l’exécution du marché public, le groupement d’opérateurs économiques est :</w:t>
      </w:r>
    </w:p>
    <w:p w14:paraId="452AA13C" w14:textId="77777777" w:rsidR="00244C57" w:rsidRDefault="00244C57" w:rsidP="00244C57">
      <w:pPr>
        <w:pStyle w:val="fcase1ertab"/>
        <w:tabs>
          <w:tab w:val="left" w:pos="851"/>
        </w:tabs>
        <w:rPr>
          <w:rFonts w:ascii="Arial" w:hAnsi="Arial" w:cs="Arial"/>
        </w:rPr>
      </w:pPr>
      <w:r>
        <w:rPr>
          <w:rFonts w:ascii="Arial" w:hAnsi="Arial" w:cs="Arial"/>
          <w:i/>
          <w:iCs/>
          <w:sz w:val="18"/>
          <w:szCs w:val="18"/>
        </w:rPr>
        <w:t>(Cocher la case correspondante.)</w:t>
      </w:r>
    </w:p>
    <w:p w14:paraId="0F7858E9" w14:textId="77777777" w:rsidR="00244C57" w:rsidRDefault="00244C57" w:rsidP="00244C5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57EC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57EC9">
        <w:fldChar w:fldCharType="separate"/>
      </w:r>
      <w:r>
        <w:fldChar w:fldCharType="end"/>
      </w:r>
      <w:r>
        <w:rPr>
          <w:rFonts w:ascii="Arial" w:hAnsi="Arial" w:cs="Arial"/>
          <w:iCs/>
        </w:rPr>
        <w:t xml:space="preserve"> </w:t>
      </w:r>
      <w:r>
        <w:rPr>
          <w:rFonts w:ascii="Arial" w:hAnsi="Arial" w:cs="Arial"/>
        </w:rPr>
        <w:t>solidaire</w:t>
      </w:r>
    </w:p>
    <w:p w14:paraId="16F79B85" w14:textId="77777777" w:rsidR="00244C57" w:rsidRDefault="00244C57" w:rsidP="00244C57">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206" w:type="dxa"/>
        <w:tblInd w:w="-572" w:type="dxa"/>
        <w:tblLayout w:type="fixed"/>
        <w:tblLook w:val="0000" w:firstRow="0" w:lastRow="0" w:firstColumn="0" w:lastColumn="0" w:noHBand="0" w:noVBand="0"/>
      </w:tblPr>
      <w:tblGrid>
        <w:gridCol w:w="4288"/>
        <w:gridCol w:w="2977"/>
        <w:gridCol w:w="2941"/>
      </w:tblGrid>
      <w:tr w:rsidR="00244C57" w14:paraId="37A584F8" w14:textId="77777777" w:rsidTr="000509D3">
        <w:trPr>
          <w:trHeight w:val="567"/>
        </w:trPr>
        <w:tc>
          <w:tcPr>
            <w:tcW w:w="4288" w:type="dxa"/>
            <w:vMerge w:val="restart"/>
            <w:tcBorders>
              <w:top w:val="single" w:sz="4" w:space="0" w:color="000000"/>
              <w:left w:val="single" w:sz="4" w:space="0" w:color="000000"/>
              <w:bottom w:val="single" w:sz="4" w:space="0" w:color="000000"/>
            </w:tcBorders>
            <w:shd w:val="clear" w:color="auto" w:fill="auto"/>
            <w:vAlign w:val="center"/>
          </w:tcPr>
          <w:p w14:paraId="3415EBA0" w14:textId="77777777" w:rsidR="00244C57" w:rsidRDefault="00244C57" w:rsidP="000509D3">
            <w:pPr>
              <w:tabs>
                <w:tab w:val="left" w:pos="851"/>
              </w:tabs>
              <w:jc w:val="center"/>
              <w:rPr>
                <w:rFonts w:ascii="Arial" w:hAnsi="Arial" w:cs="Arial"/>
                <w:b/>
              </w:rPr>
            </w:pPr>
            <w:r>
              <w:rPr>
                <w:rFonts w:ascii="Arial" w:hAnsi="Arial" w:cs="Arial"/>
                <w:b/>
              </w:rPr>
              <w:t xml:space="preserve">Désignation des membres </w:t>
            </w:r>
          </w:p>
          <w:p w14:paraId="47FD1657" w14:textId="77777777" w:rsidR="00244C57" w:rsidRDefault="00244C57" w:rsidP="000509D3">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59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EF0CE" w14:textId="77777777" w:rsidR="00244C57" w:rsidRDefault="00244C57" w:rsidP="000509D3">
            <w:pPr>
              <w:pStyle w:val="Titre5"/>
              <w:tabs>
                <w:tab w:val="left" w:pos="851"/>
              </w:tabs>
              <w:spacing w:before="0" w:after="0"/>
              <w:ind w:left="0" w:hanging="1009"/>
              <w:jc w:val="center"/>
              <w:rPr>
                <w:b/>
                <w:i w:val="0"/>
                <w:sz w:val="20"/>
              </w:rPr>
            </w:pPr>
            <w:r>
              <w:rPr>
                <w:b/>
                <w:i w:val="0"/>
                <w:sz w:val="20"/>
              </w:rPr>
              <w:t xml:space="preserve">Prestations exécutées </w:t>
            </w:r>
          </w:p>
          <w:p w14:paraId="1678E994" w14:textId="77777777" w:rsidR="00244C57" w:rsidRDefault="00244C57" w:rsidP="000509D3">
            <w:pPr>
              <w:pStyle w:val="Titre5"/>
              <w:tabs>
                <w:tab w:val="left" w:pos="851"/>
              </w:tabs>
              <w:spacing w:before="0" w:after="0"/>
              <w:ind w:left="0" w:hanging="1009"/>
              <w:jc w:val="center"/>
              <w:rPr>
                <w:b/>
              </w:rPr>
            </w:pPr>
            <w:proofErr w:type="gramStart"/>
            <w:r>
              <w:rPr>
                <w:b/>
                <w:i w:val="0"/>
                <w:sz w:val="20"/>
              </w:rPr>
              <w:t>par</w:t>
            </w:r>
            <w:proofErr w:type="gramEnd"/>
            <w:r>
              <w:rPr>
                <w:b/>
                <w:i w:val="0"/>
                <w:sz w:val="20"/>
              </w:rPr>
              <w:t xml:space="preserve"> les membres du groupement conjoint</w:t>
            </w:r>
          </w:p>
        </w:tc>
      </w:tr>
      <w:tr w:rsidR="00244C57" w14:paraId="1D8852FF" w14:textId="77777777" w:rsidTr="000509D3">
        <w:trPr>
          <w:trHeight w:val="567"/>
        </w:trPr>
        <w:tc>
          <w:tcPr>
            <w:tcW w:w="4288" w:type="dxa"/>
            <w:vMerge/>
            <w:tcBorders>
              <w:top w:val="single" w:sz="4" w:space="0" w:color="000000"/>
              <w:left w:val="single" w:sz="4" w:space="0" w:color="000000"/>
              <w:bottom w:val="single" w:sz="4" w:space="0" w:color="000000"/>
            </w:tcBorders>
            <w:shd w:val="clear" w:color="auto" w:fill="FFFFFF"/>
            <w:vAlign w:val="center"/>
          </w:tcPr>
          <w:p w14:paraId="63EAEC64" w14:textId="77777777" w:rsidR="00244C57" w:rsidRDefault="00244C57" w:rsidP="000509D3">
            <w:pPr>
              <w:tabs>
                <w:tab w:val="left" w:pos="851"/>
              </w:tabs>
              <w:snapToGrid w:val="0"/>
              <w:jc w:val="center"/>
              <w:rPr>
                <w:rFonts w:ascii="Arial" w:hAnsi="Arial" w:cs="Arial"/>
                <w:b/>
              </w:rPr>
            </w:pPr>
          </w:p>
        </w:tc>
        <w:tc>
          <w:tcPr>
            <w:tcW w:w="2977" w:type="dxa"/>
            <w:tcBorders>
              <w:top w:val="single" w:sz="4" w:space="0" w:color="000000"/>
              <w:left w:val="single" w:sz="4" w:space="0" w:color="000000"/>
              <w:bottom w:val="single" w:sz="4" w:space="0" w:color="000000"/>
            </w:tcBorders>
            <w:shd w:val="clear" w:color="auto" w:fill="FFFFFF"/>
            <w:vAlign w:val="center"/>
          </w:tcPr>
          <w:p w14:paraId="467BB16A" w14:textId="77777777" w:rsidR="00244C57" w:rsidRDefault="00244C57" w:rsidP="000509D3">
            <w:pPr>
              <w:tabs>
                <w:tab w:val="left" w:pos="851"/>
              </w:tabs>
              <w:jc w:val="center"/>
              <w:rPr>
                <w:rFonts w:ascii="Arial" w:hAnsi="Arial" w:cs="Arial"/>
                <w:b/>
              </w:rPr>
            </w:pPr>
            <w:r>
              <w:rPr>
                <w:rFonts w:ascii="Arial" w:hAnsi="Arial" w:cs="Arial"/>
                <w:b/>
              </w:rPr>
              <w:t>Nature de la prestation</w:t>
            </w:r>
          </w:p>
        </w:tc>
        <w:tc>
          <w:tcPr>
            <w:tcW w:w="294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51F75E" w14:textId="77777777" w:rsidR="00244C57" w:rsidRDefault="00244C57" w:rsidP="000509D3">
            <w:pPr>
              <w:tabs>
                <w:tab w:val="left" w:pos="851"/>
              </w:tabs>
              <w:jc w:val="center"/>
              <w:rPr>
                <w:rFonts w:ascii="Arial" w:hAnsi="Arial" w:cs="Arial"/>
                <w:b/>
              </w:rPr>
            </w:pPr>
            <w:r>
              <w:rPr>
                <w:rFonts w:ascii="Arial" w:hAnsi="Arial" w:cs="Arial"/>
                <w:b/>
              </w:rPr>
              <w:t xml:space="preserve">Montant HT </w:t>
            </w:r>
          </w:p>
          <w:p w14:paraId="6D8B8C0A" w14:textId="77777777" w:rsidR="00244C57" w:rsidRDefault="00244C57" w:rsidP="000509D3">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44C57" w14:paraId="04836D13" w14:textId="77777777" w:rsidTr="000509D3">
        <w:trPr>
          <w:trHeight w:val="1021"/>
        </w:trPr>
        <w:tc>
          <w:tcPr>
            <w:tcW w:w="4288" w:type="dxa"/>
            <w:tcBorders>
              <w:top w:val="single" w:sz="4" w:space="0" w:color="000000"/>
              <w:left w:val="single" w:sz="4" w:space="0" w:color="000000"/>
            </w:tcBorders>
            <w:shd w:val="clear" w:color="auto" w:fill="CCFFFF"/>
          </w:tcPr>
          <w:p w14:paraId="11E4C1C1" w14:textId="77777777" w:rsidR="00244C57" w:rsidRDefault="00244C57" w:rsidP="000509D3">
            <w:pPr>
              <w:tabs>
                <w:tab w:val="left" w:pos="851"/>
              </w:tabs>
              <w:snapToGrid w:val="0"/>
              <w:jc w:val="both"/>
              <w:rPr>
                <w:rFonts w:ascii="Arial" w:hAnsi="Arial" w:cs="Arial"/>
              </w:rPr>
            </w:pPr>
          </w:p>
        </w:tc>
        <w:tc>
          <w:tcPr>
            <w:tcW w:w="2977" w:type="dxa"/>
            <w:tcBorders>
              <w:top w:val="single" w:sz="4" w:space="0" w:color="000000"/>
              <w:left w:val="single" w:sz="4" w:space="0" w:color="000000"/>
            </w:tcBorders>
            <w:shd w:val="clear" w:color="auto" w:fill="CCFFFF"/>
          </w:tcPr>
          <w:p w14:paraId="0FE9B6AC" w14:textId="77777777" w:rsidR="00244C57" w:rsidRDefault="00244C57" w:rsidP="000509D3">
            <w:pPr>
              <w:tabs>
                <w:tab w:val="left" w:pos="851"/>
              </w:tabs>
              <w:snapToGrid w:val="0"/>
              <w:jc w:val="both"/>
              <w:rPr>
                <w:rFonts w:ascii="Arial" w:hAnsi="Arial" w:cs="Arial"/>
              </w:rPr>
            </w:pPr>
          </w:p>
        </w:tc>
        <w:tc>
          <w:tcPr>
            <w:tcW w:w="2941" w:type="dxa"/>
            <w:tcBorders>
              <w:top w:val="single" w:sz="4" w:space="0" w:color="000000"/>
              <w:left w:val="single" w:sz="4" w:space="0" w:color="000000"/>
              <w:right w:val="single" w:sz="4" w:space="0" w:color="000000"/>
            </w:tcBorders>
            <w:shd w:val="clear" w:color="auto" w:fill="CCFFFF"/>
            <w:vAlign w:val="center"/>
          </w:tcPr>
          <w:p w14:paraId="1411A8BF" w14:textId="77777777" w:rsidR="00244C57" w:rsidRDefault="00244C57" w:rsidP="000509D3">
            <w:pPr>
              <w:tabs>
                <w:tab w:val="left" w:pos="851"/>
              </w:tabs>
              <w:snapToGrid w:val="0"/>
              <w:jc w:val="center"/>
              <w:rPr>
                <w:rFonts w:ascii="Arial" w:hAnsi="Arial" w:cs="Arial"/>
              </w:rPr>
            </w:pPr>
          </w:p>
        </w:tc>
      </w:tr>
      <w:tr w:rsidR="00244C57" w14:paraId="75ECD6C9" w14:textId="77777777" w:rsidTr="000509D3">
        <w:trPr>
          <w:trHeight w:val="1021"/>
        </w:trPr>
        <w:tc>
          <w:tcPr>
            <w:tcW w:w="4288" w:type="dxa"/>
            <w:tcBorders>
              <w:left w:val="single" w:sz="4" w:space="0" w:color="000000"/>
            </w:tcBorders>
            <w:shd w:val="clear" w:color="auto" w:fill="auto"/>
          </w:tcPr>
          <w:p w14:paraId="40FC2288" w14:textId="77777777" w:rsidR="00244C57" w:rsidRDefault="00244C57" w:rsidP="000509D3">
            <w:pPr>
              <w:tabs>
                <w:tab w:val="left" w:pos="851"/>
              </w:tabs>
              <w:snapToGrid w:val="0"/>
              <w:jc w:val="both"/>
              <w:rPr>
                <w:rFonts w:ascii="Arial" w:hAnsi="Arial" w:cs="Arial"/>
              </w:rPr>
            </w:pPr>
          </w:p>
        </w:tc>
        <w:tc>
          <w:tcPr>
            <w:tcW w:w="2977" w:type="dxa"/>
            <w:tcBorders>
              <w:left w:val="single" w:sz="4" w:space="0" w:color="000000"/>
            </w:tcBorders>
            <w:shd w:val="clear" w:color="auto" w:fill="auto"/>
          </w:tcPr>
          <w:p w14:paraId="23C590D4" w14:textId="77777777" w:rsidR="00244C57" w:rsidRDefault="00244C57" w:rsidP="000509D3">
            <w:pPr>
              <w:tabs>
                <w:tab w:val="left" w:pos="851"/>
              </w:tabs>
              <w:snapToGrid w:val="0"/>
              <w:jc w:val="both"/>
              <w:rPr>
                <w:rFonts w:ascii="Arial" w:hAnsi="Arial" w:cs="Arial"/>
              </w:rPr>
            </w:pPr>
          </w:p>
        </w:tc>
        <w:tc>
          <w:tcPr>
            <w:tcW w:w="2941" w:type="dxa"/>
            <w:tcBorders>
              <w:left w:val="single" w:sz="4" w:space="0" w:color="000000"/>
              <w:right w:val="single" w:sz="4" w:space="0" w:color="000000"/>
            </w:tcBorders>
            <w:shd w:val="clear" w:color="auto" w:fill="auto"/>
            <w:vAlign w:val="center"/>
          </w:tcPr>
          <w:p w14:paraId="6D51CB30" w14:textId="77777777" w:rsidR="00244C57" w:rsidRDefault="00244C57" w:rsidP="000509D3">
            <w:pPr>
              <w:tabs>
                <w:tab w:val="left" w:pos="851"/>
              </w:tabs>
              <w:snapToGrid w:val="0"/>
              <w:jc w:val="center"/>
              <w:rPr>
                <w:rFonts w:ascii="Arial" w:hAnsi="Arial" w:cs="Arial"/>
              </w:rPr>
            </w:pPr>
          </w:p>
        </w:tc>
      </w:tr>
      <w:tr w:rsidR="00244C57" w14:paraId="08338CBC" w14:textId="77777777" w:rsidTr="000509D3">
        <w:trPr>
          <w:trHeight w:val="1021"/>
        </w:trPr>
        <w:tc>
          <w:tcPr>
            <w:tcW w:w="4288" w:type="dxa"/>
            <w:tcBorders>
              <w:left w:val="single" w:sz="4" w:space="0" w:color="000000"/>
              <w:bottom w:val="single" w:sz="4" w:space="0" w:color="000000"/>
            </w:tcBorders>
            <w:shd w:val="clear" w:color="auto" w:fill="CCFFFF"/>
          </w:tcPr>
          <w:p w14:paraId="19F8E205" w14:textId="77777777" w:rsidR="00244C57" w:rsidRDefault="00244C57" w:rsidP="000509D3">
            <w:pPr>
              <w:tabs>
                <w:tab w:val="left" w:pos="851"/>
              </w:tabs>
              <w:snapToGrid w:val="0"/>
              <w:jc w:val="both"/>
              <w:rPr>
                <w:rFonts w:ascii="Arial" w:hAnsi="Arial" w:cs="Arial"/>
              </w:rPr>
            </w:pPr>
          </w:p>
        </w:tc>
        <w:tc>
          <w:tcPr>
            <w:tcW w:w="2977" w:type="dxa"/>
            <w:tcBorders>
              <w:left w:val="single" w:sz="4" w:space="0" w:color="000000"/>
              <w:bottom w:val="single" w:sz="4" w:space="0" w:color="000000"/>
            </w:tcBorders>
            <w:shd w:val="clear" w:color="auto" w:fill="CCFFFF"/>
          </w:tcPr>
          <w:p w14:paraId="7C039D2C" w14:textId="77777777" w:rsidR="00244C57" w:rsidRDefault="00244C57" w:rsidP="000509D3">
            <w:pPr>
              <w:tabs>
                <w:tab w:val="left" w:pos="851"/>
              </w:tabs>
              <w:snapToGrid w:val="0"/>
              <w:jc w:val="both"/>
              <w:rPr>
                <w:rFonts w:ascii="Arial" w:hAnsi="Arial" w:cs="Arial"/>
              </w:rPr>
            </w:pPr>
          </w:p>
        </w:tc>
        <w:tc>
          <w:tcPr>
            <w:tcW w:w="2941" w:type="dxa"/>
            <w:tcBorders>
              <w:left w:val="single" w:sz="4" w:space="0" w:color="000000"/>
              <w:bottom w:val="single" w:sz="4" w:space="0" w:color="000000"/>
              <w:right w:val="single" w:sz="4" w:space="0" w:color="000000"/>
            </w:tcBorders>
            <w:shd w:val="clear" w:color="auto" w:fill="CCFFFF"/>
            <w:vAlign w:val="center"/>
          </w:tcPr>
          <w:p w14:paraId="31B1AC81" w14:textId="77777777" w:rsidR="00244C57" w:rsidRDefault="00244C57" w:rsidP="000509D3">
            <w:pPr>
              <w:tabs>
                <w:tab w:val="left" w:pos="851"/>
              </w:tabs>
              <w:snapToGrid w:val="0"/>
              <w:jc w:val="center"/>
              <w:rPr>
                <w:rFonts w:ascii="Arial" w:hAnsi="Arial" w:cs="Arial"/>
              </w:rPr>
            </w:pPr>
          </w:p>
        </w:tc>
      </w:tr>
    </w:tbl>
    <w:p w14:paraId="3CAAC0CB" w14:textId="77777777" w:rsidR="00244C57" w:rsidRDefault="00244C57" w:rsidP="00244C57">
      <w:pPr>
        <w:pStyle w:val="RedaliaNormal"/>
      </w:pPr>
    </w:p>
    <w:p w14:paraId="4E9C7A85" w14:textId="77777777" w:rsidR="00244C57" w:rsidRPr="00244C57" w:rsidRDefault="00244C57" w:rsidP="00244C57">
      <w:pPr>
        <w:pStyle w:val="CCP-Titre2"/>
      </w:pPr>
      <w:bookmarkStart w:id="167" w:name="_Toc158810418"/>
      <w:bookmarkStart w:id="168" w:name="_Toc179450256"/>
      <w:r w:rsidRPr="00244C57">
        <w:t>Compte(s) à créditer</w:t>
      </w:r>
      <w:bookmarkEnd w:id="167"/>
      <w:bookmarkEnd w:id="168"/>
    </w:p>
    <w:p w14:paraId="7B83A610" w14:textId="77777777" w:rsidR="00244C57" w:rsidRPr="007279FE" w:rsidRDefault="00244C57" w:rsidP="00244C57">
      <w:pPr>
        <w:pStyle w:val="RedaliaNormal"/>
        <w:rPr>
          <w:b/>
          <w:bCs/>
          <w:i/>
          <w:sz w:val="20"/>
          <w:szCs w:val="12"/>
          <w:highlight w:val="cyan"/>
        </w:rPr>
      </w:pPr>
      <w:r w:rsidRPr="00244C57">
        <w:rPr>
          <w:i/>
          <w:iCs/>
        </w:rPr>
        <w:t xml:space="preserve">En cas de groupement d’entreprises conjoint, ses membres indiquent dans le tableau ci-dessous les comptes qui devront être crédités </w:t>
      </w:r>
      <w:r w:rsidRPr="007279FE">
        <w:rPr>
          <w:b/>
          <w:bCs/>
          <w:i/>
          <w:sz w:val="20"/>
          <w:szCs w:val="12"/>
          <w:highlight w:val="cyan"/>
        </w:rPr>
        <w:t>(Joindre un RIB-IBAN pour chaque compte)</w:t>
      </w:r>
    </w:p>
    <w:p w14:paraId="0486B691" w14:textId="77777777" w:rsidR="00244C57" w:rsidRPr="00244C57" w:rsidRDefault="00244C57" w:rsidP="00244C57">
      <w:pPr>
        <w:pStyle w:val="RedaliaNormal"/>
      </w:pPr>
    </w:p>
    <w:tbl>
      <w:tblPr>
        <w:tblW w:w="10632" w:type="dxa"/>
        <w:tblInd w:w="-572" w:type="dxa"/>
        <w:tblLayout w:type="fixed"/>
        <w:tblLook w:val="0000" w:firstRow="0" w:lastRow="0" w:firstColumn="0" w:lastColumn="0" w:noHBand="0" w:noVBand="0"/>
      </w:tblPr>
      <w:tblGrid>
        <w:gridCol w:w="4253"/>
        <w:gridCol w:w="3118"/>
        <w:gridCol w:w="3261"/>
      </w:tblGrid>
      <w:tr w:rsidR="00244C57" w:rsidRPr="00244C57" w14:paraId="4BE3CCB6" w14:textId="77777777" w:rsidTr="000509D3">
        <w:trPr>
          <w:trHeight w:val="567"/>
        </w:trPr>
        <w:tc>
          <w:tcPr>
            <w:tcW w:w="4253" w:type="dxa"/>
            <w:tcBorders>
              <w:top w:val="single" w:sz="4" w:space="0" w:color="000000"/>
              <w:left w:val="single" w:sz="4" w:space="0" w:color="000000"/>
              <w:bottom w:val="single" w:sz="4" w:space="0" w:color="000000"/>
            </w:tcBorders>
            <w:shd w:val="clear" w:color="auto" w:fill="FFFFFF"/>
            <w:vAlign w:val="center"/>
          </w:tcPr>
          <w:p w14:paraId="3F168ACE" w14:textId="77777777" w:rsidR="00244C57" w:rsidRPr="00244C57" w:rsidRDefault="00244C57" w:rsidP="00244C57">
            <w:pPr>
              <w:pStyle w:val="RedaliaNormal"/>
              <w:rPr>
                <w:b/>
              </w:rPr>
            </w:pPr>
            <w:r w:rsidRPr="00244C57">
              <w:rPr>
                <w:b/>
              </w:rPr>
              <w:t>Titulaire du compte</w:t>
            </w:r>
          </w:p>
        </w:tc>
        <w:tc>
          <w:tcPr>
            <w:tcW w:w="3118" w:type="dxa"/>
            <w:tcBorders>
              <w:top w:val="single" w:sz="4" w:space="0" w:color="000000"/>
              <w:left w:val="single" w:sz="4" w:space="0" w:color="000000"/>
              <w:bottom w:val="single" w:sz="4" w:space="0" w:color="000000"/>
            </w:tcBorders>
            <w:shd w:val="clear" w:color="auto" w:fill="FFFFFF"/>
            <w:vAlign w:val="center"/>
          </w:tcPr>
          <w:p w14:paraId="5ED7C82B" w14:textId="77777777" w:rsidR="00244C57" w:rsidRPr="00244C57" w:rsidRDefault="00244C57" w:rsidP="00244C57">
            <w:pPr>
              <w:pStyle w:val="RedaliaNormal"/>
              <w:rPr>
                <w:b/>
              </w:rPr>
            </w:pPr>
            <w:r w:rsidRPr="00244C57">
              <w:rPr>
                <w:b/>
              </w:rPr>
              <w:t>Nom de l’établissement bancaire</w:t>
            </w:r>
          </w:p>
        </w:tc>
        <w:tc>
          <w:tcPr>
            <w:tcW w:w="32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6F077" w14:textId="77777777" w:rsidR="00244C57" w:rsidRPr="00244C57" w:rsidRDefault="00244C57" w:rsidP="00244C57">
            <w:pPr>
              <w:pStyle w:val="RedaliaNormal"/>
            </w:pPr>
            <w:r w:rsidRPr="00244C57">
              <w:rPr>
                <w:b/>
              </w:rPr>
              <w:t>Numéro du compte</w:t>
            </w:r>
          </w:p>
        </w:tc>
      </w:tr>
      <w:tr w:rsidR="00244C57" w:rsidRPr="00244C57" w14:paraId="076F8CFE" w14:textId="77777777" w:rsidTr="000509D3">
        <w:trPr>
          <w:trHeight w:val="632"/>
        </w:trPr>
        <w:tc>
          <w:tcPr>
            <w:tcW w:w="4253" w:type="dxa"/>
            <w:tcBorders>
              <w:top w:val="single" w:sz="4" w:space="0" w:color="000000"/>
              <w:left w:val="single" w:sz="4" w:space="0" w:color="000000"/>
            </w:tcBorders>
            <w:shd w:val="clear" w:color="auto" w:fill="CCFFFF"/>
          </w:tcPr>
          <w:p w14:paraId="7D3146E4" w14:textId="77777777" w:rsidR="00244C57" w:rsidRPr="00244C57" w:rsidRDefault="00244C57" w:rsidP="00244C57">
            <w:pPr>
              <w:pStyle w:val="RedaliaNormal"/>
            </w:pPr>
          </w:p>
        </w:tc>
        <w:tc>
          <w:tcPr>
            <w:tcW w:w="3118" w:type="dxa"/>
            <w:tcBorders>
              <w:top w:val="single" w:sz="4" w:space="0" w:color="000000"/>
              <w:left w:val="single" w:sz="4" w:space="0" w:color="000000"/>
            </w:tcBorders>
            <w:shd w:val="clear" w:color="auto" w:fill="CCFFFF"/>
          </w:tcPr>
          <w:p w14:paraId="6679A4CB" w14:textId="77777777" w:rsidR="00244C57" w:rsidRPr="00244C57" w:rsidRDefault="00244C57" w:rsidP="00244C57">
            <w:pPr>
              <w:pStyle w:val="RedaliaNormal"/>
            </w:pPr>
          </w:p>
        </w:tc>
        <w:tc>
          <w:tcPr>
            <w:tcW w:w="3261" w:type="dxa"/>
            <w:tcBorders>
              <w:top w:val="single" w:sz="4" w:space="0" w:color="000000"/>
              <w:left w:val="single" w:sz="4" w:space="0" w:color="000000"/>
              <w:right w:val="single" w:sz="4" w:space="0" w:color="000000"/>
            </w:tcBorders>
            <w:shd w:val="clear" w:color="auto" w:fill="CCFFFF"/>
          </w:tcPr>
          <w:p w14:paraId="63B3E546" w14:textId="77777777" w:rsidR="00244C57" w:rsidRPr="00244C57" w:rsidRDefault="00244C57" w:rsidP="00244C57">
            <w:pPr>
              <w:pStyle w:val="RedaliaNormal"/>
            </w:pPr>
          </w:p>
        </w:tc>
      </w:tr>
      <w:tr w:rsidR="00244C57" w:rsidRPr="00244C57" w14:paraId="56EB5247" w14:textId="77777777" w:rsidTr="000509D3">
        <w:trPr>
          <w:trHeight w:val="710"/>
        </w:trPr>
        <w:tc>
          <w:tcPr>
            <w:tcW w:w="4253" w:type="dxa"/>
            <w:tcBorders>
              <w:left w:val="single" w:sz="4" w:space="0" w:color="000000"/>
            </w:tcBorders>
            <w:shd w:val="clear" w:color="auto" w:fill="auto"/>
          </w:tcPr>
          <w:p w14:paraId="5D80A897" w14:textId="77777777" w:rsidR="00244C57" w:rsidRPr="00244C57" w:rsidRDefault="00244C57" w:rsidP="00244C57">
            <w:pPr>
              <w:pStyle w:val="RedaliaNormal"/>
            </w:pPr>
          </w:p>
        </w:tc>
        <w:tc>
          <w:tcPr>
            <w:tcW w:w="3118" w:type="dxa"/>
            <w:tcBorders>
              <w:left w:val="single" w:sz="4" w:space="0" w:color="000000"/>
            </w:tcBorders>
            <w:shd w:val="clear" w:color="auto" w:fill="auto"/>
          </w:tcPr>
          <w:p w14:paraId="2BD08B2A" w14:textId="77777777" w:rsidR="00244C57" w:rsidRPr="00244C57" w:rsidRDefault="00244C57" w:rsidP="00244C57">
            <w:pPr>
              <w:pStyle w:val="RedaliaNormal"/>
            </w:pPr>
          </w:p>
        </w:tc>
        <w:tc>
          <w:tcPr>
            <w:tcW w:w="3261" w:type="dxa"/>
            <w:tcBorders>
              <w:left w:val="single" w:sz="4" w:space="0" w:color="000000"/>
              <w:right w:val="single" w:sz="4" w:space="0" w:color="000000"/>
            </w:tcBorders>
            <w:shd w:val="clear" w:color="auto" w:fill="auto"/>
          </w:tcPr>
          <w:p w14:paraId="7A7789B8" w14:textId="77777777" w:rsidR="00244C57" w:rsidRPr="00244C57" w:rsidRDefault="00244C57" w:rsidP="00244C57">
            <w:pPr>
              <w:pStyle w:val="RedaliaNormal"/>
            </w:pPr>
          </w:p>
        </w:tc>
      </w:tr>
      <w:tr w:rsidR="00244C57" w:rsidRPr="00244C57" w14:paraId="769BDD7C" w14:textId="77777777" w:rsidTr="000509D3">
        <w:trPr>
          <w:trHeight w:val="706"/>
        </w:trPr>
        <w:tc>
          <w:tcPr>
            <w:tcW w:w="4253" w:type="dxa"/>
            <w:tcBorders>
              <w:left w:val="single" w:sz="4" w:space="0" w:color="000000"/>
              <w:bottom w:val="single" w:sz="4" w:space="0" w:color="000000"/>
            </w:tcBorders>
            <w:shd w:val="clear" w:color="auto" w:fill="CCFFFF"/>
          </w:tcPr>
          <w:p w14:paraId="1CC04024" w14:textId="77777777" w:rsidR="00244C57" w:rsidRPr="00244C57" w:rsidRDefault="00244C57" w:rsidP="00244C57">
            <w:pPr>
              <w:pStyle w:val="RedaliaNormal"/>
            </w:pPr>
          </w:p>
        </w:tc>
        <w:tc>
          <w:tcPr>
            <w:tcW w:w="3118" w:type="dxa"/>
            <w:tcBorders>
              <w:left w:val="single" w:sz="4" w:space="0" w:color="000000"/>
              <w:bottom w:val="single" w:sz="4" w:space="0" w:color="000000"/>
            </w:tcBorders>
            <w:shd w:val="clear" w:color="auto" w:fill="CCFFFF"/>
          </w:tcPr>
          <w:p w14:paraId="16697075" w14:textId="77777777" w:rsidR="00244C57" w:rsidRPr="00244C57" w:rsidRDefault="00244C57" w:rsidP="00244C57">
            <w:pPr>
              <w:pStyle w:val="RedaliaNormal"/>
            </w:pPr>
          </w:p>
        </w:tc>
        <w:tc>
          <w:tcPr>
            <w:tcW w:w="3261" w:type="dxa"/>
            <w:tcBorders>
              <w:left w:val="single" w:sz="4" w:space="0" w:color="000000"/>
              <w:bottom w:val="single" w:sz="4" w:space="0" w:color="000000"/>
              <w:right w:val="single" w:sz="4" w:space="0" w:color="000000"/>
            </w:tcBorders>
            <w:shd w:val="clear" w:color="auto" w:fill="CCFFFF"/>
          </w:tcPr>
          <w:p w14:paraId="660C0800" w14:textId="77777777" w:rsidR="00244C57" w:rsidRPr="00244C57" w:rsidRDefault="00244C57" w:rsidP="00244C57">
            <w:pPr>
              <w:pStyle w:val="RedaliaNormal"/>
            </w:pPr>
          </w:p>
        </w:tc>
      </w:tr>
    </w:tbl>
    <w:p w14:paraId="548CD70E" w14:textId="77777777" w:rsidR="00244C57" w:rsidRPr="00244C57" w:rsidRDefault="00244C57" w:rsidP="00244C57">
      <w:pPr>
        <w:pStyle w:val="RedaliaNormal"/>
      </w:pPr>
    </w:p>
    <w:p w14:paraId="3A231B6A" w14:textId="77777777" w:rsidR="00244C57" w:rsidRPr="00244C57" w:rsidRDefault="00244C57" w:rsidP="00244C57">
      <w:pPr>
        <w:pStyle w:val="RedaliaNormal"/>
      </w:pPr>
    </w:p>
    <w:p w14:paraId="6FDF777D" w14:textId="77777777" w:rsidR="00244C57" w:rsidRPr="00244C57" w:rsidRDefault="00244C57" w:rsidP="00244C57">
      <w:pPr>
        <w:pStyle w:val="RedaliaNormal"/>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509"/>
        <w:gridCol w:w="4551"/>
      </w:tblGrid>
      <w:tr w:rsidR="00244C57" w:rsidRPr="00244C57" w14:paraId="46C7568D" w14:textId="77777777" w:rsidTr="000509D3">
        <w:trPr>
          <w:trHeight w:val="680"/>
        </w:trPr>
        <w:tc>
          <w:tcPr>
            <w:tcW w:w="5031" w:type="dxa"/>
            <w:vAlign w:val="center"/>
          </w:tcPr>
          <w:p w14:paraId="6AF7E946" w14:textId="77777777" w:rsidR="00244C57" w:rsidRPr="00244C57" w:rsidRDefault="00244C57" w:rsidP="00244C57">
            <w:pPr>
              <w:pStyle w:val="RedaliaNormal"/>
            </w:pPr>
            <w:r w:rsidRPr="00244C57">
              <w:lastRenderedPageBreak/>
              <w:t xml:space="preserve">Fait à                                    </w:t>
            </w:r>
            <w:proofErr w:type="gramStart"/>
            <w:r w:rsidRPr="00244C57">
              <w:t xml:space="preserve">  ,</w:t>
            </w:r>
            <w:proofErr w:type="gramEnd"/>
            <w:r w:rsidRPr="00244C57">
              <w:t xml:space="preserve"> le </w:t>
            </w:r>
          </w:p>
        </w:tc>
        <w:tc>
          <w:tcPr>
            <w:tcW w:w="5030" w:type="dxa"/>
            <w:vAlign w:val="center"/>
          </w:tcPr>
          <w:p w14:paraId="43BD0DCD" w14:textId="77777777" w:rsidR="00244C57" w:rsidRPr="00244C57" w:rsidRDefault="00244C57" w:rsidP="00244C57">
            <w:pPr>
              <w:pStyle w:val="RedaliaNormal"/>
            </w:pPr>
            <w:r w:rsidRPr="00244C57">
              <w:t xml:space="preserve">Fait à Rozérieulles, le                                   </w:t>
            </w:r>
          </w:p>
        </w:tc>
      </w:tr>
      <w:tr w:rsidR="00244C57" w:rsidRPr="00244C57" w14:paraId="2C8F3294" w14:textId="77777777" w:rsidTr="000509D3">
        <w:trPr>
          <w:trHeight w:val="340"/>
        </w:trPr>
        <w:tc>
          <w:tcPr>
            <w:tcW w:w="5031" w:type="dxa"/>
          </w:tcPr>
          <w:p w14:paraId="68503A55" w14:textId="77777777" w:rsidR="00244C57" w:rsidRPr="00244C57" w:rsidRDefault="00244C57" w:rsidP="00244C57">
            <w:pPr>
              <w:pStyle w:val="RedaliaNormal"/>
            </w:pPr>
            <w:r w:rsidRPr="00244C57">
              <w:t>Le titulaire :</w:t>
            </w:r>
          </w:p>
        </w:tc>
        <w:tc>
          <w:tcPr>
            <w:tcW w:w="5030" w:type="dxa"/>
          </w:tcPr>
          <w:p w14:paraId="68DACA49" w14:textId="77777777" w:rsidR="00244C57" w:rsidRPr="00244C57" w:rsidRDefault="00244C57" w:rsidP="00244C57">
            <w:pPr>
              <w:pStyle w:val="RedaliaNormal"/>
            </w:pPr>
          </w:p>
        </w:tc>
      </w:tr>
      <w:tr w:rsidR="00244C57" w:rsidRPr="00244C57" w14:paraId="3E2B476A" w14:textId="77777777" w:rsidTr="000509D3">
        <w:trPr>
          <w:trHeight w:val="2835"/>
        </w:trPr>
        <w:tc>
          <w:tcPr>
            <w:tcW w:w="5031" w:type="dxa"/>
          </w:tcPr>
          <w:p w14:paraId="0C942C5D" w14:textId="77777777" w:rsidR="00244C57" w:rsidRPr="00244C57" w:rsidRDefault="00244C57" w:rsidP="00244C57">
            <w:pPr>
              <w:pStyle w:val="RedaliaNormal"/>
            </w:pPr>
            <w:r w:rsidRPr="00244C57">
              <w:t>Signature et cachet de la société</w:t>
            </w:r>
          </w:p>
        </w:tc>
        <w:tc>
          <w:tcPr>
            <w:tcW w:w="5030" w:type="dxa"/>
          </w:tcPr>
          <w:p w14:paraId="2B76A209" w14:textId="77777777" w:rsidR="00244C57" w:rsidRPr="00244C57" w:rsidRDefault="00244C57" w:rsidP="00244C57">
            <w:pPr>
              <w:pStyle w:val="RedaliaNormal"/>
            </w:pPr>
            <w:r w:rsidRPr="00244C57">
              <w:t>Le Directeur Général</w:t>
            </w:r>
          </w:p>
          <w:p w14:paraId="0132FA3B" w14:textId="77777777" w:rsidR="00244C57" w:rsidRPr="00244C57" w:rsidRDefault="00244C57" w:rsidP="00244C57">
            <w:pPr>
              <w:pStyle w:val="RedaliaNormal"/>
            </w:pPr>
            <w:proofErr w:type="gramStart"/>
            <w:r w:rsidRPr="00244C57">
              <w:t>de</w:t>
            </w:r>
            <w:proofErr w:type="gramEnd"/>
            <w:r w:rsidRPr="00244C57">
              <w:t xml:space="preserve"> l'Agence de l'eau Rhin-Meuse</w:t>
            </w:r>
          </w:p>
          <w:p w14:paraId="1BB65D70" w14:textId="77777777" w:rsidR="00244C57" w:rsidRPr="00244C57" w:rsidRDefault="00244C57" w:rsidP="00244C57">
            <w:pPr>
              <w:pStyle w:val="RedaliaNormal"/>
            </w:pPr>
          </w:p>
        </w:tc>
      </w:tr>
    </w:tbl>
    <w:p w14:paraId="0AB18178" w14:textId="77777777" w:rsidR="00244C57" w:rsidRDefault="00244C57" w:rsidP="00B6468E">
      <w:pPr>
        <w:pStyle w:val="RedaliaNormal"/>
      </w:pPr>
    </w:p>
    <w:sectPr w:rsidR="00244C57" w:rsidSect="000915FB">
      <w:footerReference w:type="default" r:id="rId12"/>
      <w:pgSz w:w="11906" w:h="16838"/>
      <w:pgMar w:top="993" w:right="1418" w:bottom="1701" w:left="1418" w:header="1134" w:footer="113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8FB44" w14:textId="77777777" w:rsidR="00476B51" w:rsidRDefault="00476B51">
      <w:r>
        <w:separator/>
      </w:r>
    </w:p>
  </w:endnote>
  <w:endnote w:type="continuationSeparator" w:id="0">
    <w:p w14:paraId="43D86778" w14:textId="77777777" w:rsidR="00476B51" w:rsidRDefault="0047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93" w:type="dxa"/>
      <w:tblInd w:w="70" w:type="dxa"/>
      <w:tblLayout w:type="fixed"/>
      <w:tblCellMar>
        <w:left w:w="70" w:type="dxa"/>
        <w:right w:w="70" w:type="dxa"/>
      </w:tblCellMar>
      <w:tblLook w:val="0000" w:firstRow="0" w:lastRow="0" w:firstColumn="0" w:lastColumn="0" w:noHBand="0" w:noVBand="0"/>
    </w:tblPr>
    <w:tblGrid>
      <w:gridCol w:w="5317"/>
      <w:gridCol w:w="1605"/>
      <w:gridCol w:w="3071"/>
    </w:tblGrid>
    <w:tr w:rsidR="008F4620" w14:paraId="7D26A523" w14:textId="77777777" w:rsidTr="00844FA1">
      <w:tc>
        <w:tcPr>
          <w:tcW w:w="5317" w:type="dxa"/>
          <w:tcBorders>
            <w:top w:val="single" w:sz="4" w:space="0" w:color="000000"/>
          </w:tcBorders>
          <w:shd w:val="clear" w:color="auto" w:fill="auto"/>
        </w:tcPr>
        <w:p w14:paraId="306AE152" w14:textId="2A6E9B3A" w:rsidR="008F4620" w:rsidRDefault="00193ACD" w:rsidP="00844FA1">
          <w:pPr>
            <w:pStyle w:val="RdaliaLgende"/>
            <w:ind w:right="-290"/>
          </w:pPr>
          <w:r>
            <w:t>Cahier des Clauses</w:t>
          </w:r>
          <w:r w:rsidR="00AD72C2">
            <w:t xml:space="preserve"> </w:t>
          </w:r>
          <w:r>
            <w:t>Particulières</w:t>
          </w:r>
          <w:r w:rsidR="00760704">
            <w:t xml:space="preserve"> – Acte d'engagement</w:t>
          </w:r>
          <w:r w:rsidR="00AD72C2">
            <w:t xml:space="preserve"> N° 24MA41035</w:t>
          </w:r>
        </w:p>
      </w:tc>
      <w:tc>
        <w:tcPr>
          <w:tcW w:w="1605" w:type="dxa"/>
          <w:tcBorders>
            <w:top w:val="single" w:sz="4" w:space="0" w:color="000000"/>
          </w:tcBorders>
          <w:shd w:val="clear" w:color="auto" w:fill="auto"/>
        </w:tcPr>
        <w:p w14:paraId="0F52E5F4" w14:textId="77777777" w:rsidR="008F4620" w:rsidRDefault="008F4620">
          <w:pPr>
            <w:pStyle w:val="RdaliaLgende"/>
          </w:pPr>
        </w:p>
      </w:tc>
      <w:tc>
        <w:tcPr>
          <w:tcW w:w="3071" w:type="dxa"/>
          <w:tcBorders>
            <w:top w:val="single" w:sz="4" w:space="0" w:color="000000"/>
          </w:tcBorders>
          <w:shd w:val="clear" w:color="auto" w:fill="auto"/>
        </w:tcPr>
        <w:p w14:paraId="7A4C68FA" w14:textId="77777777" w:rsidR="008F4620" w:rsidRDefault="00193ACD">
          <w:pPr>
            <w:pStyle w:val="RdaliaLgende"/>
            <w:jc w:val="right"/>
          </w:pPr>
          <w:r>
            <w:t xml:space="preserve">Page </w:t>
          </w:r>
          <w:r>
            <w:fldChar w:fldCharType="begin"/>
          </w:r>
          <w:r>
            <w:instrText xml:space="preserve"> PAGE </w:instrText>
          </w:r>
          <w:r>
            <w:fldChar w:fldCharType="separate"/>
          </w:r>
          <w:r>
            <w:t>15</w:t>
          </w:r>
          <w:r>
            <w:fldChar w:fldCharType="end"/>
          </w:r>
          <w:r>
            <w:t xml:space="preserve"> sur </w:t>
          </w:r>
          <w:r w:rsidR="000C6BE3">
            <w:fldChar w:fldCharType="begin"/>
          </w:r>
          <w:r w:rsidR="000C6BE3">
            <w:instrText xml:space="preserve"> NUMPAGES </w:instrText>
          </w:r>
          <w:r w:rsidR="000C6BE3">
            <w:fldChar w:fldCharType="separate"/>
          </w:r>
          <w:r>
            <w:t>15</w:t>
          </w:r>
          <w:r w:rsidR="000C6BE3">
            <w:fldChar w:fldCharType="end"/>
          </w:r>
        </w:p>
        <w:p w14:paraId="60642685" w14:textId="77777777" w:rsidR="008F4620" w:rsidRDefault="008F4620">
          <w:pPr>
            <w:pStyle w:val="RdaliaLgende"/>
            <w:jc w:val="right"/>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4C907" w14:textId="77777777" w:rsidR="00476B51" w:rsidRDefault="00476B51">
      <w:r>
        <w:separator/>
      </w:r>
    </w:p>
  </w:footnote>
  <w:footnote w:type="continuationSeparator" w:id="0">
    <w:p w14:paraId="3EAAFD5B" w14:textId="77777777" w:rsidR="00476B51" w:rsidRDefault="00476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0C89410"/>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LFO2"/>
    <w:lvl w:ilvl="0">
      <w:start w:val="1"/>
      <w:numFmt w:val="bullet"/>
      <w:pStyle w:val="RedaliaRetraitPuceniveau3"/>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Times New Roman"/>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2" w15:restartNumberingAfterBreak="0">
    <w:nsid w:val="00000003"/>
    <w:multiLevelType w:val="multilevel"/>
    <w:tmpl w:val="00000003"/>
    <w:name w:val="LFO3"/>
    <w:lvl w:ilvl="0">
      <w:start w:val="1"/>
      <w:numFmt w:val="bullet"/>
      <w:pStyle w:val="RdaliaRetraitGrandepuce"/>
      <w:lvlText w:val=""/>
      <w:lvlJc w:val="left"/>
      <w:pPr>
        <w:tabs>
          <w:tab w:val="num" w:pos="0"/>
        </w:tabs>
        <w:ind w:left="106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Times New Roman"/>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3" w15:restartNumberingAfterBreak="0">
    <w:nsid w:val="00000004"/>
    <w:multiLevelType w:val="multilevel"/>
    <w:tmpl w:val="00000004"/>
    <w:name w:val="LFO8"/>
    <w:lvl w:ilvl="0">
      <w:start w:val="1"/>
      <w:numFmt w:val="bullet"/>
      <w:pStyle w:val="RedaliaRetraitPuceniveau1"/>
      <w:lvlText w:val="○"/>
      <w:lvlJc w:val="left"/>
      <w:pPr>
        <w:tabs>
          <w:tab w:val="num" w:pos="0"/>
        </w:tabs>
        <w:ind w:left="992" w:hanging="284"/>
      </w:pPr>
      <w:rPr>
        <w:rFonts w:ascii="Times New Roman" w:hAnsi="Times New Roman"/>
      </w:rPr>
    </w:lvl>
    <w:lvl w:ilvl="1">
      <w:start w:val="1"/>
      <w:numFmt w:val="bullet"/>
      <w:lvlText w:val="o"/>
      <w:lvlJc w:val="left"/>
      <w:pPr>
        <w:tabs>
          <w:tab w:val="num" w:pos="0"/>
        </w:tabs>
        <w:ind w:left="1581" w:hanging="360"/>
      </w:pPr>
      <w:rPr>
        <w:rFonts w:ascii="Courier New" w:hAnsi="Courier New"/>
      </w:rPr>
    </w:lvl>
    <w:lvl w:ilvl="2">
      <w:start w:val="1"/>
      <w:numFmt w:val="bullet"/>
      <w:lvlText w:val=""/>
      <w:lvlJc w:val="left"/>
      <w:pPr>
        <w:tabs>
          <w:tab w:val="num" w:pos="0"/>
        </w:tabs>
        <w:ind w:left="2301" w:hanging="360"/>
      </w:pPr>
      <w:rPr>
        <w:rFonts w:ascii="Wingdings" w:hAnsi="Wingdings"/>
      </w:rPr>
    </w:lvl>
    <w:lvl w:ilvl="3">
      <w:start w:val="1"/>
      <w:numFmt w:val="bullet"/>
      <w:lvlText w:val=""/>
      <w:lvlJc w:val="left"/>
      <w:pPr>
        <w:tabs>
          <w:tab w:val="num" w:pos="0"/>
        </w:tabs>
        <w:ind w:left="3021" w:hanging="360"/>
      </w:pPr>
      <w:rPr>
        <w:rFonts w:ascii="Symbol" w:hAnsi="Symbol"/>
      </w:rPr>
    </w:lvl>
    <w:lvl w:ilvl="4">
      <w:start w:val="1"/>
      <w:numFmt w:val="bullet"/>
      <w:lvlText w:val="o"/>
      <w:lvlJc w:val="left"/>
      <w:pPr>
        <w:tabs>
          <w:tab w:val="num" w:pos="0"/>
        </w:tabs>
        <w:ind w:left="3741" w:hanging="360"/>
      </w:pPr>
      <w:rPr>
        <w:rFonts w:ascii="Courier New" w:hAnsi="Courier New"/>
      </w:rPr>
    </w:lvl>
    <w:lvl w:ilvl="5">
      <w:start w:val="1"/>
      <w:numFmt w:val="bullet"/>
      <w:lvlText w:val=""/>
      <w:lvlJc w:val="left"/>
      <w:pPr>
        <w:tabs>
          <w:tab w:val="num" w:pos="0"/>
        </w:tabs>
        <w:ind w:left="4461" w:hanging="360"/>
      </w:pPr>
      <w:rPr>
        <w:rFonts w:ascii="Wingdings" w:hAnsi="Wingdings"/>
      </w:rPr>
    </w:lvl>
    <w:lvl w:ilvl="6">
      <w:start w:val="1"/>
      <w:numFmt w:val="bullet"/>
      <w:lvlText w:val=""/>
      <w:lvlJc w:val="left"/>
      <w:pPr>
        <w:tabs>
          <w:tab w:val="num" w:pos="0"/>
        </w:tabs>
        <w:ind w:left="5181" w:hanging="360"/>
      </w:pPr>
      <w:rPr>
        <w:rFonts w:ascii="Symbol" w:hAnsi="Symbol"/>
      </w:rPr>
    </w:lvl>
    <w:lvl w:ilvl="7">
      <w:start w:val="1"/>
      <w:numFmt w:val="bullet"/>
      <w:lvlText w:val="o"/>
      <w:lvlJc w:val="left"/>
      <w:pPr>
        <w:tabs>
          <w:tab w:val="num" w:pos="0"/>
        </w:tabs>
        <w:ind w:left="5901" w:hanging="360"/>
      </w:pPr>
      <w:rPr>
        <w:rFonts w:ascii="Courier New" w:hAnsi="Courier New"/>
      </w:rPr>
    </w:lvl>
    <w:lvl w:ilvl="8">
      <w:start w:val="1"/>
      <w:numFmt w:val="bullet"/>
      <w:lvlText w:val=""/>
      <w:lvlJc w:val="left"/>
      <w:pPr>
        <w:tabs>
          <w:tab w:val="num" w:pos="0"/>
        </w:tabs>
        <w:ind w:left="6621" w:hanging="360"/>
      </w:pPr>
      <w:rPr>
        <w:rFonts w:ascii="Wingdings" w:hAnsi="Wingdings"/>
      </w:rPr>
    </w:lvl>
  </w:abstractNum>
  <w:abstractNum w:abstractNumId="4" w15:restartNumberingAfterBreak="0">
    <w:nsid w:val="00000005"/>
    <w:multiLevelType w:val="multilevel"/>
    <w:tmpl w:val="00000005"/>
    <w:name w:val="LFO9"/>
    <w:lvl w:ilvl="0">
      <w:start w:val="1"/>
      <w:numFmt w:val="bullet"/>
      <w:pStyle w:val="RdaliaRetraitPuceniveau2"/>
      <w:lvlText w:val=""/>
      <w:lvlJc w:val="left"/>
      <w:pPr>
        <w:tabs>
          <w:tab w:val="num" w:pos="0"/>
        </w:tabs>
        <w:ind w:left="1213" w:hanging="362"/>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LFO22"/>
    <w:lvl w:ilvl="0">
      <w:start w:val="1"/>
      <w:numFmt w:val="bullet"/>
      <w:pStyle w:val="Redaliapuces"/>
      <w:lvlText w:val=""/>
      <w:lvlJc w:val="left"/>
      <w:pPr>
        <w:tabs>
          <w:tab w:val="num" w:pos="0"/>
        </w:tabs>
        <w:ind w:left="284" w:hanging="114"/>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Times New Roman"/>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6" w15:restartNumberingAfterBreak="0">
    <w:nsid w:val="00000007"/>
    <w:multiLevelType w:val="multilevel"/>
    <w:tmpl w:val="00000007"/>
    <w:name w:val="LFO23"/>
    <w:lvl w:ilvl="0">
      <w:start w:val="1"/>
      <w:numFmt w:val="bullet"/>
      <w:pStyle w:val="RedaliaRetraitavecpuce"/>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Times New Roman"/>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Times New Roman"/>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Times New Roman"/>
      </w:rPr>
    </w:lvl>
  </w:abstractNum>
  <w:abstractNum w:abstractNumId="7" w15:restartNumberingAfterBreak="0">
    <w:nsid w:val="00000008"/>
    <w:multiLevelType w:val="multilevel"/>
    <w:tmpl w:val="00000008"/>
    <w:name w:val="LFO24"/>
    <w:lvl w:ilvl="0">
      <w:start w:val="1"/>
      <w:numFmt w:val="bullet"/>
      <w:pStyle w:val="RdaliaRetraitniveau1"/>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LFO25"/>
    <w:lvl w:ilvl="0">
      <w:start w:val="1"/>
      <w:numFmt w:val="bullet"/>
      <w:pStyle w:val="RdaliaRetraitniveau2"/>
      <w:lvlText w:val=""/>
      <w:lvlJc w:val="left"/>
      <w:pPr>
        <w:tabs>
          <w:tab w:val="num" w:pos="0"/>
        </w:tabs>
        <w:ind w:left="106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LFO26"/>
    <w:lvl w:ilvl="0">
      <w:start w:val="1"/>
      <w:numFmt w:val="bullet"/>
      <w:pStyle w:val="RdaliaTableau"/>
      <w:lvlText w:val=""/>
      <w:lvlJc w:val="left"/>
      <w:pPr>
        <w:tabs>
          <w:tab w:val="num" w:pos="0"/>
        </w:tabs>
        <w:ind w:left="360" w:hanging="36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000000B"/>
    <w:multiLevelType w:val="multilevel"/>
    <w:tmpl w:val="0000000B"/>
    <w:name w:val="LFO33"/>
    <w:lvl w:ilvl="0">
      <w:start w:val="1"/>
      <w:numFmt w:val="decimal"/>
      <w:pStyle w:val="LIAParagraphe1"/>
      <w:lvlText w:val="%1."/>
      <w:lvlJc w:val="left"/>
      <w:pPr>
        <w:tabs>
          <w:tab w:val="num" w:pos="0"/>
        </w:tabs>
        <w:ind w:left="360" w:hanging="360"/>
      </w:p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0C"/>
    <w:multiLevelType w:val="multilevel"/>
    <w:tmpl w:val="0000000C"/>
    <w:name w:val="LFO35"/>
    <w:lvl w:ilvl="0">
      <w:start w:val="1"/>
      <w:numFmt w:val="upperLetter"/>
      <w:pStyle w:val="LIAParagraphe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4F56532"/>
    <w:multiLevelType w:val="multilevel"/>
    <w:tmpl w:val="3B4E9E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690996"/>
    <w:multiLevelType w:val="multilevel"/>
    <w:tmpl w:val="6584F20A"/>
    <w:numStyleLink w:val="NumrotationAutoCCP"/>
  </w:abstractNum>
  <w:abstractNum w:abstractNumId="14" w15:restartNumberingAfterBreak="0">
    <w:nsid w:val="0FD64868"/>
    <w:multiLevelType w:val="hybridMultilevel"/>
    <w:tmpl w:val="F8743DF0"/>
    <w:lvl w:ilvl="0" w:tplc="CB6C92C0">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CF66C0"/>
    <w:multiLevelType w:val="multilevel"/>
    <w:tmpl w:val="861C4FD6"/>
    <w:lvl w:ilvl="0">
      <w:start w:val="1"/>
      <w:numFmt w:val="decimal"/>
      <w:pStyle w:val="RedaliaTitre1"/>
      <w:suff w:val="space"/>
      <w:lvlText w:val="%1."/>
      <w:lvlJc w:val="left"/>
      <w:pPr>
        <w:tabs>
          <w:tab w:val="num" w:pos="0"/>
        </w:tabs>
        <w:ind w:left="360" w:hanging="360"/>
      </w:pPr>
    </w:lvl>
    <w:lvl w:ilvl="1">
      <w:start w:val="1"/>
      <w:numFmt w:val="decimal"/>
      <w:pStyle w:val="RedaliaTitre2"/>
      <w:suff w:val="space"/>
      <w:lvlText w:val="%1.%2"/>
      <w:lvlJc w:val="left"/>
      <w:pPr>
        <w:tabs>
          <w:tab w:val="num" w:pos="0"/>
        </w:tabs>
        <w:ind w:left="720" w:hanging="360"/>
      </w:pPr>
    </w:lvl>
    <w:lvl w:ilvl="2">
      <w:start w:val="1"/>
      <w:numFmt w:val="decimal"/>
      <w:pStyle w:val="RedaliaTitre3"/>
      <w:suff w:val="space"/>
      <w:lvlText w:val="%1.%2.%3"/>
      <w:lvlJc w:val="left"/>
      <w:pPr>
        <w:tabs>
          <w:tab w:val="num" w:pos="0"/>
        </w:tabs>
        <w:ind w:left="1080" w:hanging="360"/>
      </w:p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pStyle w:val="Titre1"/>
      <w:suff w:val="nothing"/>
      <w:lvlText w:val=""/>
      <w:lvlJc w:val="left"/>
      <w:pPr>
        <w:tabs>
          <w:tab w:val="num" w:pos="0"/>
        </w:tabs>
        <w:ind w:left="0" w:firstLine="0"/>
      </w:pPr>
      <w:rPr>
        <w:rFonts w:cs="Times New Roman"/>
      </w:rPr>
    </w:lvl>
  </w:abstractNum>
  <w:abstractNum w:abstractNumId="16" w15:restartNumberingAfterBreak="0">
    <w:nsid w:val="26A66808"/>
    <w:multiLevelType w:val="multilevel"/>
    <w:tmpl w:val="6584F20A"/>
    <w:styleLink w:val="NumrotationAutoCCP"/>
    <w:lvl w:ilvl="0">
      <w:start w:val="1"/>
      <w:numFmt w:val="decimal"/>
      <w:pStyle w:val="CCP-Titre1"/>
      <w:suff w:val="space"/>
      <w:lvlText w:val="%1."/>
      <w:lvlJc w:val="left"/>
      <w:pPr>
        <w:ind w:left="360" w:hanging="360"/>
      </w:pPr>
      <w:rPr>
        <w:rFonts w:hint="default"/>
      </w:rPr>
    </w:lvl>
    <w:lvl w:ilvl="1">
      <w:start w:val="1"/>
      <w:numFmt w:val="decimal"/>
      <w:pStyle w:val="CCP-Titre2"/>
      <w:suff w:val="space"/>
      <w:lvlText w:val="%1.%2"/>
      <w:lvlJc w:val="left"/>
      <w:pPr>
        <w:ind w:left="720" w:hanging="360"/>
      </w:pPr>
      <w:rPr>
        <w:rFonts w:hint="default"/>
      </w:rPr>
    </w:lvl>
    <w:lvl w:ilvl="2">
      <w:start w:val="1"/>
      <w:numFmt w:val="decimal"/>
      <w:pStyle w:val="CCP-Titre3"/>
      <w:suff w:val="space"/>
      <w:lvlText w:val="%1.%2.%3"/>
      <w:lvlJc w:val="left"/>
      <w:pPr>
        <w:ind w:left="1080" w:hanging="36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294F08F4"/>
    <w:multiLevelType w:val="multilevel"/>
    <w:tmpl w:val="BEBCB2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996021"/>
    <w:multiLevelType w:val="multilevel"/>
    <w:tmpl w:val="5C78C4FC"/>
    <w:lvl w:ilvl="0">
      <w:start w:val="1"/>
      <w:numFmt w:val="bullet"/>
      <w:lvlText w:val=""/>
      <w:lvlJc w:val="left"/>
      <w:pPr>
        <w:tabs>
          <w:tab w:val="num" w:pos="0"/>
        </w:tabs>
        <w:ind w:left="106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32DE239B"/>
    <w:multiLevelType w:val="hybridMultilevel"/>
    <w:tmpl w:val="44606FDE"/>
    <w:lvl w:ilvl="0" w:tplc="CB6C92C0">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4E3493"/>
    <w:multiLevelType w:val="hybridMultilevel"/>
    <w:tmpl w:val="5992AF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9DF51CB"/>
    <w:multiLevelType w:val="hybridMultilevel"/>
    <w:tmpl w:val="4992EFE8"/>
    <w:lvl w:ilvl="0" w:tplc="CB6C92C0">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79749B"/>
    <w:multiLevelType w:val="hybridMultilevel"/>
    <w:tmpl w:val="CBF4DBFC"/>
    <w:lvl w:ilvl="0" w:tplc="DABABB0E">
      <w:start w:val="1"/>
      <w:numFmt w:val="decimal"/>
      <w:lvlText w:val="1.%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3" w15:restartNumberingAfterBreak="0">
    <w:nsid w:val="5BFD3A00"/>
    <w:multiLevelType w:val="multilevel"/>
    <w:tmpl w:val="040C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F4C10C0"/>
    <w:multiLevelType w:val="multilevel"/>
    <w:tmpl w:val="1BB0972A"/>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36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781870A5"/>
    <w:multiLevelType w:val="hybridMultilevel"/>
    <w:tmpl w:val="66BCAA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A171A37"/>
    <w:multiLevelType w:val="multilevel"/>
    <w:tmpl w:val="CD12A7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98754909">
    <w:abstractNumId w:val="0"/>
  </w:num>
  <w:num w:numId="2" w16cid:durableId="1736974719">
    <w:abstractNumId w:val="1"/>
  </w:num>
  <w:num w:numId="3" w16cid:durableId="786239269">
    <w:abstractNumId w:val="2"/>
  </w:num>
  <w:num w:numId="4" w16cid:durableId="798687258">
    <w:abstractNumId w:val="3"/>
  </w:num>
  <w:num w:numId="5" w16cid:durableId="2078630833">
    <w:abstractNumId w:val="4"/>
  </w:num>
  <w:num w:numId="6" w16cid:durableId="1442191739">
    <w:abstractNumId w:val="5"/>
  </w:num>
  <w:num w:numId="7" w16cid:durableId="1818571593">
    <w:abstractNumId w:val="6"/>
  </w:num>
  <w:num w:numId="8" w16cid:durableId="1562668121">
    <w:abstractNumId w:val="7"/>
  </w:num>
  <w:num w:numId="9" w16cid:durableId="1409424341">
    <w:abstractNumId w:val="8"/>
  </w:num>
  <w:num w:numId="10" w16cid:durableId="1485704835">
    <w:abstractNumId w:val="9"/>
  </w:num>
  <w:num w:numId="11" w16cid:durableId="1975283831">
    <w:abstractNumId w:val="10"/>
  </w:num>
  <w:num w:numId="12" w16cid:durableId="1710952167">
    <w:abstractNumId w:val="11"/>
  </w:num>
  <w:num w:numId="13" w16cid:durableId="437339410">
    <w:abstractNumId w:val="0"/>
  </w:num>
  <w:num w:numId="14" w16cid:durableId="1157573561">
    <w:abstractNumId w:val="22"/>
  </w:num>
  <w:num w:numId="15" w16cid:durableId="1271815935">
    <w:abstractNumId w:val="22"/>
  </w:num>
  <w:num w:numId="16" w16cid:durableId="1486583373">
    <w:abstractNumId w:val="17"/>
  </w:num>
  <w:num w:numId="17" w16cid:durableId="1753577271">
    <w:abstractNumId w:val="26"/>
  </w:num>
  <w:num w:numId="18" w16cid:durableId="1652560075">
    <w:abstractNumId w:val="0"/>
    <w:lvlOverride w:ilvl="0">
      <w:lvl w:ilvl="0">
        <w:start w:val="1"/>
        <w:numFmt w:val="decimal"/>
        <w:lvlText w:val="%1."/>
        <w:lvlJc w:val="left"/>
        <w:pPr>
          <w:tabs>
            <w:tab w:val="num" w:pos="0"/>
          </w:tabs>
          <w:ind w:left="357" w:hanging="357"/>
        </w:pPr>
        <w:rPr>
          <w:rFonts w:hint="default"/>
        </w:rPr>
      </w:lvl>
    </w:lvlOverride>
    <w:lvlOverride w:ilvl="1">
      <w:lvl w:ilvl="1">
        <w:start w:val="1"/>
        <w:numFmt w:val="decimal"/>
        <w:lvlText w:val="%1.%2"/>
        <w:lvlJc w:val="left"/>
        <w:pPr>
          <w:tabs>
            <w:tab w:val="num" w:pos="357"/>
          </w:tabs>
          <w:ind w:left="714" w:hanging="357"/>
        </w:pPr>
        <w:rPr>
          <w:rFonts w:hint="default"/>
        </w:rPr>
      </w:lvl>
    </w:lvlOverride>
    <w:lvlOverride w:ilvl="2">
      <w:lvl w:ilvl="2">
        <w:start w:val="1"/>
        <w:numFmt w:val="decimal"/>
        <w:lvlText w:val="%1.%2.%3"/>
        <w:lvlJc w:val="left"/>
        <w:pPr>
          <w:tabs>
            <w:tab w:val="num" w:pos="714"/>
          </w:tabs>
          <w:ind w:left="1071" w:hanging="357"/>
        </w:pPr>
        <w:rPr>
          <w:rFonts w:hint="default"/>
        </w:rPr>
      </w:lvl>
    </w:lvlOverride>
    <w:lvlOverride w:ilvl="3">
      <w:lvl w:ilvl="3">
        <w:start w:val="1"/>
        <w:numFmt w:val="none"/>
        <w:suff w:val="nothing"/>
        <w:lvlText w:val=""/>
        <w:lvlJc w:val="left"/>
        <w:pPr>
          <w:ind w:left="1428" w:hanging="357"/>
        </w:pPr>
        <w:rPr>
          <w:rFonts w:hint="default"/>
        </w:rPr>
      </w:lvl>
    </w:lvlOverride>
    <w:lvlOverride w:ilvl="4">
      <w:lvl w:ilvl="4">
        <w:start w:val="1"/>
        <w:numFmt w:val="none"/>
        <w:suff w:val="nothing"/>
        <w:lvlText w:val=""/>
        <w:lvlJc w:val="left"/>
        <w:pPr>
          <w:ind w:left="1785" w:hanging="357"/>
        </w:pPr>
        <w:rPr>
          <w:rFonts w:hint="default"/>
        </w:rPr>
      </w:lvl>
    </w:lvlOverride>
    <w:lvlOverride w:ilvl="5">
      <w:lvl w:ilvl="5">
        <w:start w:val="1"/>
        <w:numFmt w:val="none"/>
        <w:suff w:val="nothing"/>
        <w:lvlText w:val=""/>
        <w:lvlJc w:val="left"/>
        <w:pPr>
          <w:ind w:left="2142" w:hanging="357"/>
        </w:pPr>
        <w:rPr>
          <w:rFonts w:hint="default"/>
        </w:rPr>
      </w:lvl>
    </w:lvlOverride>
    <w:lvlOverride w:ilvl="6">
      <w:lvl w:ilvl="6">
        <w:start w:val="1"/>
        <w:numFmt w:val="none"/>
        <w:suff w:val="nothing"/>
        <w:lvlText w:val=""/>
        <w:lvlJc w:val="left"/>
        <w:pPr>
          <w:ind w:left="2499" w:hanging="357"/>
        </w:pPr>
        <w:rPr>
          <w:rFonts w:hint="default"/>
        </w:rPr>
      </w:lvl>
    </w:lvlOverride>
    <w:lvlOverride w:ilvl="7">
      <w:lvl w:ilvl="7">
        <w:start w:val="1"/>
        <w:numFmt w:val="none"/>
        <w:suff w:val="nothing"/>
        <w:lvlText w:val=""/>
        <w:lvlJc w:val="left"/>
        <w:pPr>
          <w:ind w:left="2856" w:hanging="357"/>
        </w:pPr>
        <w:rPr>
          <w:rFonts w:hint="default"/>
        </w:rPr>
      </w:lvl>
    </w:lvlOverride>
    <w:lvlOverride w:ilvl="8">
      <w:lvl w:ilvl="8">
        <w:start w:val="1"/>
        <w:numFmt w:val="none"/>
        <w:suff w:val="nothing"/>
        <w:lvlText w:val=""/>
        <w:lvlJc w:val="left"/>
        <w:pPr>
          <w:ind w:left="3213" w:hanging="357"/>
        </w:pPr>
        <w:rPr>
          <w:rFonts w:hint="default"/>
        </w:rPr>
      </w:lvl>
    </w:lvlOverride>
  </w:num>
  <w:num w:numId="19" w16cid:durableId="1183087258">
    <w:abstractNumId w:val="15"/>
  </w:num>
  <w:num w:numId="20" w16cid:durableId="1095050330">
    <w:abstractNumId w:val="23"/>
  </w:num>
  <w:num w:numId="21" w16cid:durableId="1109159164">
    <w:abstractNumId w:val="12"/>
  </w:num>
  <w:num w:numId="22" w16cid:durableId="1979678378">
    <w:abstractNumId w:val="24"/>
  </w:num>
  <w:num w:numId="23" w16cid:durableId="1043868024">
    <w:abstractNumId w:val="16"/>
  </w:num>
  <w:num w:numId="24" w16cid:durableId="16941859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3598850">
    <w:abstractNumId w:val="13"/>
  </w:num>
  <w:num w:numId="26" w16cid:durableId="16742568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6109017">
    <w:abstractNumId w:val="8"/>
  </w:num>
  <w:num w:numId="28" w16cid:durableId="2047219876">
    <w:abstractNumId w:val="18"/>
  </w:num>
  <w:num w:numId="29" w16cid:durableId="1062142736">
    <w:abstractNumId w:val="8"/>
  </w:num>
  <w:num w:numId="30" w16cid:durableId="1108895463">
    <w:abstractNumId w:val="20"/>
  </w:num>
  <w:num w:numId="31" w16cid:durableId="1932927250">
    <w:abstractNumId w:val="8"/>
  </w:num>
  <w:num w:numId="32" w16cid:durableId="615793794">
    <w:abstractNumId w:val="25"/>
  </w:num>
  <w:num w:numId="33" w16cid:durableId="1545827620">
    <w:abstractNumId w:val="7"/>
  </w:num>
  <w:num w:numId="34" w16cid:durableId="21297365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52821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3685902">
    <w:abstractNumId w:val="19"/>
  </w:num>
  <w:num w:numId="37" w16cid:durableId="2099208177">
    <w:abstractNumId w:val="14"/>
  </w:num>
  <w:num w:numId="38" w16cid:durableId="1623074422">
    <w:abstractNumId w:val="21"/>
  </w:num>
  <w:num w:numId="39" w16cid:durableId="5960603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CD"/>
    <w:rsid w:val="00001B62"/>
    <w:rsid w:val="00010D48"/>
    <w:rsid w:val="000338D3"/>
    <w:rsid w:val="0003508F"/>
    <w:rsid w:val="00063831"/>
    <w:rsid w:val="00064022"/>
    <w:rsid w:val="00064140"/>
    <w:rsid w:val="00065BA9"/>
    <w:rsid w:val="00070FD6"/>
    <w:rsid w:val="000915FB"/>
    <w:rsid w:val="00092153"/>
    <w:rsid w:val="00093BF0"/>
    <w:rsid w:val="00093C47"/>
    <w:rsid w:val="000A67B5"/>
    <w:rsid w:val="000A78F8"/>
    <w:rsid w:val="000C3DAD"/>
    <w:rsid w:val="000C4540"/>
    <w:rsid w:val="000C6BE3"/>
    <w:rsid w:val="000F5085"/>
    <w:rsid w:val="00102F8F"/>
    <w:rsid w:val="00142D31"/>
    <w:rsid w:val="001438B7"/>
    <w:rsid w:val="001468E2"/>
    <w:rsid w:val="00177190"/>
    <w:rsid w:val="00193ACD"/>
    <w:rsid w:val="001B712D"/>
    <w:rsid w:val="001C780C"/>
    <w:rsid w:val="001D0BEA"/>
    <w:rsid w:val="001D10F7"/>
    <w:rsid w:val="001D65EE"/>
    <w:rsid w:val="001E0A6F"/>
    <w:rsid w:val="001E6D52"/>
    <w:rsid w:val="00212176"/>
    <w:rsid w:val="00224D60"/>
    <w:rsid w:val="002365AF"/>
    <w:rsid w:val="00244C57"/>
    <w:rsid w:val="00270A97"/>
    <w:rsid w:val="00282F6C"/>
    <w:rsid w:val="00287A5A"/>
    <w:rsid w:val="002925BC"/>
    <w:rsid w:val="00297CD1"/>
    <w:rsid w:val="002B4067"/>
    <w:rsid w:val="002B710D"/>
    <w:rsid w:val="002C0B69"/>
    <w:rsid w:val="002C4B64"/>
    <w:rsid w:val="002C4FD9"/>
    <w:rsid w:val="002D0A49"/>
    <w:rsid w:val="002E5B4D"/>
    <w:rsid w:val="002F22D8"/>
    <w:rsid w:val="0030143F"/>
    <w:rsid w:val="003053A6"/>
    <w:rsid w:val="0033206D"/>
    <w:rsid w:val="00351072"/>
    <w:rsid w:val="0036141D"/>
    <w:rsid w:val="00365CFE"/>
    <w:rsid w:val="00375942"/>
    <w:rsid w:val="00376A5D"/>
    <w:rsid w:val="00391ABD"/>
    <w:rsid w:val="0039272F"/>
    <w:rsid w:val="003B0318"/>
    <w:rsid w:val="003C48D8"/>
    <w:rsid w:val="003C4CD2"/>
    <w:rsid w:val="004169C5"/>
    <w:rsid w:val="00420F1A"/>
    <w:rsid w:val="00454A5C"/>
    <w:rsid w:val="00476B51"/>
    <w:rsid w:val="004900A5"/>
    <w:rsid w:val="004A2D43"/>
    <w:rsid w:val="004A495C"/>
    <w:rsid w:val="004D01C6"/>
    <w:rsid w:val="004F1852"/>
    <w:rsid w:val="00502BC4"/>
    <w:rsid w:val="00520C11"/>
    <w:rsid w:val="0055159F"/>
    <w:rsid w:val="00552498"/>
    <w:rsid w:val="00552B2F"/>
    <w:rsid w:val="00555D0A"/>
    <w:rsid w:val="0055668D"/>
    <w:rsid w:val="00561B59"/>
    <w:rsid w:val="00577023"/>
    <w:rsid w:val="00586540"/>
    <w:rsid w:val="005A2D09"/>
    <w:rsid w:val="005B1295"/>
    <w:rsid w:val="005B2BED"/>
    <w:rsid w:val="005F13C4"/>
    <w:rsid w:val="005F1637"/>
    <w:rsid w:val="005F7114"/>
    <w:rsid w:val="00620784"/>
    <w:rsid w:val="006255D8"/>
    <w:rsid w:val="00642DDE"/>
    <w:rsid w:val="00657428"/>
    <w:rsid w:val="006678B8"/>
    <w:rsid w:val="006816C7"/>
    <w:rsid w:val="00684C8C"/>
    <w:rsid w:val="00686163"/>
    <w:rsid w:val="00690FCE"/>
    <w:rsid w:val="006F070B"/>
    <w:rsid w:val="006F6971"/>
    <w:rsid w:val="00727386"/>
    <w:rsid w:val="007279FE"/>
    <w:rsid w:val="00733E22"/>
    <w:rsid w:val="00742355"/>
    <w:rsid w:val="00745602"/>
    <w:rsid w:val="007524D4"/>
    <w:rsid w:val="00760704"/>
    <w:rsid w:val="00766091"/>
    <w:rsid w:val="00781FFD"/>
    <w:rsid w:val="007A48E5"/>
    <w:rsid w:val="007B07F0"/>
    <w:rsid w:val="007C0E98"/>
    <w:rsid w:val="007D4799"/>
    <w:rsid w:val="007F0317"/>
    <w:rsid w:val="007F41FA"/>
    <w:rsid w:val="0080001A"/>
    <w:rsid w:val="00812EAA"/>
    <w:rsid w:val="008363C5"/>
    <w:rsid w:val="00844FA1"/>
    <w:rsid w:val="00853592"/>
    <w:rsid w:val="00853DF5"/>
    <w:rsid w:val="0085417D"/>
    <w:rsid w:val="008605AD"/>
    <w:rsid w:val="00891050"/>
    <w:rsid w:val="008C43EF"/>
    <w:rsid w:val="008D049A"/>
    <w:rsid w:val="008F4620"/>
    <w:rsid w:val="00902028"/>
    <w:rsid w:val="009112AB"/>
    <w:rsid w:val="00920178"/>
    <w:rsid w:val="0092287D"/>
    <w:rsid w:val="00925F82"/>
    <w:rsid w:val="009265D7"/>
    <w:rsid w:val="00930714"/>
    <w:rsid w:val="00937A1E"/>
    <w:rsid w:val="00943D01"/>
    <w:rsid w:val="00960952"/>
    <w:rsid w:val="009611D4"/>
    <w:rsid w:val="009638A2"/>
    <w:rsid w:val="00963E25"/>
    <w:rsid w:val="00977CF6"/>
    <w:rsid w:val="00996CBB"/>
    <w:rsid w:val="009A39D0"/>
    <w:rsid w:val="009A7BAD"/>
    <w:rsid w:val="009B32A8"/>
    <w:rsid w:val="009D49AC"/>
    <w:rsid w:val="009D5A00"/>
    <w:rsid w:val="009D5C80"/>
    <w:rsid w:val="009F42A8"/>
    <w:rsid w:val="00A01B37"/>
    <w:rsid w:val="00A1047E"/>
    <w:rsid w:val="00A118B3"/>
    <w:rsid w:val="00A1214C"/>
    <w:rsid w:val="00A15FAA"/>
    <w:rsid w:val="00A5265D"/>
    <w:rsid w:val="00A60DAD"/>
    <w:rsid w:val="00A63126"/>
    <w:rsid w:val="00A82787"/>
    <w:rsid w:val="00A8740D"/>
    <w:rsid w:val="00AB5AE1"/>
    <w:rsid w:val="00AB709E"/>
    <w:rsid w:val="00AC5469"/>
    <w:rsid w:val="00AD72C2"/>
    <w:rsid w:val="00AF348A"/>
    <w:rsid w:val="00B170BE"/>
    <w:rsid w:val="00B308FD"/>
    <w:rsid w:val="00B30A40"/>
    <w:rsid w:val="00B3695F"/>
    <w:rsid w:val="00B603C1"/>
    <w:rsid w:val="00B6468E"/>
    <w:rsid w:val="00B76A0D"/>
    <w:rsid w:val="00B841D9"/>
    <w:rsid w:val="00B84C84"/>
    <w:rsid w:val="00BD2BC0"/>
    <w:rsid w:val="00BD6826"/>
    <w:rsid w:val="00BF3CCE"/>
    <w:rsid w:val="00BF5E00"/>
    <w:rsid w:val="00C05AA0"/>
    <w:rsid w:val="00C347CF"/>
    <w:rsid w:val="00C374D8"/>
    <w:rsid w:val="00C5048C"/>
    <w:rsid w:val="00C60DA4"/>
    <w:rsid w:val="00C83DE4"/>
    <w:rsid w:val="00C84630"/>
    <w:rsid w:val="00C90373"/>
    <w:rsid w:val="00CA08DC"/>
    <w:rsid w:val="00CA3707"/>
    <w:rsid w:val="00CC1661"/>
    <w:rsid w:val="00CE0F6D"/>
    <w:rsid w:val="00CF163F"/>
    <w:rsid w:val="00CF3772"/>
    <w:rsid w:val="00CF3D1E"/>
    <w:rsid w:val="00D04868"/>
    <w:rsid w:val="00D12E0C"/>
    <w:rsid w:val="00D210C1"/>
    <w:rsid w:val="00D234DB"/>
    <w:rsid w:val="00D277E5"/>
    <w:rsid w:val="00D320B4"/>
    <w:rsid w:val="00D431DD"/>
    <w:rsid w:val="00D518E3"/>
    <w:rsid w:val="00D54499"/>
    <w:rsid w:val="00D57EC9"/>
    <w:rsid w:val="00D62822"/>
    <w:rsid w:val="00D96D78"/>
    <w:rsid w:val="00DB160D"/>
    <w:rsid w:val="00DE546E"/>
    <w:rsid w:val="00DF17EE"/>
    <w:rsid w:val="00DF61D9"/>
    <w:rsid w:val="00DF6EF1"/>
    <w:rsid w:val="00E14B3F"/>
    <w:rsid w:val="00E201F7"/>
    <w:rsid w:val="00E2090B"/>
    <w:rsid w:val="00E621A0"/>
    <w:rsid w:val="00E63AA9"/>
    <w:rsid w:val="00E96AA4"/>
    <w:rsid w:val="00EB2CAB"/>
    <w:rsid w:val="00EB7B0F"/>
    <w:rsid w:val="00EC1F9B"/>
    <w:rsid w:val="00ED38A9"/>
    <w:rsid w:val="00EE061F"/>
    <w:rsid w:val="00F14A44"/>
    <w:rsid w:val="00F1697C"/>
    <w:rsid w:val="00F4032F"/>
    <w:rsid w:val="00F43916"/>
    <w:rsid w:val="00F52E08"/>
    <w:rsid w:val="00F86CC1"/>
    <w:rsid w:val="00FA762A"/>
    <w:rsid w:val="00FB2AEC"/>
    <w:rsid w:val="00FB34B5"/>
    <w:rsid w:val="00FC0050"/>
    <w:rsid w:val="00FE0348"/>
    <w:rsid w:val="00FE3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A5FB75"/>
  <w15:chartTrackingRefBased/>
  <w15:docId w15:val="{3AF3C1D2-46A0-4590-9BD4-2113A2F1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none" w:sz="0" w:space="0" w:color="000000"/>
        <w:left w:val="none" w:sz="0" w:space="0" w:color="000000"/>
        <w:bottom w:val="none" w:sz="0" w:space="0" w:color="000000"/>
        <w:right w:val="none" w:sz="0" w:space="0" w:color="000000"/>
      </w:pBdr>
      <w:textAlignment w:val="baseline"/>
    </w:pPr>
  </w:style>
  <w:style w:type="paragraph" w:styleId="Titre10">
    <w:name w:val="heading 1"/>
    <w:basedOn w:val="LO-Normal"/>
    <w:next w:val="LO-Normal"/>
    <w:qFormat/>
    <w:pPr>
      <w:keepNext/>
      <w:spacing w:before="240" w:after="160"/>
      <w:outlineLvl w:val="0"/>
    </w:pPr>
    <w:rPr>
      <w:b/>
      <w:kern w:val="2"/>
      <w:sz w:val="32"/>
    </w:rPr>
  </w:style>
  <w:style w:type="paragraph" w:styleId="Titre2">
    <w:name w:val="heading 2"/>
    <w:basedOn w:val="LO-Normal"/>
    <w:next w:val="LO-Normal"/>
    <w:qFormat/>
    <w:pPr>
      <w:keepNext/>
      <w:spacing w:before="240" w:after="160"/>
      <w:outlineLvl w:val="1"/>
    </w:pPr>
    <w:rPr>
      <w:sz w:val="28"/>
      <w:u w:val="single"/>
    </w:rPr>
  </w:style>
  <w:style w:type="paragraph" w:styleId="Titre3">
    <w:name w:val="heading 3"/>
    <w:basedOn w:val="LO-Normal"/>
    <w:next w:val="LO-Normal"/>
    <w:qFormat/>
    <w:pPr>
      <w:keepNext/>
      <w:spacing w:before="240" w:after="160"/>
      <w:outlineLvl w:val="2"/>
    </w:pPr>
    <w:rPr>
      <w:sz w:val="24"/>
      <w:u w:val="single"/>
    </w:rPr>
  </w:style>
  <w:style w:type="paragraph" w:styleId="Titre4">
    <w:name w:val="heading 4"/>
    <w:basedOn w:val="LO-Normal"/>
    <w:next w:val="LO-Normal"/>
    <w:qFormat/>
    <w:pPr>
      <w:keepNext/>
      <w:spacing w:before="240" w:after="60"/>
      <w:ind w:left="567"/>
      <w:outlineLvl w:val="3"/>
    </w:pPr>
    <w:rPr>
      <w:i/>
      <w:sz w:val="24"/>
    </w:rPr>
  </w:style>
  <w:style w:type="paragraph" w:styleId="Titre5">
    <w:name w:val="heading 5"/>
    <w:basedOn w:val="LO-Normal"/>
    <w:next w:val="LO-Normal"/>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1Car">
    <w:name w:val="Titre 1 Car"/>
    <w:basedOn w:val="Policepardfaut1"/>
    <w:rPr>
      <w:rFonts w:ascii="Arial" w:hAnsi="Arial" w:cs="Times New Roman"/>
      <w:b/>
      <w:kern w:val="2"/>
      <w:sz w:val="32"/>
    </w:rPr>
  </w:style>
  <w:style w:type="character" w:customStyle="1" w:styleId="Titre2Car">
    <w:name w:val="Titre 2 Car"/>
    <w:basedOn w:val="Policepardfaut1"/>
    <w:rPr>
      <w:rFonts w:ascii="Arial" w:hAnsi="Arial" w:cs="Times New Roman"/>
      <w:sz w:val="28"/>
      <w:u w:val="single"/>
    </w:rPr>
  </w:style>
  <w:style w:type="character" w:customStyle="1" w:styleId="Titre3Car">
    <w:name w:val="Titre 3 Car"/>
    <w:basedOn w:val="Policepardfaut1"/>
    <w:rPr>
      <w:rFonts w:ascii="Arial" w:hAnsi="Arial" w:cs="Times New Roman"/>
      <w:sz w:val="24"/>
      <w:u w:val="single"/>
    </w:rPr>
  </w:style>
  <w:style w:type="character" w:customStyle="1" w:styleId="Titre4Car">
    <w:name w:val="Titre 4 Car"/>
    <w:basedOn w:val="Policepardfaut1"/>
    <w:rPr>
      <w:rFonts w:ascii="Arial" w:hAnsi="Arial" w:cs="Times New Roman"/>
      <w:i/>
      <w:sz w:val="24"/>
    </w:rPr>
  </w:style>
  <w:style w:type="character" w:customStyle="1" w:styleId="Titre5Car">
    <w:name w:val="Titre 5 Car"/>
    <w:basedOn w:val="Policepardfaut1"/>
    <w:rPr>
      <w:rFonts w:ascii="Arial" w:hAnsi="Arial" w:cs="Times New Roman"/>
      <w:i/>
      <w:sz w:val="22"/>
    </w:rPr>
  </w:style>
  <w:style w:type="character" w:customStyle="1" w:styleId="Titre6Car">
    <w:name w:val="Titre 6 Car"/>
    <w:rPr>
      <w:rFonts w:ascii="Arial" w:hAnsi="Arial"/>
      <w:b/>
      <w:bCs/>
      <w:sz w:val="22"/>
    </w:rPr>
  </w:style>
  <w:style w:type="character" w:customStyle="1" w:styleId="Titre7Car">
    <w:name w:val="Titre 7 Car"/>
    <w:basedOn w:val="Policepardfaut1"/>
    <w:rPr>
      <w:rFonts w:ascii="Arial" w:hAnsi="Arial" w:cs="Times New Roman"/>
      <w:sz w:val="22"/>
      <w:lang w:eastAsia="en-US"/>
    </w:rPr>
  </w:style>
  <w:style w:type="character" w:customStyle="1" w:styleId="Titre8Car">
    <w:name w:val="Titre 8 Car"/>
    <w:basedOn w:val="Policepardfaut1"/>
    <w:rPr>
      <w:rFonts w:ascii="Arial" w:hAnsi="Arial" w:cs="Times New Roman"/>
      <w:sz w:val="22"/>
      <w:lang w:eastAsia="en-US"/>
    </w:rPr>
  </w:style>
  <w:style w:type="character" w:customStyle="1" w:styleId="Titre9Car">
    <w:name w:val="Titre 9 Car"/>
    <w:basedOn w:val="Policepardfaut1"/>
    <w:rPr>
      <w:rFonts w:ascii="Arial" w:hAnsi="Arial" w:cs="Times New Roman"/>
      <w:sz w:val="22"/>
      <w:lang w:eastAsia="en-US"/>
    </w:rPr>
  </w:style>
  <w:style w:type="character" w:customStyle="1" w:styleId="Lienhypertexte1">
    <w:name w:val="Lien hypertexte1"/>
    <w:basedOn w:val="Policepardfaut1"/>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customStyle="1" w:styleId="lev1">
    <w:name w:val="Élevé1"/>
    <w:basedOn w:val="Policepardfaut1"/>
    <w:rPr>
      <w:rFonts w:cs="Times New Roman"/>
    </w:rPr>
  </w:style>
  <w:style w:type="character" w:styleId="Accentuation">
    <w:name w:val="Emphasis"/>
    <w:basedOn w:val="Policepardfaut1"/>
    <w:qFormat/>
    <w:rPr>
      <w:rFonts w:cs="Times New Roman"/>
    </w:rPr>
  </w:style>
  <w:style w:type="character" w:customStyle="1" w:styleId="DateCar">
    <w:name w:val="Date Car"/>
    <w:basedOn w:val="Policepardfaut1"/>
    <w:rPr>
      <w:rFonts w:ascii="Arial" w:hAnsi="Arial" w:cs="Times New Roman"/>
      <w:sz w:val="22"/>
    </w:rPr>
  </w:style>
  <w:style w:type="character" w:customStyle="1" w:styleId="IconeWeb">
    <w:name w:val="IconeWeb"/>
    <w:rPr>
      <w:rFonts w:ascii="Webdings" w:hAnsi="Webdings" w:cs="Webdings"/>
    </w:rPr>
  </w:style>
  <w:style w:type="character" w:styleId="Numrodepage">
    <w:name w:val="page number"/>
    <w:rPr>
      <w:rFonts w:ascii="Times New Roman" w:hAnsi="Times New Roman" w:cs="Times New Roman"/>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
    <w:name w:val="EmailStyle180"/>
    <w:rPr>
      <w:rFonts w:ascii="Century Gothic" w:hAnsi="Century Gothic"/>
      <w:color w:val="auto"/>
      <w:sz w:val="20"/>
    </w:rPr>
  </w:style>
  <w:style w:type="character" w:customStyle="1" w:styleId="EmailStyle181">
    <w:name w:val="EmailStyle181"/>
    <w:rPr>
      <w:rFonts w:ascii="Arial" w:hAnsi="Arial"/>
      <w:color w:val="auto"/>
      <w:sz w:val="16"/>
    </w:rPr>
  </w:style>
  <w:style w:type="character" w:customStyle="1" w:styleId="EmailStyle182">
    <w:name w:val="EmailStyle182"/>
    <w:rPr>
      <w:rFonts w:ascii="Century Gothic" w:hAnsi="Century Gothic"/>
      <w:color w:val="auto"/>
      <w:sz w:val="20"/>
    </w:rPr>
  </w:style>
  <w:style w:type="character" w:customStyle="1" w:styleId="EmailStyle183">
    <w:name w:val="EmailStyle183"/>
    <w:rPr>
      <w:rFonts w:ascii="Arial" w:hAnsi="Arial"/>
      <w:color w:val="auto"/>
      <w:sz w:val="16"/>
    </w:rPr>
  </w:style>
  <w:style w:type="character" w:customStyle="1" w:styleId="EmailStyle184">
    <w:name w:val="EmailStyle184"/>
    <w:rPr>
      <w:rFonts w:ascii="Century Gothic" w:hAnsi="Century Gothic"/>
      <w:color w:val="auto"/>
      <w:sz w:val="20"/>
    </w:rPr>
  </w:style>
  <w:style w:type="character" w:customStyle="1" w:styleId="EmailStyle185">
    <w:name w:val="EmailStyle185"/>
    <w:rPr>
      <w:rFonts w:ascii="Arial" w:hAnsi="Arial"/>
      <w:color w:val="auto"/>
      <w:sz w:val="16"/>
    </w:rPr>
  </w:style>
  <w:style w:type="character" w:customStyle="1" w:styleId="EmailStyle186">
    <w:name w:val="EmailStyle186"/>
    <w:rPr>
      <w:rFonts w:ascii="Century Gothic" w:hAnsi="Century Gothic"/>
      <w:color w:val="auto"/>
      <w:sz w:val="20"/>
    </w:rPr>
  </w:style>
  <w:style w:type="character" w:customStyle="1" w:styleId="EmailStyle187">
    <w:name w:val="EmailStyle187"/>
    <w:rPr>
      <w:rFonts w:ascii="Arial" w:hAnsi="Arial"/>
      <w:color w:val="auto"/>
      <w:sz w:val="16"/>
    </w:rPr>
  </w:style>
  <w:style w:type="character" w:customStyle="1" w:styleId="EmailStyle188">
    <w:name w:val="EmailStyle188"/>
    <w:rPr>
      <w:rFonts w:ascii="Century Gothic" w:hAnsi="Century Gothic"/>
      <w:color w:val="auto"/>
      <w:sz w:val="20"/>
    </w:rPr>
  </w:style>
  <w:style w:type="character" w:customStyle="1" w:styleId="EmailStyle189">
    <w:name w:val="EmailStyle189"/>
    <w:rPr>
      <w:rFonts w:ascii="Arial" w:hAnsi="Arial"/>
      <w:color w:val="auto"/>
      <w:sz w:val="16"/>
    </w:rPr>
  </w:style>
  <w:style w:type="character" w:customStyle="1" w:styleId="EmailStyle190">
    <w:name w:val="EmailStyle190"/>
    <w:rPr>
      <w:rFonts w:ascii="Century Gothic" w:hAnsi="Century Gothic"/>
      <w:color w:val="auto"/>
      <w:sz w:val="20"/>
    </w:rPr>
  </w:style>
  <w:style w:type="character" w:customStyle="1" w:styleId="EmailStyle191">
    <w:name w:val="EmailStyle19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1">
    <w:name w:val="EmailStyle2241"/>
    <w:rPr>
      <w:rFonts w:ascii="Century Gothic" w:hAnsi="Century Gothic"/>
      <w:color w:val="auto"/>
      <w:sz w:val="20"/>
    </w:rPr>
  </w:style>
  <w:style w:type="character" w:customStyle="1" w:styleId="EmailStyle2251">
    <w:name w:val="EmailStyle2251"/>
    <w:rPr>
      <w:rFonts w:ascii="Arial" w:hAnsi="Arial"/>
      <w:color w:val="auto"/>
      <w:sz w:val="16"/>
    </w:rPr>
  </w:style>
  <w:style w:type="character" w:customStyle="1" w:styleId="EmailStyle2261">
    <w:name w:val="EmailStyle2261"/>
    <w:rPr>
      <w:rFonts w:ascii="Century Gothic" w:hAnsi="Century Gothic"/>
      <w:color w:val="auto"/>
      <w:sz w:val="20"/>
    </w:rPr>
  </w:style>
  <w:style w:type="character" w:customStyle="1" w:styleId="EmailStyle2271">
    <w:name w:val="EmailStyle2271"/>
    <w:rPr>
      <w:rFonts w:ascii="Arial" w:hAnsi="Arial"/>
      <w:color w:val="auto"/>
      <w:sz w:val="16"/>
    </w:rPr>
  </w:style>
  <w:style w:type="character" w:customStyle="1" w:styleId="EmailStyle2281">
    <w:name w:val="EmailStyle2281"/>
    <w:rPr>
      <w:rFonts w:ascii="Century Gothic" w:hAnsi="Century Gothic"/>
      <w:color w:val="auto"/>
      <w:sz w:val="20"/>
    </w:rPr>
  </w:style>
  <w:style w:type="character" w:customStyle="1" w:styleId="EmailStyle2291">
    <w:name w:val="EmailStyle2291"/>
    <w:rPr>
      <w:rFonts w:ascii="Arial" w:hAnsi="Arial"/>
      <w:color w:val="auto"/>
      <w:sz w:val="16"/>
    </w:rPr>
  </w:style>
  <w:style w:type="character" w:customStyle="1" w:styleId="EmailStyle2301">
    <w:name w:val="EmailStyle2301"/>
    <w:rPr>
      <w:rFonts w:ascii="Century Gothic" w:hAnsi="Century Gothic"/>
      <w:color w:val="auto"/>
      <w:sz w:val="20"/>
    </w:rPr>
  </w:style>
  <w:style w:type="character" w:customStyle="1" w:styleId="EmailStyle2311">
    <w:name w:val="EmailStyle2311"/>
    <w:rPr>
      <w:rFonts w:ascii="Arial" w:hAnsi="Arial"/>
      <w:color w:val="auto"/>
      <w:sz w:val="16"/>
    </w:rPr>
  </w:style>
  <w:style w:type="character" w:customStyle="1" w:styleId="EmailStyle2321">
    <w:name w:val="EmailStyle2321"/>
    <w:rPr>
      <w:rFonts w:ascii="Century Gothic" w:hAnsi="Century Gothic"/>
      <w:color w:val="auto"/>
      <w:sz w:val="20"/>
    </w:rPr>
  </w:style>
  <w:style w:type="character" w:customStyle="1" w:styleId="EmailStyle2331">
    <w:name w:val="EmailStyle2331"/>
    <w:rPr>
      <w:rFonts w:ascii="Arial" w:hAnsi="Arial"/>
      <w:color w:val="auto"/>
      <w:sz w:val="16"/>
    </w:rPr>
  </w:style>
  <w:style w:type="character" w:customStyle="1" w:styleId="EmailStyle2341">
    <w:name w:val="EmailStyle2341"/>
    <w:rPr>
      <w:rFonts w:ascii="Century Gothic" w:hAnsi="Century Gothic"/>
      <w:color w:val="auto"/>
      <w:sz w:val="20"/>
    </w:rPr>
  </w:style>
  <w:style w:type="character" w:customStyle="1" w:styleId="EmailStyle2351">
    <w:name w:val="EmailStyle2351"/>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8">
    <w:name w:val="EmailStyle268"/>
    <w:rPr>
      <w:rFonts w:ascii="Century Gothic" w:hAnsi="Century Gothic"/>
      <w:color w:val="auto"/>
      <w:sz w:val="20"/>
    </w:rPr>
  </w:style>
  <w:style w:type="character" w:customStyle="1" w:styleId="EmailStyle269">
    <w:name w:val="EmailStyle269"/>
    <w:rPr>
      <w:rFonts w:ascii="Arial" w:hAnsi="Arial"/>
      <w:color w:val="auto"/>
      <w:sz w:val="16"/>
    </w:rPr>
  </w:style>
  <w:style w:type="character" w:customStyle="1" w:styleId="EmailStyle270">
    <w:name w:val="EmailStyle270"/>
    <w:rPr>
      <w:rFonts w:ascii="Century Gothic" w:hAnsi="Century Gothic"/>
      <w:color w:val="auto"/>
      <w:sz w:val="20"/>
    </w:rPr>
  </w:style>
  <w:style w:type="character" w:customStyle="1" w:styleId="EmailStyle271">
    <w:name w:val="EmailStyle271"/>
    <w:rPr>
      <w:rFonts w:ascii="Arial" w:hAnsi="Arial"/>
      <w:color w:val="auto"/>
      <w:sz w:val="16"/>
    </w:rPr>
  </w:style>
  <w:style w:type="character" w:customStyle="1" w:styleId="EmailStyle272">
    <w:name w:val="EmailStyle272"/>
    <w:rPr>
      <w:rFonts w:ascii="Century Gothic" w:hAnsi="Century Gothic"/>
      <w:color w:val="auto"/>
      <w:sz w:val="20"/>
    </w:rPr>
  </w:style>
  <w:style w:type="character" w:customStyle="1" w:styleId="EmailStyle273">
    <w:name w:val="EmailStyle273"/>
    <w:rPr>
      <w:rFonts w:ascii="Arial" w:hAnsi="Arial"/>
      <w:color w:val="auto"/>
      <w:sz w:val="16"/>
    </w:rPr>
  </w:style>
  <w:style w:type="character" w:customStyle="1" w:styleId="EmailStyle274">
    <w:name w:val="EmailStyle274"/>
    <w:rPr>
      <w:rFonts w:ascii="Century Gothic" w:hAnsi="Century Gothic"/>
      <w:color w:val="auto"/>
      <w:sz w:val="20"/>
    </w:rPr>
  </w:style>
  <w:style w:type="character" w:customStyle="1" w:styleId="EmailStyle275">
    <w:name w:val="EmailStyle275"/>
    <w:rPr>
      <w:rFonts w:ascii="Arial" w:hAnsi="Arial"/>
      <w:color w:val="auto"/>
      <w:sz w:val="16"/>
    </w:rPr>
  </w:style>
  <w:style w:type="character" w:customStyle="1" w:styleId="EmailStyle276">
    <w:name w:val="EmailStyle276"/>
    <w:rPr>
      <w:rFonts w:ascii="Century Gothic" w:hAnsi="Century Gothic"/>
      <w:color w:val="auto"/>
      <w:sz w:val="20"/>
    </w:rPr>
  </w:style>
  <w:style w:type="character" w:customStyle="1" w:styleId="EmailStyle277">
    <w:name w:val="EmailStyle277"/>
    <w:rPr>
      <w:rFonts w:ascii="Arial" w:hAnsi="Arial"/>
      <w:color w:val="auto"/>
      <w:sz w:val="16"/>
    </w:rPr>
  </w:style>
  <w:style w:type="character" w:customStyle="1" w:styleId="EmailStyle278">
    <w:name w:val="EmailStyle278"/>
    <w:rPr>
      <w:rFonts w:ascii="Century Gothic" w:hAnsi="Century Gothic"/>
      <w:color w:val="auto"/>
      <w:sz w:val="20"/>
    </w:rPr>
  </w:style>
  <w:style w:type="character" w:customStyle="1" w:styleId="EmailStyle279">
    <w:name w:val="EmailStyle279"/>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customStyle="1" w:styleId="Lienhypertextesuivivisit1">
    <w:name w:val="Lien hypertexte suivi visité1"/>
    <w:basedOn w:val="Policepardfaut1"/>
    <w:rPr>
      <w:rFonts w:cs="Times New Roman"/>
      <w:color w:val="954F72"/>
      <w:u w:val="single"/>
    </w:rPr>
  </w:style>
  <w:style w:type="character" w:customStyle="1" w:styleId="TitreCar">
    <w:name w:val="Titre Car"/>
    <w:basedOn w:val="Policepardfaut1"/>
    <w:rPr>
      <w:rFonts w:ascii="Arial" w:hAnsi="Arial" w:cs="Times New Roman"/>
      <w:sz w:val="22"/>
      <w:lang w:eastAsia="en-US"/>
    </w:rPr>
  </w:style>
  <w:style w:type="character" w:customStyle="1" w:styleId="Sous-titreCar">
    <w:name w:val="Sous-titre Car"/>
    <w:basedOn w:val="Policepardfaut1"/>
    <w:rPr>
      <w:rFonts w:ascii="Arial" w:hAnsi="Arial" w:cs="Times New Roman"/>
      <w:sz w:val="22"/>
      <w:lang w:eastAsia="en-US"/>
    </w:rPr>
  </w:style>
  <w:style w:type="character" w:styleId="Accentuationlgre">
    <w:name w:val="Subtle Emphasis"/>
    <w:basedOn w:val="Policepardfaut1"/>
    <w:qFormat/>
    <w:rPr>
      <w:rFonts w:cs="Times New Roman"/>
    </w:rPr>
  </w:style>
  <w:style w:type="character" w:styleId="Accentuationintense">
    <w:name w:val="Intense Emphasis"/>
    <w:basedOn w:val="Policepardfaut1"/>
    <w:qFormat/>
    <w:rPr>
      <w:rFonts w:cs="Times New Roman"/>
    </w:rPr>
  </w:style>
  <w:style w:type="character" w:customStyle="1" w:styleId="CitationCar">
    <w:name w:val="Citation Car"/>
    <w:basedOn w:val="Policepardfaut1"/>
    <w:rPr>
      <w:rFonts w:ascii="Arial" w:hAnsi="Arial" w:cs="Times New Roman"/>
      <w:sz w:val="22"/>
      <w:lang w:eastAsia="en-US"/>
    </w:rPr>
  </w:style>
  <w:style w:type="character" w:customStyle="1" w:styleId="CitationintenseCar">
    <w:name w:val="Citation intense Car"/>
    <w:basedOn w:val="Policepardfaut1"/>
    <w:rPr>
      <w:rFonts w:ascii="Arial" w:hAnsi="Arial" w:cs="Times New Roman"/>
      <w:sz w:val="22"/>
      <w:lang w:eastAsia="en-US"/>
    </w:rPr>
  </w:style>
  <w:style w:type="character" w:styleId="Rfrencelgre">
    <w:name w:val="Subtle Reference"/>
    <w:basedOn w:val="Policepardfaut1"/>
    <w:qFormat/>
    <w:rPr>
      <w:rFonts w:cs="Times New Roman"/>
    </w:rPr>
  </w:style>
  <w:style w:type="character" w:styleId="Rfrenceintense">
    <w:name w:val="Intense Reference"/>
    <w:basedOn w:val="Policepardfaut1"/>
    <w:qFormat/>
    <w:rPr>
      <w:rFonts w:cs="Times New Roman"/>
    </w:rPr>
  </w:style>
  <w:style w:type="character" w:styleId="Titredulivre">
    <w:name w:val="Book Title"/>
    <w:basedOn w:val="Policepardfaut1"/>
    <w:qFormat/>
    <w:rPr>
      <w:rFonts w:cs="Times New Roman"/>
    </w:rPr>
  </w:style>
  <w:style w:type="character" w:styleId="Mentionnonrsolue">
    <w:name w:val="Unresolved Mention"/>
    <w:basedOn w:val="Policepardfaut1"/>
    <w:rPr>
      <w:color w:val="605E5C"/>
      <w:highlight w:val="lightGray"/>
    </w:rPr>
  </w:style>
  <w:style w:type="character" w:customStyle="1" w:styleId="WWCharLFO1LVL1">
    <w:name w:val="WW_CharLFO1LVL1"/>
    <w:rPr>
      <w:rFonts w:ascii="Symbol" w:hAnsi="Symbol"/>
    </w:rPr>
  </w:style>
  <w:style w:type="character" w:customStyle="1" w:styleId="WWCharLFO2LVL2">
    <w:name w:val="WW_CharLFO2LVL2"/>
    <w:rPr>
      <w:rFonts w:ascii="Courier New" w:hAnsi="Courier New" w:cs="Courier New"/>
    </w:rPr>
  </w:style>
  <w:style w:type="character" w:customStyle="1" w:styleId="WWCharLFO2LVL3">
    <w:name w:val="WW_CharLFO2LVL3"/>
    <w:rPr>
      <w:rFonts w:ascii="Wingdings" w:hAnsi="Wingdings" w:cs="Times New Roman"/>
    </w:rPr>
  </w:style>
  <w:style w:type="character" w:customStyle="1" w:styleId="WWCharLFO2LVL4">
    <w:name w:val="WW_CharLFO2LVL4"/>
    <w:rPr>
      <w:rFonts w:ascii="Symbol" w:hAnsi="Symbol" w:cs="Times New Roman"/>
    </w:rPr>
  </w:style>
  <w:style w:type="character" w:customStyle="1" w:styleId="WWCharLFO2LVL5">
    <w:name w:val="WW_CharLFO2LVL5"/>
    <w:rPr>
      <w:rFonts w:ascii="Courier New" w:hAnsi="Courier New" w:cs="Courier New"/>
    </w:rPr>
  </w:style>
  <w:style w:type="character" w:customStyle="1" w:styleId="WWCharLFO2LVL6">
    <w:name w:val="WW_CharLFO2LVL6"/>
    <w:rPr>
      <w:rFonts w:ascii="Wingdings" w:hAnsi="Wingdings" w:cs="Times New Roman"/>
    </w:rPr>
  </w:style>
  <w:style w:type="character" w:customStyle="1" w:styleId="WWCharLFO2LVL7">
    <w:name w:val="WW_CharLFO2LVL7"/>
    <w:rPr>
      <w:rFonts w:ascii="Symbol" w:hAnsi="Symbol" w:cs="Times New Roman"/>
    </w:rPr>
  </w:style>
  <w:style w:type="character" w:customStyle="1" w:styleId="WWCharLFO2LVL8">
    <w:name w:val="WW_CharLFO2LVL8"/>
    <w:rPr>
      <w:rFonts w:ascii="Courier New" w:hAnsi="Courier New" w:cs="Courier New"/>
    </w:rPr>
  </w:style>
  <w:style w:type="character" w:customStyle="1" w:styleId="WWCharLFO2LVL9">
    <w:name w:val="WW_CharLFO2LVL9"/>
    <w:rPr>
      <w:rFonts w:ascii="Wingdings" w:hAnsi="Wingdings" w:cs="Times New Roman"/>
    </w:rPr>
  </w:style>
  <w:style w:type="character" w:customStyle="1" w:styleId="WWCharLFO3LVL1">
    <w:name w:val="WW_CharLFO3LVL1"/>
    <w:rPr>
      <w:rFonts w:ascii="Symbol" w:hAnsi="Symbol" w:cs="Times New Roman"/>
    </w:rPr>
  </w:style>
  <w:style w:type="character" w:customStyle="1" w:styleId="WWCharLFO3LVL2">
    <w:name w:val="WW_CharLFO3LVL2"/>
    <w:rPr>
      <w:rFonts w:ascii="Courier New" w:hAnsi="Courier New" w:cs="Courier New"/>
    </w:rPr>
  </w:style>
  <w:style w:type="character" w:customStyle="1" w:styleId="WWCharLFO3LVL3">
    <w:name w:val="WW_CharLFO3LVL3"/>
    <w:rPr>
      <w:rFonts w:ascii="Wingdings" w:hAnsi="Wingdings" w:cs="Times New Roman"/>
    </w:rPr>
  </w:style>
  <w:style w:type="character" w:customStyle="1" w:styleId="WWCharLFO3LVL4">
    <w:name w:val="WW_CharLFO3LVL4"/>
    <w:rPr>
      <w:rFonts w:ascii="Symbol" w:hAnsi="Symbol" w:cs="Times New Roman"/>
    </w:rPr>
  </w:style>
  <w:style w:type="character" w:customStyle="1" w:styleId="WWCharLFO3LVL5">
    <w:name w:val="WW_CharLFO3LVL5"/>
    <w:rPr>
      <w:rFonts w:ascii="Courier New" w:hAnsi="Courier New" w:cs="Courier New"/>
    </w:rPr>
  </w:style>
  <w:style w:type="character" w:customStyle="1" w:styleId="WWCharLFO3LVL6">
    <w:name w:val="WW_CharLFO3LVL6"/>
    <w:rPr>
      <w:rFonts w:ascii="Wingdings" w:hAnsi="Wingdings" w:cs="Times New Roman"/>
    </w:rPr>
  </w:style>
  <w:style w:type="character" w:customStyle="1" w:styleId="WWCharLFO3LVL7">
    <w:name w:val="WW_CharLFO3LVL7"/>
    <w:rPr>
      <w:rFonts w:ascii="Symbol" w:hAnsi="Symbol" w:cs="Times New Roman"/>
    </w:rPr>
  </w:style>
  <w:style w:type="character" w:customStyle="1" w:styleId="WWCharLFO3LVL8">
    <w:name w:val="WW_CharLFO3LVL8"/>
    <w:rPr>
      <w:rFonts w:ascii="Courier New" w:hAnsi="Courier New" w:cs="Courier New"/>
    </w:rPr>
  </w:style>
  <w:style w:type="character" w:customStyle="1" w:styleId="WWCharLFO3LVL9">
    <w:name w:val="WW_CharLFO3LVL9"/>
    <w:rPr>
      <w:rFonts w:ascii="Wingdings" w:hAnsi="Wingdings" w:cs="Times New Roman"/>
    </w:rPr>
  </w:style>
  <w:style w:type="character" w:customStyle="1" w:styleId="WWCharLFO6LVL1">
    <w:name w:val="WW_CharLFO6LVL1"/>
    <w:rPr>
      <w:rFonts w:ascii="Symbol" w:hAnsi="Symbol"/>
    </w:rPr>
  </w:style>
  <w:style w:type="character" w:customStyle="1" w:styleId="WWCharLFO6LVL2">
    <w:name w:val="WW_CharLFO6LVL2"/>
    <w:rPr>
      <w:rFonts w:ascii="Courier New" w:hAnsi="Courier New" w:cs="Courier New"/>
    </w:rPr>
  </w:style>
  <w:style w:type="character" w:customStyle="1" w:styleId="WWCharLFO6LVL3">
    <w:name w:val="WW_CharLFO6LVL3"/>
    <w:rPr>
      <w:rFonts w:ascii="Wingdings" w:hAnsi="Wingdings" w:cs="Times New Roman"/>
    </w:rPr>
  </w:style>
  <w:style w:type="character" w:customStyle="1" w:styleId="WWCharLFO6LVL4">
    <w:name w:val="WW_CharLFO6LVL4"/>
    <w:rPr>
      <w:rFonts w:ascii="Symbol" w:hAnsi="Symbol" w:cs="Times New Roman"/>
    </w:rPr>
  </w:style>
  <w:style w:type="character" w:customStyle="1" w:styleId="WWCharLFO6LVL5">
    <w:name w:val="WW_CharLFO6LVL5"/>
    <w:rPr>
      <w:rFonts w:ascii="Courier New" w:hAnsi="Courier New" w:cs="Courier New"/>
    </w:rPr>
  </w:style>
  <w:style w:type="character" w:customStyle="1" w:styleId="WWCharLFO6LVL6">
    <w:name w:val="WW_CharLFO6LVL6"/>
    <w:rPr>
      <w:rFonts w:ascii="Wingdings" w:hAnsi="Wingdings" w:cs="Times New Roman"/>
    </w:rPr>
  </w:style>
  <w:style w:type="character" w:customStyle="1" w:styleId="WWCharLFO6LVL7">
    <w:name w:val="WW_CharLFO6LVL7"/>
    <w:rPr>
      <w:rFonts w:ascii="Symbol" w:hAnsi="Symbol" w:cs="Times New Roman"/>
    </w:rPr>
  </w:style>
  <w:style w:type="character" w:customStyle="1" w:styleId="WWCharLFO6LVL8">
    <w:name w:val="WW_CharLFO6LVL8"/>
    <w:rPr>
      <w:rFonts w:ascii="Courier New" w:hAnsi="Courier New" w:cs="Courier New"/>
    </w:rPr>
  </w:style>
  <w:style w:type="character" w:customStyle="1" w:styleId="WWCharLFO6LVL9">
    <w:name w:val="WW_CharLFO6LVL9"/>
    <w:rPr>
      <w:rFonts w:ascii="Wingdings" w:hAnsi="Wingdings" w:cs="Times New Roman"/>
    </w:rPr>
  </w:style>
  <w:style w:type="character" w:customStyle="1" w:styleId="WWCharLFO7LVL1">
    <w:name w:val="WW_CharLFO7LVL1"/>
    <w:rPr>
      <w:rFonts w:ascii="Symbol" w:hAnsi="Symbol" w:cs="Times New Roman"/>
    </w:rPr>
  </w:style>
  <w:style w:type="character" w:customStyle="1" w:styleId="WWCharLFO7LVL2">
    <w:name w:val="WW_CharLFO7LVL2"/>
    <w:rPr>
      <w:rFonts w:cs="Times New Roman"/>
    </w:rPr>
  </w:style>
  <w:style w:type="character" w:customStyle="1" w:styleId="WWCharLFO7LVL3">
    <w:name w:val="WW_CharLFO7LVL3"/>
    <w:rPr>
      <w:rFonts w:cs="Times New Roman"/>
    </w:rPr>
  </w:style>
  <w:style w:type="character" w:customStyle="1" w:styleId="WWCharLFO7LVL4">
    <w:name w:val="WW_CharLFO7LVL4"/>
    <w:rPr>
      <w:rFonts w:cs="Times New Roman"/>
    </w:rPr>
  </w:style>
  <w:style w:type="character" w:customStyle="1" w:styleId="WWCharLFO7LVL5">
    <w:name w:val="WW_CharLFO7LVL5"/>
    <w:rPr>
      <w:rFonts w:cs="Times New Roman"/>
    </w:rPr>
  </w:style>
  <w:style w:type="character" w:customStyle="1" w:styleId="WWCharLFO7LVL6">
    <w:name w:val="WW_CharLFO7LVL6"/>
    <w:rPr>
      <w:rFonts w:cs="Times New Roman"/>
    </w:rPr>
  </w:style>
  <w:style w:type="character" w:customStyle="1" w:styleId="WWCharLFO7LVL7">
    <w:name w:val="WW_CharLFO7LVL7"/>
    <w:rPr>
      <w:rFonts w:cs="Times New Roman"/>
    </w:rPr>
  </w:style>
  <w:style w:type="character" w:customStyle="1" w:styleId="WWCharLFO7LVL8">
    <w:name w:val="WW_CharLFO7LVL8"/>
    <w:rPr>
      <w:rFonts w:cs="Times New Roman"/>
    </w:rPr>
  </w:style>
  <w:style w:type="character" w:customStyle="1" w:styleId="WWCharLFO7LVL9">
    <w:name w:val="WW_CharLFO7LVL9"/>
    <w:rPr>
      <w:rFonts w:cs="Times New Roman"/>
    </w:rPr>
  </w:style>
  <w:style w:type="character" w:customStyle="1" w:styleId="WWCharLFO8LVL1">
    <w:name w:val="WW_CharLFO8LVL1"/>
    <w:rPr>
      <w:rFonts w:ascii="Times New Roman" w:hAnsi="Times New Roman"/>
    </w:rPr>
  </w:style>
  <w:style w:type="character" w:customStyle="1" w:styleId="WWCharLFO8LVL2">
    <w:name w:val="WW_CharLFO8LVL2"/>
    <w:rPr>
      <w:rFonts w:ascii="Courier New" w:hAnsi="Courier New"/>
    </w:rPr>
  </w:style>
  <w:style w:type="character" w:customStyle="1" w:styleId="WWCharLFO8LVL3">
    <w:name w:val="WW_CharLFO8LVL3"/>
    <w:rPr>
      <w:rFonts w:ascii="Wingdings" w:hAnsi="Wingdings"/>
    </w:rPr>
  </w:style>
  <w:style w:type="character" w:customStyle="1" w:styleId="WWCharLFO8LVL4">
    <w:name w:val="WW_CharLFO8LVL4"/>
    <w:rPr>
      <w:rFonts w:ascii="Symbol" w:hAnsi="Symbol"/>
    </w:rPr>
  </w:style>
  <w:style w:type="character" w:customStyle="1" w:styleId="WWCharLFO8LVL5">
    <w:name w:val="WW_CharLFO8LVL5"/>
    <w:rPr>
      <w:rFonts w:ascii="Courier New" w:hAnsi="Courier New"/>
    </w:rPr>
  </w:style>
  <w:style w:type="character" w:customStyle="1" w:styleId="WWCharLFO8LVL6">
    <w:name w:val="WW_CharLFO8LVL6"/>
    <w:rPr>
      <w:rFonts w:ascii="Wingdings" w:hAnsi="Wingdings"/>
    </w:rPr>
  </w:style>
  <w:style w:type="character" w:customStyle="1" w:styleId="WWCharLFO8LVL7">
    <w:name w:val="WW_CharLFO8LVL7"/>
    <w:rPr>
      <w:rFonts w:ascii="Symbol" w:hAnsi="Symbol"/>
    </w:rPr>
  </w:style>
  <w:style w:type="character" w:customStyle="1" w:styleId="WWCharLFO8LVL8">
    <w:name w:val="WW_CharLFO8LVL8"/>
    <w:rPr>
      <w:rFonts w:ascii="Courier New" w:hAnsi="Courier New"/>
    </w:rPr>
  </w:style>
  <w:style w:type="character" w:customStyle="1" w:styleId="WWCharLFO8LVL9">
    <w:name w:val="WW_CharLFO8LVL9"/>
    <w:rPr>
      <w:rFonts w:ascii="Wingdings" w:hAnsi="Wingdings"/>
    </w:rPr>
  </w:style>
  <w:style w:type="character" w:customStyle="1" w:styleId="WWCharLFO9LVL1">
    <w:name w:val="WW_CharLFO9LVL1"/>
    <w:rPr>
      <w:rFonts w:ascii="Symbol" w:hAnsi="Symbol"/>
    </w:rPr>
  </w:style>
  <w:style w:type="character" w:customStyle="1" w:styleId="WWCharLFO9LVL2">
    <w:name w:val="WW_CharLFO9LVL2"/>
    <w:rPr>
      <w:rFonts w:ascii="Courier New" w:hAnsi="Courier New"/>
    </w:rPr>
  </w:style>
  <w:style w:type="character" w:customStyle="1" w:styleId="WWCharLFO9LVL3">
    <w:name w:val="WW_CharLFO9LVL3"/>
    <w:rPr>
      <w:rFonts w:ascii="Wingdings" w:hAnsi="Wingdings"/>
    </w:rPr>
  </w:style>
  <w:style w:type="character" w:customStyle="1" w:styleId="WWCharLFO9LVL4">
    <w:name w:val="WW_CharLFO9LVL4"/>
    <w:rPr>
      <w:rFonts w:ascii="Symbol" w:hAnsi="Symbol"/>
    </w:rPr>
  </w:style>
  <w:style w:type="character" w:customStyle="1" w:styleId="WWCharLFO9LVL5">
    <w:name w:val="WW_CharLFO9LVL5"/>
    <w:rPr>
      <w:rFonts w:ascii="Courier New" w:hAnsi="Courier New"/>
    </w:rPr>
  </w:style>
  <w:style w:type="character" w:customStyle="1" w:styleId="WWCharLFO9LVL6">
    <w:name w:val="WW_CharLFO9LVL6"/>
    <w:rPr>
      <w:rFonts w:ascii="Wingdings" w:hAnsi="Wingdings"/>
    </w:rPr>
  </w:style>
  <w:style w:type="character" w:customStyle="1" w:styleId="WWCharLFO9LVL7">
    <w:name w:val="WW_CharLFO9LVL7"/>
    <w:rPr>
      <w:rFonts w:ascii="Symbol" w:hAnsi="Symbol"/>
    </w:rPr>
  </w:style>
  <w:style w:type="character" w:customStyle="1" w:styleId="WWCharLFO9LVL8">
    <w:name w:val="WW_CharLFO9LVL8"/>
    <w:rPr>
      <w:rFonts w:ascii="Courier New" w:hAnsi="Courier New"/>
    </w:rPr>
  </w:style>
  <w:style w:type="character" w:customStyle="1" w:styleId="WWCharLFO9LVL9">
    <w:name w:val="WW_CharLFO9LVL9"/>
    <w:rPr>
      <w:rFonts w:ascii="Wingdings" w:hAnsi="Wingdings"/>
    </w:rPr>
  </w:style>
  <w:style w:type="character" w:customStyle="1" w:styleId="WWCharLFO10LVL2">
    <w:name w:val="WW_CharLFO10LVL2"/>
    <w:rPr>
      <w:rFonts w:cs="Times New Roman"/>
    </w:rPr>
  </w:style>
  <w:style w:type="character" w:customStyle="1" w:styleId="WWCharLFO10LVL3">
    <w:name w:val="WW_CharLFO10LVL3"/>
    <w:rPr>
      <w:rFonts w:cs="Times New Roman"/>
    </w:rPr>
  </w:style>
  <w:style w:type="character" w:customStyle="1" w:styleId="WWCharLFO10LVL4">
    <w:name w:val="WW_CharLFO10LVL4"/>
    <w:rPr>
      <w:rFonts w:cs="Times New Roman"/>
    </w:rPr>
  </w:style>
  <w:style w:type="character" w:customStyle="1" w:styleId="WWCharLFO10LVL5">
    <w:name w:val="WW_CharLFO10LVL5"/>
    <w:rPr>
      <w:rFonts w:cs="Times New Roman"/>
    </w:rPr>
  </w:style>
  <w:style w:type="character" w:customStyle="1" w:styleId="WWCharLFO10LVL6">
    <w:name w:val="WW_CharLFO10LVL6"/>
    <w:rPr>
      <w:rFonts w:cs="Times New Roman"/>
    </w:rPr>
  </w:style>
  <w:style w:type="character" w:customStyle="1" w:styleId="WWCharLFO10LVL7">
    <w:name w:val="WW_CharLFO10LVL7"/>
    <w:rPr>
      <w:rFonts w:cs="Times New Roman"/>
    </w:rPr>
  </w:style>
  <w:style w:type="character" w:customStyle="1" w:styleId="WWCharLFO10LVL8">
    <w:name w:val="WW_CharLFO10LVL8"/>
    <w:rPr>
      <w:rFonts w:cs="Times New Roman"/>
    </w:rPr>
  </w:style>
  <w:style w:type="character" w:customStyle="1" w:styleId="WWCharLFO10LVL9">
    <w:name w:val="WW_CharLFO10LVL9"/>
    <w:rPr>
      <w:rFonts w:cs="Times New Roman"/>
    </w:rPr>
  </w:style>
  <w:style w:type="character" w:customStyle="1" w:styleId="WWCharLFO12LVL1">
    <w:name w:val="WW_CharLFO12LVL1"/>
    <w:rPr>
      <w:rFonts w:cs="Times New Roman"/>
      <w:sz w:val="28"/>
    </w:rPr>
  </w:style>
  <w:style w:type="character" w:customStyle="1" w:styleId="WWCharLFO12LVL2">
    <w:name w:val="WW_CharLFO12LVL2"/>
    <w:rPr>
      <w:rFonts w:cs="Times New Roman"/>
    </w:rPr>
  </w:style>
  <w:style w:type="character" w:customStyle="1" w:styleId="WWCharLFO12LVL3">
    <w:name w:val="WW_CharLFO12LVL3"/>
    <w:rPr>
      <w:rFonts w:cs="Times New Roman"/>
    </w:rPr>
  </w:style>
  <w:style w:type="character" w:customStyle="1" w:styleId="WWCharLFO12LVL4">
    <w:name w:val="WW_CharLFO12LVL4"/>
    <w:rPr>
      <w:rFonts w:cs="Times New Roman"/>
    </w:rPr>
  </w:style>
  <w:style w:type="character" w:customStyle="1" w:styleId="WWCharLFO12LVL5">
    <w:name w:val="WW_CharLFO12LVL5"/>
    <w:rPr>
      <w:rFonts w:cs="Times New Roman"/>
    </w:rPr>
  </w:style>
  <w:style w:type="character" w:customStyle="1" w:styleId="WWCharLFO12LVL6">
    <w:name w:val="WW_CharLFO12LVL6"/>
    <w:rPr>
      <w:rFonts w:cs="Times New Roman"/>
    </w:rPr>
  </w:style>
  <w:style w:type="character" w:customStyle="1" w:styleId="WWCharLFO12LVL7">
    <w:name w:val="WW_CharLFO12LVL7"/>
    <w:rPr>
      <w:rFonts w:cs="Times New Roman"/>
    </w:rPr>
  </w:style>
  <w:style w:type="character" w:customStyle="1" w:styleId="WWCharLFO12LVL8">
    <w:name w:val="WW_CharLFO12LVL8"/>
    <w:rPr>
      <w:rFonts w:cs="Times New Roman"/>
    </w:rPr>
  </w:style>
  <w:style w:type="character" w:customStyle="1" w:styleId="WWCharLFO12LVL9">
    <w:name w:val="WW_CharLFO12LVL9"/>
    <w:rPr>
      <w:rFonts w:cs="Times New Roman"/>
    </w:rPr>
  </w:style>
  <w:style w:type="character" w:customStyle="1" w:styleId="WWCharLFO13LVL1">
    <w:name w:val="WW_CharLFO13LVL1"/>
    <w:rPr>
      <w:rFonts w:cs="Times New Roman"/>
    </w:rPr>
  </w:style>
  <w:style w:type="character" w:customStyle="1" w:styleId="WWCharLFO14LVL1">
    <w:name w:val="WW_CharLFO14LVL1"/>
    <w:rPr>
      <w:rFonts w:cs="Times New Roman"/>
    </w:rPr>
  </w:style>
  <w:style w:type="character" w:customStyle="1" w:styleId="WWCharLFO15LVL1">
    <w:name w:val="WW_CharLFO15LVL1"/>
    <w:rPr>
      <w:rFonts w:cs="Times New Roman"/>
    </w:rPr>
  </w:style>
  <w:style w:type="character" w:customStyle="1" w:styleId="WWCharLFO16LVL1">
    <w:name w:val="WW_CharLFO16LVL1"/>
    <w:rPr>
      <w:rFonts w:cs="Times New Roman"/>
    </w:rPr>
  </w:style>
  <w:style w:type="character" w:customStyle="1" w:styleId="WWCharLFO17LVL1">
    <w:name w:val="WW_CharLFO17LVL1"/>
    <w:rPr>
      <w:rFonts w:ascii="Symbol" w:hAnsi="Symbol"/>
    </w:rPr>
  </w:style>
  <w:style w:type="character" w:customStyle="1" w:styleId="WWCharLFO18LVL1">
    <w:name w:val="WW_CharLFO18LVL1"/>
    <w:rPr>
      <w:rFonts w:ascii="Symbol" w:hAnsi="Symbol"/>
    </w:rPr>
  </w:style>
  <w:style w:type="character" w:customStyle="1" w:styleId="WWCharLFO19LVL1">
    <w:name w:val="WW_CharLFO19LVL1"/>
    <w:rPr>
      <w:rFonts w:ascii="Symbol" w:hAnsi="Symbol"/>
    </w:rPr>
  </w:style>
  <w:style w:type="character" w:customStyle="1" w:styleId="WWCharLFO20LVL1">
    <w:name w:val="WW_CharLFO20LVL1"/>
    <w:rPr>
      <w:rFonts w:ascii="Symbol" w:hAnsi="Symbol"/>
    </w:rPr>
  </w:style>
  <w:style w:type="character" w:customStyle="1" w:styleId="WWCharLFO21LVL1">
    <w:name w:val="WW_CharLFO21LVL1"/>
    <w:rPr>
      <w:rFonts w:ascii="Symbol" w:hAnsi="Symbol"/>
    </w:rPr>
  </w:style>
  <w:style w:type="character" w:customStyle="1" w:styleId="WWCharLFO2LVL1">
    <w:name w:val="WW_CharLFO2LVL1"/>
    <w:rPr>
      <w:rFonts w:ascii="Symbol" w:hAnsi="Symbol" w:cs="Times New Roman"/>
    </w:rPr>
  </w:style>
  <w:style w:type="character" w:customStyle="1" w:styleId="WWCharLFO4LVL1">
    <w:name w:val="WW_CharLFO4LVL1"/>
    <w:rPr>
      <w:rFonts w:ascii="Times New Roman" w:hAnsi="Times New Roman"/>
    </w:rPr>
  </w:style>
  <w:style w:type="character" w:customStyle="1" w:styleId="WWCharLFO4LVL2">
    <w:name w:val="WW_CharLFO4LVL2"/>
    <w:rPr>
      <w:rFonts w:ascii="Courier New" w:hAnsi="Courier New"/>
    </w:rPr>
  </w:style>
  <w:style w:type="character" w:customStyle="1" w:styleId="WWCharLFO4LVL3">
    <w:name w:val="WW_CharLFO4LVL3"/>
    <w:rPr>
      <w:rFonts w:ascii="Wingdings" w:hAnsi="Wingdings"/>
    </w:rPr>
  </w:style>
  <w:style w:type="character" w:customStyle="1" w:styleId="WWCharLFO4LVL4">
    <w:name w:val="WW_CharLFO4LVL4"/>
    <w:rPr>
      <w:rFonts w:ascii="Symbol" w:hAnsi="Symbol"/>
    </w:rPr>
  </w:style>
  <w:style w:type="character" w:customStyle="1" w:styleId="WWCharLFO4LVL5">
    <w:name w:val="WW_CharLFO4LVL5"/>
    <w:rPr>
      <w:rFonts w:ascii="Courier New" w:hAnsi="Courier New"/>
    </w:rPr>
  </w:style>
  <w:style w:type="character" w:customStyle="1" w:styleId="WWCharLFO4LVL6">
    <w:name w:val="WW_CharLFO4LVL6"/>
    <w:rPr>
      <w:rFonts w:ascii="Wingdings" w:hAnsi="Wingdings"/>
    </w:rPr>
  </w:style>
  <w:style w:type="character" w:customStyle="1" w:styleId="WWCharLFO4LVL7">
    <w:name w:val="WW_CharLFO4LVL7"/>
    <w:rPr>
      <w:rFonts w:ascii="Symbol" w:hAnsi="Symbol"/>
    </w:rPr>
  </w:style>
  <w:style w:type="character" w:customStyle="1" w:styleId="WWCharLFO4LVL8">
    <w:name w:val="WW_CharLFO4LVL8"/>
    <w:rPr>
      <w:rFonts w:ascii="Courier New" w:hAnsi="Courier New"/>
    </w:rPr>
  </w:style>
  <w:style w:type="character" w:customStyle="1" w:styleId="WWCharLFO4LVL9">
    <w:name w:val="WW_CharLFO4LVL9"/>
    <w:rPr>
      <w:rFonts w:ascii="Wingdings" w:hAnsi="Wingdings"/>
    </w:rPr>
  </w:style>
  <w:style w:type="character" w:customStyle="1" w:styleId="WWCharLFO5LVL1">
    <w:name w:val="WW_CharLFO5LVL1"/>
    <w:rPr>
      <w:rFonts w:ascii="Symbol" w:hAnsi="Symbol"/>
      <w:color w:val="auto"/>
    </w:rPr>
  </w:style>
  <w:style w:type="character" w:customStyle="1" w:styleId="WWCharLFO5LVL2">
    <w:name w:val="WW_CharLFO5LVL2"/>
    <w:rPr>
      <w:rFonts w:ascii="Courier New" w:hAnsi="Courier New"/>
    </w:rPr>
  </w:style>
  <w:style w:type="character" w:customStyle="1" w:styleId="WWCharLFO5LVL3">
    <w:name w:val="WW_CharLFO5LVL3"/>
    <w:rPr>
      <w:rFonts w:ascii="Wingdings" w:hAnsi="Wingdings"/>
    </w:rPr>
  </w:style>
  <w:style w:type="character" w:customStyle="1" w:styleId="WWCharLFO5LVL4">
    <w:name w:val="WW_CharLFO5LVL4"/>
    <w:rPr>
      <w:rFonts w:ascii="Symbol" w:hAnsi="Symbol"/>
    </w:rPr>
  </w:style>
  <w:style w:type="character" w:customStyle="1" w:styleId="WWCharLFO5LVL5">
    <w:name w:val="WW_CharLFO5LVL5"/>
    <w:rPr>
      <w:rFonts w:ascii="Courier New" w:hAnsi="Courier New"/>
    </w:rPr>
  </w:style>
  <w:style w:type="character" w:customStyle="1" w:styleId="WWCharLFO5LVL6">
    <w:name w:val="WW_CharLFO5LVL6"/>
    <w:rPr>
      <w:rFonts w:ascii="Wingdings" w:hAnsi="Wingdings"/>
    </w:rPr>
  </w:style>
  <w:style w:type="character" w:customStyle="1" w:styleId="WWCharLFO5LVL7">
    <w:name w:val="WW_CharLFO5LVL7"/>
    <w:rPr>
      <w:rFonts w:ascii="Symbol" w:hAnsi="Symbol"/>
    </w:rPr>
  </w:style>
  <w:style w:type="character" w:customStyle="1" w:styleId="WWCharLFO5LVL8">
    <w:name w:val="WW_CharLFO5LVL8"/>
    <w:rPr>
      <w:rFonts w:ascii="Courier New" w:hAnsi="Courier New"/>
    </w:rPr>
  </w:style>
  <w:style w:type="character" w:customStyle="1" w:styleId="WWCharLFO5LVL9">
    <w:name w:val="WW_CharLFO5LVL9"/>
    <w:rPr>
      <w:rFonts w:ascii="Wingdings" w:hAnsi="Wingdings"/>
    </w:rPr>
  </w:style>
  <w:style w:type="character" w:styleId="Lienhypertexte">
    <w:name w:val="Hyperlink"/>
    <w:uiPriority w:val="99"/>
    <w:rPr>
      <w:color w:val="000080"/>
      <w:u w:val="single"/>
    </w:rPr>
  </w:style>
  <w:style w:type="paragraph" w:customStyle="1" w:styleId="RedaliaTitre1">
    <w:name w:val="Redalia Titre 1"/>
    <w:basedOn w:val="LO-Normal"/>
    <w:pPr>
      <w:numPr>
        <w:numId w:val="19"/>
      </w:numPr>
      <w:spacing w:before="240" w:after="160"/>
      <w:outlineLvl w:val="0"/>
    </w:pPr>
    <w:rPr>
      <w:b/>
      <w:sz w:val="32"/>
    </w:rPr>
  </w:style>
  <w:style w:type="paragraph" w:customStyle="1" w:styleId="RedaliaTitre2">
    <w:name w:val="Redalia Titre 2"/>
    <w:basedOn w:val="LO-Normal"/>
    <w:next w:val="LO-Normal"/>
    <w:link w:val="RedaliaTitre2Car"/>
    <w:pPr>
      <w:numPr>
        <w:ilvl w:val="1"/>
        <w:numId w:val="19"/>
      </w:numPr>
      <w:spacing w:before="240" w:after="160"/>
      <w:outlineLvl w:val="1"/>
    </w:pPr>
    <w:rPr>
      <w:sz w:val="28"/>
      <w:u w:val="single"/>
    </w:rPr>
  </w:style>
  <w:style w:type="paragraph" w:customStyle="1" w:styleId="RedaliaTitre3">
    <w:name w:val="Redalia Titre 3"/>
    <w:basedOn w:val="LO-Normal"/>
    <w:pPr>
      <w:numPr>
        <w:ilvl w:val="2"/>
        <w:numId w:val="19"/>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LO-Normal"/>
    <w:pPr>
      <w:shd w:val="clear" w:color="auto" w:fill="EE6000"/>
      <w:ind w:left="1418"/>
      <w:jc w:val="both"/>
    </w:pPr>
    <w:rPr>
      <w:bCs/>
      <w:sz w:val="24"/>
      <w:szCs w:val="24"/>
    </w:rPr>
  </w:style>
  <w:style w:type="paragraph" w:customStyle="1" w:styleId="Titre1">
    <w:name w:val="Titre1"/>
    <w:next w:val="LO-Normal"/>
    <w:pPr>
      <w:numPr>
        <w:ilvl w:val="8"/>
        <w:numId w:val="19"/>
      </w:numPr>
      <w:pBdr>
        <w:top w:val="none" w:sz="0" w:space="0" w:color="000000"/>
        <w:left w:val="none" w:sz="0" w:space="0" w:color="000000"/>
        <w:bottom w:val="none" w:sz="0" w:space="0" w:color="000000"/>
        <w:right w:val="none" w:sz="0" w:space="0" w:color="000000"/>
      </w:pBdr>
      <w:suppressAutoHyphens/>
      <w:textAlignment w:val="baseline"/>
      <w:outlineLvl w:val="8"/>
    </w:pPr>
  </w:style>
  <w:style w:type="paragraph" w:styleId="Corpsdetexte">
    <w:name w:val="Body Text"/>
    <w:basedOn w:val="Normal"/>
    <w:pPr>
      <w:spacing w:after="140" w:line="288" w:lineRule="auto"/>
    </w:pPr>
  </w:style>
  <w:style w:type="paragraph" w:customStyle="1" w:styleId="LO-Normal">
    <w:name w:val="LO-Normal"/>
    <w:link w:val="LO-NormalCar"/>
    <w:pPr>
      <w:widowControl w:val="0"/>
      <w:pBdr>
        <w:top w:val="none" w:sz="0" w:space="0" w:color="000000"/>
        <w:left w:val="none" w:sz="0" w:space="0" w:color="000000"/>
        <w:bottom w:val="none" w:sz="0" w:space="0" w:color="000000"/>
        <w:right w:val="none" w:sz="0" w:space="0" w:color="000000"/>
      </w:pBdr>
      <w:suppressAutoHyphens/>
      <w:textAlignment w:val="baseline"/>
    </w:pPr>
    <w:rPr>
      <w:rFonts w:ascii="Arial" w:hAnsi="Arial"/>
      <w:sz w:val="22"/>
    </w:rPr>
  </w:style>
  <w:style w:type="paragraph" w:customStyle="1" w:styleId="Courriercivilit">
    <w:name w:val="Courrier civilité"/>
    <w:basedOn w:val="LO-Normal"/>
    <w:pPr>
      <w:tabs>
        <w:tab w:val="left" w:pos="1134"/>
      </w:tabs>
    </w:pPr>
  </w:style>
  <w:style w:type="paragraph" w:customStyle="1" w:styleId="Courrierdate">
    <w:name w:val="Courrier date"/>
    <w:basedOn w:val="LO-Normal"/>
    <w:pPr>
      <w:jc w:val="right"/>
    </w:pPr>
  </w:style>
  <w:style w:type="paragraph" w:customStyle="1" w:styleId="Courrierdest">
    <w:name w:val="Courrier dest"/>
    <w:basedOn w:val="LO-Normal"/>
  </w:style>
  <w:style w:type="paragraph" w:customStyle="1" w:styleId="Courriersign">
    <w:name w:val="Courrier sign"/>
    <w:basedOn w:val="Courrierdest"/>
    <w:rPr>
      <w:caps/>
    </w:rPr>
  </w:style>
  <w:style w:type="paragraph" w:customStyle="1" w:styleId="Courriertext">
    <w:name w:val="Courrier text"/>
    <w:basedOn w:val="LO-Normal"/>
    <w:pPr>
      <w:jc w:val="both"/>
    </w:pPr>
  </w:style>
  <w:style w:type="paragraph" w:customStyle="1" w:styleId="Dossierune">
    <w:name w:val="Dossier une"/>
    <w:basedOn w:val="LO-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LO-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LO-Normal"/>
    <w:pPr>
      <w:jc w:val="center"/>
    </w:pPr>
  </w:style>
  <w:style w:type="paragraph" w:customStyle="1" w:styleId="Enttedrte">
    <w:name w:val="Entête drte"/>
    <w:basedOn w:val="LO-Normal"/>
    <w:pPr>
      <w:jc w:val="right"/>
    </w:pPr>
  </w:style>
  <w:style w:type="paragraph" w:customStyle="1" w:styleId="Enttegche">
    <w:name w:val="Entête gche"/>
    <w:basedOn w:val="LO-Normal"/>
  </w:style>
  <w:style w:type="paragraph" w:customStyle="1" w:styleId="Enttemilieu">
    <w:name w:val="Entête milieu"/>
    <w:basedOn w:val="LO-Normal"/>
    <w:pPr>
      <w:jc w:val="center"/>
    </w:pPr>
    <w:rPr>
      <w:sz w:val="28"/>
    </w:rPr>
  </w:style>
  <w:style w:type="paragraph" w:customStyle="1" w:styleId="PagedegardeRdalia">
    <w:name w:val="Page de garde Rédalia"/>
    <w:basedOn w:val="LO-Normal"/>
    <w:next w:val="LO-Normal"/>
    <w:rPr>
      <w:b/>
      <w:sz w:val="28"/>
    </w:rPr>
  </w:style>
  <w:style w:type="paragraph" w:customStyle="1" w:styleId="Piedpagecentre">
    <w:name w:val="Piedpage centre"/>
    <w:basedOn w:val="LO-Normal"/>
    <w:pPr>
      <w:jc w:val="center"/>
    </w:pPr>
  </w:style>
  <w:style w:type="paragraph" w:customStyle="1" w:styleId="Piedpagedrte">
    <w:name w:val="Piedpage drte"/>
    <w:basedOn w:val="LO-Normal"/>
    <w:pPr>
      <w:jc w:val="right"/>
    </w:pPr>
  </w:style>
  <w:style w:type="paragraph" w:customStyle="1" w:styleId="Piedpagegche">
    <w:name w:val="Piedpage gche"/>
    <w:basedOn w:val="LO-Normal"/>
  </w:style>
  <w:style w:type="paragraph" w:customStyle="1" w:styleId="Tableau10centre">
    <w:name w:val="Tableau 10 centre"/>
    <w:basedOn w:val="LO-Normal"/>
    <w:pPr>
      <w:jc w:val="center"/>
    </w:pPr>
  </w:style>
  <w:style w:type="paragraph" w:customStyle="1" w:styleId="Tableau10drte">
    <w:name w:val="Tableau 10 drte"/>
    <w:basedOn w:val="LO-Normal"/>
    <w:pPr>
      <w:jc w:val="right"/>
    </w:pPr>
  </w:style>
  <w:style w:type="paragraph" w:customStyle="1" w:styleId="Tableau10gche">
    <w:name w:val="Tableau 10 gche"/>
    <w:basedOn w:val="LO-Normal"/>
  </w:style>
  <w:style w:type="paragraph" w:customStyle="1" w:styleId="Tableau11centre">
    <w:name w:val="Tableau 11 centre"/>
    <w:basedOn w:val="LO-Normal"/>
    <w:pPr>
      <w:jc w:val="center"/>
    </w:pPr>
  </w:style>
  <w:style w:type="paragraph" w:customStyle="1" w:styleId="Tableau11drte">
    <w:name w:val="Tableau 11 drte"/>
    <w:basedOn w:val="LO-Normal"/>
    <w:pPr>
      <w:jc w:val="right"/>
    </w:pPr>
  </w:style>
  <w:style w:type="paragraph" w:customStyle="1" w:styleId="Tableau11gche">
    <w:name w:val="Tableau 11 gche"/>
    <w:basedOn w:val="LO-Normal"/>
  </w:style>
  <w:style w:type="paragraph" w:customStyle="1" w:styleId="Tableau8centre">
    <w:name w:val="Tableau 8 centre"/>
    <w:basedOn w:val="LO-Normal"/>
    <w:pPr>
      <w:jc w:val="center"/>
    </w:pPr>
    <w:rPr>
      <w:sz w:val="16"/>
    </w:rPr>
  </w:style>
  <w:style w:type="paragraph" w:customStyle="1" w:styleId="Tableau8drte">
    <w:name w:val="Tableau 8 drte"/>
    <w:basedOn w:val="LO-Normal"/>
    <w:pPr>
      <w:jc w:val="right"/>
    </w:pPr>
    <w:rPr>
      <w:sz w:val="16"/>
    </w:rPr>
  </w:style>
  <w:style w:type="paragraph" w:customStyle="1" w:styleId="Tableau8gche">
    <w:name w:val="Tableau 8 gche"/>
    <w:basedOn w:val="LO-Normal"/>
    <w:rPr>
      <w:sz w:val="16"/>
    </w:rPr>
  </w:style>
  <w:style w:type="paragraph" w:customStyle="1" w:styleId="Contenudetableau">
    <w:name w:val="Contenu de tableau"/>
    <w:basedOn w:val="Normal"/>
    <w:pPr>
      <w:suppressLineNumbers/>
    </w:pPr>
  </w:style>
  <w:style w:type="paragraph" w:customStyle="1" w:styleId="Titredetableau">
    <w:name w:val="Titre de tableau"/>
    <w:basedOn w:val="Tableau11centre"/>
    <w:rPr>
      <w:b/>
    </w:rPr>
  </w:style>
  <w:style w:type="paragraph" w:customStyle="1" w:styleId="TitreN1">
    <w:name w:val="Titre N1"/>
    <w:basedOn w:val="Titre10"/>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TM11">
    <w:name w:val="TM 11"/>
    <w:basedOn w:val="Titre10"/>
    <w:next w:val="LO-Normal"/>
    <w:pPr>
      <w:keepNext w:val="0"/>
      <w:tabs>
        <w:tab w:val="right" w:leader="dot" w:pos="9072"/>
      </w:tabs>
      <w:spacing w:before="120" w:after="0"/>
    </w:pPr>
    <w:rPr>
      <w:sz w:val="24"/>
    </w:rPr>
  </w:style>
  <w:style w:type="paragraph" w:customStyle="1" w:styleId="TM21">
    <w:name w:val="TM 21"/>
    <w:basedOn w:val="Titre2"/>
    <w:next w:val="LO-Normal"/>
    <w:pPr>
      <w:keepNext w:val="0"/>
      <w:tabs>
        <w:tab w:val="right" w:leader="dot" w:pos="9072"/>
      </w:tabs>
      <w:spacing w:before="120" w:after="0"/>
      <w:ind w:left="198"/>
    </w:pPr>
    <w:rPr>
      <w:sz w:val="22"/>
      <w:u w:val="none"/>
    </w:rPr>
  </w:style>
  <w:style w:type="paragraph" w:customStyle="1" w:styleId="TM31">
    <w:name w:val="TM 31"/>
    <w:basedOn w:val="Titre3"/>
    <w:next w:val="LO-Normal"/>
    <w:pPr>
      <w:keepNext w:val="0"/>
      <w:tabs>
        <w:tab w:val="right" w:leader="dot" w:pos="9072"/>
      </w:tabs>
      <w:spacing w:before="120" w:after="0"/>
      <w:ind w:left="403"/>
    </w:pPr>
    <w:rPr>
      <w:sz w:val="20"/>
      <w:u w:val="none"/>
    </w:rPr>
  </w:style>
  <w:style w:type="paragraph" w:customStyle="1" w:styleId="TM41">
    <w:name w:val="TM 41"/>
    <w:basedOn w:val="Titre4"/>
    <w:next w:val="LO-Normal"/>
    <w:pPr>
      <w:keepNext w:val="0"/>
      <w:tabs>
        <w:tab w:val="right" w:leader="dot" w:pos="9072"/>
      </w:tabs>
      <w:spacing w:before="120" w:after="0"/>
      <w:ind w:left="601"/>
    </w:pPr>
    <w:rPr>
      <w:sz w:val="22"/>
    </w:rPr>
  </w:style>
  <w:style w:type="paragraph" w:customStyle="1" w:styleId="TM51">
    <w:name w:val="TM 51"/>
    <w:basedOn w:val="Titre5"/>
    <w:next w:val="LO-Normal"/>
    <w:pPr>
      <w:tabs>
        <w:tab w:val="right" w:leader="dot" w:pos="9072"/>
      </w:tabs>
      <w:spacing w:before="120" w:after="0"/>
      <w:ind w:left="799"/>
    </w:pPr>
  </w:style>
  <w:style w:type="paragraph" w:customStyle="1" w:styleId="CondInsert">
    <w:name w:val="Cond Insert"/>
    <w:basedOn w:val="LO-Normal"/>
    <w:next w:val="LO-Normal"/>
    <w:pPr>
      <w:tabs>
        <w:tab w:val="right" w:leader="dot" w:pos="9000"/>
      </w:tabs>
    </w:pPr>
    <w:rPr>
      <w:rFonts w:cs="Arial"/>
      <w:b/>
      <w:bCs/>
      <w:color w:val="0000FF"/>
    </w:rPr>
  </w:style>
  <w:style w:type="paragraph" w:customStyle="1" w:styleId="RdaliaCondens">
    <w:name w:val="Rédalia : Condensé"/>
    <w:basedOn w:val="LO-Normal"/>
    <w:pPr>
      <w:spacing w:before="40"/>
      <w:jc w:val="both"/>
    </w:pPr>
    <w:rPr>
      <w:sz w:val="16"/>
    </w:rPr>
  </w:style>
  <w:style w:type="paragraph" w:customStyle="1" w:styleId="RdaliaLgende">
    <w:name w:val="Rédalia : Légende"/>
    <w:basedOn w:val="LO-Normal"/>
    <w:pPr>
      <w:ind w:left="284" w:hanging="284"/>
      <w:jc w:val="both"/>
    </w:pPr>
    <w:rPr>
      <w:i/>
      <w:sz w:val="16"/>
    </w:rPr>
  </w:style>
  <w:style w:type="paragraph" w:customStyle="1" w:styleId="RedaliaNormal">
    <w:name w:val="Redalia : Normal"/>
    <w:basedOn w:val="LO-Normal"/>
    <w:pPr>
      <w:tabs>
        <w:tab w:val="left" w:leader="dot" w:pos="8505"/>
      </w:tabs>
      <w:spacing w:before="40"/>
      <w:jc w:val="both"/>
    </w:pPr>
  </w:style>
  <w:style w:type="paragraph" w:customStyle="1" w:styleId="RdaliaRetraitniveau1">
    <w:name w:val="Rédalia : Retrait niveau 1"/>
    <w:basedOn w:val="RedaliaNormal"/>
    <w:pPr>
      <w:numPr>
        <w:numId w:val="8"/>
      </w:numPr>
    </w:pPr>
  </w:style>
  <w:style w:type="paragraph" w:customStyle="1" w:styleId="RdaliaRetraitniveau2">
    <w:name w:val="Rédalia : Retrait niveau 2"/>
    <w:basedOn w:val="RedaliaNormal"/>
    <w:pPr>
      <w:numPr>
        <w:numId w:val="9"/>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LO-Normal"/>
    <w:pPr>
      <w:spacing w:before="40"/>
      <w:jc w:val="both"/>
    </w:pPr>
    <w:rPr>
      <w:b/>
      <w:sz w:val="18"/>
    </w:rPr>
  </w:style>
  <w:style w:type="paragraph" w:customStyle="1" w:styleId="RdaliaZonecandidat">
    <w:name w:val="Rédalia : Zone candidat"/>
    <w:basedOn w:val="LO-Normal"/>
    <w:pPr>
      <w:shd w:val="clear" w:color="auto" w:fill="00FFFF"/>
      <w:spacing w:before="40"/>
      <w:jc w:val="center"/>
    </w:pPr>
    <w:rPr>
      <w:sz w:val="18"/>
    </w:rPr>
  </w:style>
  <w:style w:type="paragraph" w:customStyle="1" w:styleId="Concilianormal">
    <w:name w:val="Concilia normal"/>
    <w:basedOn w:val="LO-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LO-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LO-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LO-Normal"/>
    <w:pPr>
      <w:jc w:val="left"/>
    </w:pPr>
  </w:style>
  <w:style w:type="paragraph" w:customStyle="1" w:styleId="STabCentre">
    <w:name w:val="STab Centre"/>
    <w:basedOn w:val="LO-Normal"/>
    <w:pPr>
      <w:jc w:val="center"/>
    </w:pPr>
  </w:style>
  <w:style w:type="paragraph" w:customStyle="1" w:styleId="LiaLibell">
    <w:name w:val="Lia_Libellé"/>
    <w:basedOn w:val="LO-Normal"/>
    <w:rPr>
      <w:b/>
    </w:rPr>
  </w:style>
  <w:style w:type="paragraph" w:customStyle="1" w:styleId="LiaDescription">
    <w:name w:val="Lia_Description"/>
    <w:basedOn w:val="LO-Normal"/>
  </w:style>
  <w:style w:type="paragraph" w:customStyle="1" w:styleId="LiaUnit">
    <w:name w:val="Lia_Unité"/>
    <w:basedOn w:val="LO-Normal"/>
    <w:rPr>
      <w:i/>
    </w:rPr>
  </w:style>
  <w:style w:type="paragraph" w:customStyle="1" w:styleId="DCENormal">
    <w:name w:val="DCE Normal"/>
    <w:basedOn w:val="LO-Normal"/>
    <w:pPr>
      <w:jc w:val="both"/>
    </w:pPr>
    <w:rPr>
      <w:sz w:val="24"/>
    </w:rPr>
  </w:style>
  <w:style w:type="paragraph" w:customStyle="1" w:styleId="DCETableau">
    <w:name w:val="DCE Tableau"/>
    <w:basedOn w:val="LO-Normal"/>
  </w:style>
  <w:style w:type="paragraph" w:customStyle="1" w:styleId="DCETitreTableau">
    <w:name w:val="DCE TitreTableau"/>
    <w:basedOn w:val="LO-Normal"/>
    <w:pPr>
      <w:jc w:val="center"/>
    </w:pPr>
    <w:rPr>
      <w:b/>
    </w:rPr>
  </w:style>
  <w:style w:type="paragraph" w:customStyle="1" w:styleId="GnliaMarquedeparagraphe">
    <w:name w:val="Génélia : Marque de paragraphe"/>
    <w:basedOn w:val="LO-Normal"/>
    <w:pPr>
      <w:keepNext/>
      <w:keepLines/>
      <w:tabs>
        <w:tab w:val="right" w:leader="dot" w:pos="10205"/>
      </w:tabs>
      <w:spacing w:before="40"/>
      <w:ind w:left="-1134"/>
      <w:jc w:val="both"/>
    </w:pPr>
    <w:rPr>
      <w:b/>
      <w:color w:val="008080"/>
    </w:rPr>
  </w:style>
  <w:style w:type="paragraph" w:customStyle="1" w:styleId="DGATitre1">
    <w:name w:val="DGA Titre1"/>
    <w:basedOn w:val="Titre10"/>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7"/>
      </w:numPr>
    </w:pPr>
  </w:style>
  <w:style w:type="paragraph" w:customStyle="1" w:styleId="RedaliaCentr">
    <w:name w:val="Redalia : Centré"/>
    <w:basedOn w:val="RedaliaNormal"/>
    <w:next w:val="RedaliaNormal"/>
    <w:pPr>
      <w:jc w:val="center"/>
    </w:pPr>
  </w:style>
  <w:style w:type="paragraph" w:customStyle="1" w:styleId="TM61">
    <w:name w:val="TM 61"/>
    <w:basedOn w:val="LO-Normal"/>
    <w:next w:val="LO-Normal"/>
    <w:autoRedefine/>
    <w:pPr>
      <w:ind w:left="1000"/>
    </w:pPr>
  </w:style>
  <w:style w:type="paragraph" w:customStyle="1" w:styleId="TM71">
    <w:name w:val="TM 71"/>
    <w:basedOn w:val="LO-Normal"/>
    <w:next w:val="LO-Normal"/>
    <w:autoRedefine/>
    <w:pPr>
      <w:ind w:left="1200"/>
    </w:pPr>
  </w:style>
  <w:style w:type="paragraph" w:customStyle="1" w:styleId="TM81">
    <w:name w:val="TM 81"/>
    <w:basedOn w:val="LO-Normal"/>
    <w:next w:val="LO-Normal"/>
    <w:autoRedefine/>
    <w:pPr>
      <w:ind w:left="1400"/>
    </w:pPr>
  </w:style>
  <w:style w:type="paragraph" w:customStyle="1" w:styleId="TM91">
    <w:name w:val="TM 91"/>
    <w:basedOn w:val="LO-Normal"/>
    <w:next w:val="LO-Normal"/>
    <w:autoRedefine/>
    <w:pPr>
      <w:ind w:left="1600"/>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2"/>
      </w:numPr>
      <w:tabs>
        <w:tab w:val="clear" w:pos="0"/>
        <w:tab w:val="left" w:pos="279"/>
        <w:tab w:val="left" w:pos="720"/>
      </w:tabs>
      <w:ind w:left="1413" w:hanging="284"/>
    </w:pPr>
  </w:style>
  <w:style w:type="paragraph" w:customStyle="1" w:styleId="RdaliaRetraitPuceniveau2">
    <w:name w:val="Rédalia : Retrait Puce niveau 2"/>
    <w:basedOn w:val="RedaliaNormal"/>
    <w:pPr>
      <w:numPr>
        <w:numId w:val="5"/>
      </w:numPr>
      <w:tabs>
        <w:tab w:val="clear" w:pos="8505"/>
        <w:tab w:val="left" w:pos="0"/>
      </w:tabs>
    </w:pPr>
  </w:style>
  <w:style w:type="paragraph" w:customStyle="1" w:styleId="RdaliaRetraitGrandepuce">
    <w:name w:val="Rédalia : Retrait Grande puce"/>
    <w:basedOn w:val="RedaliaNormal"/>
    <w:pPr>
      <w:numPr>
        <w:numId w:val="3"/>
      </w:numPr>
      <w:tabs>
        <w:tab w:val="clear" w:pos="8505"/>
        <w:tab w:val="left" w:pos="284"/>
        <w:tab w:val="left" w:pos="1060"/>
      </w:tabs>
      <w:ind w:left="284" w:firstLine="0"/>
    </w:pPr>
  </w:style>
  <w:style w:type="paragraph" w:customStyle="1" w:styleId="RedaliaRetraitPuceniveau1">
    <w:name w:val="Redalia : Retrait Puce niveau 1"/>
    <w:basedOn w:val="RedaliaNormal"/>
    <w:pPr>
      <w:numPr>
        <w:numId w:val="4"/>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0"/>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LO-Normal"/>
    <w:pPr>
      <w:overflowPunct w:val="0"/>
      <w:autoSpaceDE w:val="0"/>
    </w:pPr>
    <w:rPr>
      <w:color w:val="000000"/>
    </w:rPr>
  </w:style>
  <w:style w:type="paragraph" w:customStyle="1" w:styleId="Date1">
    <w:name w:val="Date1"/>
    <w:basedOn w:val="LO-Normal"/>
    <w:pPr>
      <w:overflowPunct w:val="0"/>
      <w:autoSpaceDE w:val="0"/>
      <w:spacing w:after="3940"/>
      <w:ind w:right="1701"/>
      <w:jc w:val="right"/>
    </w:pPr>
    <w:rPr>
      <w:color w:val="000000"/>
    </w:rPr>
  </w:style>
  <w:style w:type="paragraph" w:customStyle="1" w:styleId="Etat-icone">
    <w:name w:val="Etat - icone"/>
    <w:basedOn w:val="LO-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LO-Normal"/>
    <w:pPr>
      <w:jc w:val="right"/>
    </w:pPr>
    <w:rPr>
      <w:b/>
      <w:bCs/>
    </w:rPr>
  </w:style>
  <w:style w:type="paragraph" w:customStyle="1" w:styleId="rfrence">
    <w:name w:val="référence"/>
    <w:basedOn w:val="LO-Normal"/>
    <w:pPr>
      <w:overflowPunct w:val="0"/>
      <w:autoSpaceDE w:val="0"/>
    </w:pPr>
    <w:rPr>
      <w:color w:val="000000"/>
      <w:sz w:val="16"/>
      <w:szCs w:val="16"/>
    </w:rPr>
  </w:style>
  <w:style w:type="paragraph" w:styleId="Lgende">
    <w:name w:val="caption"/>
    <w:basedOn w:val="Normal"/>
    <w:qFormat/>
    <w:pPr>
      <w:suppressLineNumbers/>
      <w:spacing w:before="120" w:after="120"/>
    </w:pPr>
    <w:rPr>
      <w:i/>
      <w:iCs/>
    </w:rPr>
  </w:style>
  <w:style w:type="paragraph" w:customStyle="1" w:styleId="Tableau">
    <w:name w:val="Tableau"/>
    <w:basedOn w:val="LO-Normal"/>
    <w:rPr>
      <w:sz w:val="16"/>
      <w:szCs w:val="16"/>
    </w:rPr>
  </w:style>
  <w:style w:type="paragraph" w:customStyle="1" w:styleId="texte">
    <w:name w:val="texte"/>
    <w:basedOn w:val="LO-Normal"/>
    <w:pPr>
      <w:overflowPunct w:val="0"/>
      <w:autoSpaceDE w:val="0"/>
      <w:spacing w:before="120" w:after="120"/>
      <w:ind w:firstLine="680"/>
      <w:jc w:val="both"/>
    </w:pPr>
    <w:rPr>
      <w:color w:val="000000"/>
    </w:rPr>
  </w:style>
  <w:style w:type="paragraph" w:customStyle="1" w:styleId="Textepardfaut">
    <w:name w:val="Texte par défaut"/>
    <w:basedOn w:val="LO-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LO-Normal"/>
    <w:next w:val="LO-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LO-Normal"/>
    <w:autoRedefine/>
    <w:pPr>
      <w:numPr>
        <w:numId w:val="12"/>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LO-Normal"/>
    <w:autoRedefine/>
    <w:pPr>
      <w:numPr>
        <w:numId w:val="11"/>
      </w:numPr>
      <w:tabs>
        <w:tab w:val="left" w:pos="-153"/>
      </w:tabs>
      <w:spacing w:before="120" w:after="120"/>
      <w:jc w:val="both"/>
    </w:pPr>
    <w:rPr>
      <w:rFonts w:cs="Calibri"/>
      <w:b/>
      <w:bCs/>
      <w:sz w:val="24"/>
      <w:szCs w:val="28"/>
    </w:rPr>
  </w:style>
  <w:style w:type="paragraph" w:customStyle="1" w:styleId="redalianormal0">
    <w:name w:val="redalianormal"/>
    <w:basedOn w:val="LO-Normal"/>
    <w:pPr>
      <w:widowControl/>
      <w:spacing w:before="100" w:after="100"/>
    </w:pPr>
    <w:rPr>
      <w:rFonts w:ascii="Times New Roman" w:hAnsi="Times New Roman"/>
      <w:sz w:val="24"/>
      <w:szCs w:val="24"/>
    </w:rPr>
  </w:style>
  <w:style w:type="paragraph" w:styleId="Sansinterligne">
    <w:name w:val="No Spacing"/>
    <w:qFormat/>
    <w:pPr>
      <w:pBdr>
        <w:top w:val="none" w:sz="0" w:space="0" w:color="000000"/>
        <w:left w:val="none" w:sz="0" w:space="0" w:color="000000"/>
        <w:bottom w:val="none" w:sz="0" w:space="0" w:color="000000"/>
        <w:right w:val="none" w:sz="0" w:space="0" w:color="000000"/>
      </w:pBdr>
      <w:suppressAutoHyphens/>
      <w:textAlignment w:val="baseline"/>
    </w:pPr>
    <w:rPr>
      <w:rFonts w:ascii="Arial" w:hAnsi="Arial" w:cs="Arial"/>
      <w:sz w:val="22"/>
      <w:szCs w:val="22"/>
      <w:lang w:eastAsia="en-US"/>
    </w:rPr>
  </w:style>
  <w:style w:type="paragraph" w:styleId="Paragraphedeliste">
    <w:name w:val="List Paragraph"/>
    <w:basedOn w:val="LO-Normal"/>
    <w:qFormat/>
    <w:pPr>
      <w:ind w:left="720"/>
    </w:pPr>
  </w:style>
  <w:style w:type="paragraph" w:styleId="Sous-titre">
    <w:name w:val="Subtitle"/>
    <w:basedOn w:val="Titre1"/>
    <w:next w:val="LO-Normal"/>
    <w:qFormat/>
    <w:pPr>
      <w:numPr>
        <w:ilvl w:val="0"/>
        <w:numId w:val="0"/>
      </w:numPr>
    </w:pPr>
  </w:style>
  <w:style w:type="paragraph" w:styleId="Citation">
    <w:name w:val="Quote"/>
    <w:basedOn w:val="Sous-titre"/>
    <w:next w:val="LO-Normal"/>
    <w:qFormat/>
  </w:style>
  <w:style w:type="paragraph" w:styleId="Citationintense">
    <w:name w:val="Intense Quote"/>
    <w:basedOn w:val="Citation"/>
    <w:next w:val="LO-Normal"/>
    <w:qFormat/>
  </w:style>
  <w:style w:type="paragraph" w:customStyle="1" w:styleId="Date2">
    <w:name w:val="Date2"/>
    <w:basedOn w:val="LO-Normal"/>
    <w:pPr>
      <w:overflowPunct w:val="0"/>
      <w:autoSpaceDE w:val="0"/>
      <w:spacing w:after="3940"/>
      <w:ind w:right="1701"/>
      <w:jc w:val="right"/>
    </w:pPr>
    <w:rPr>
      <w:color w:val="000000"/>
    </w:rPr>
  </w:style>
  <w:style w:type="paragraph" w:customStyle="1" w:styleId="RedNomDoc">
    <w:name w:val="RedNomDoc"/>
    <w:basedOn w:val="Normal"/>
    <w:rsid w:val="00760704"/>
    <w:pPr>
      <w:widowControl w:val="0"/>
      <w:pBdr>
        <w:top w:val="none" w:sz="0" w:space="0" w:color="auto"/>
        <w:left w:val="none" w:sz="0" w:space="0" w:color="auto"/>
        <w:bottom w:val="none" w:sz="0" w:space="0" w:color="auto"/>
        <w:right w:val="none" w:sz="0" w:space="0" w:color="auto"/>
      </w:pBdr>
      <w:jc w:val="center"/>
      <w:textAlignment w:val="auto"/>
    </w:pPr>
    <w:rPr>
      <w:rFonts w:ascii="Arial" w:hAnsi="Arial"/>
      <w:b/>
      <w:snapToGrid w:val="0"/>
      <w:sz w:val="30"/>
    </w:rPr>
  </w:style>
  <w:style w:type="paragraph" w:customStyle="1" w:styleId="CCP-Titre1">
    <w:name w:val="CCP-Titre1"/>
    <w:basedOn w:val="RedaliaTitre1"/>
    <w:link w:val="CCP-Titre1Car"/>
    <w:autoRedefine/>
    <w:qFormat/>
    <w:rsid w:val="00EB2CAB"/>
    <w:pPr>
      <w:numPr>
        <w:numId w:val="25"/>
      </w:numPr>
      <w:pBdr>
        <w:top w:val="none" w:sz="0" w:space="0" w:color="auto"/>
        <w:left w:val="none" w:sz="0" w:space="0" w:color="auto"/>
        <w:bottom w:val="single" w:sz="4" w:space="0" w:color="385623" w:themeColor="accent6" w:themeShade="80"/>
        <w:right w:val="none" w:sz="0" w:space="0" w:color="auto"/>
      </w:pBdr>
      <w:textAlignment w:val="auto"/>
    </w:pPr>
    <w:rPr>
      <w:color w:val="385623" w:themeColor="accent6" w:themeShade="80"/>
      <w:sz w:val="28"/>
      <w:szCs w:val="28"/>
    </w:rPr>
  </w:style>
  <w:style w:type="character" w:customStyle="1" w:styleId="CCP-Titre1Car">
    <w:name w:val="CCP-Titre1 Car"/>
    <w:link w:val="CCP-Titre1"/>
    <w:rsid w:val="00EB2CAB"/>
    <w:rPr>
      <w:rFonts w:ascii="Arial" w:hAnsi="Arial"/>
      <w:b/>
      <w:color w:val="385623" w:themeColor="accent6" w:themeShade="80"/>
      <w:sz w:val="28"/>
      <w:szCs w:val="28"/>
    </w:rPr>
  </w:style>
  <w:style w:type="paragraph" w:customStyle="1" w:styleId="CCP-Titre2">
    <w:name w:val="CCP-Titre2"/>
    <w:basedOn w:val="RedaliaTitre2"/>
    <w:link w:val="CCP-Titre2Car"/>
    <w:autoRedefine/>
    <w:qFormat/>
    <w:rsid w:val="001B712D"/>
    <w:pPr>
      <w:numPr>
        <w:numId w:val="25"/>
      </w:numPr>
      <w:spacing w:before="180" w:after="180"/>
      <w:ind w:left="714" w:hanging="357"/>
    </w:pPr>
    <w:rPr>
      <w:rFonts w:ascii="Century Gothic" w:hAnsi="Century Gothic"/>
      <w:b/>
      <w:bCs/>
      <w:color w:val="3B3838" w:themeColor="background2" w:themeShade="40"/>
      <w:sz w:val="24"/>
      <w:szCs w:val="18"/>
    </w:rPr>
  </w:style>
  <w:style w:type="character" w:customStyle="1" w:styleId="LO-NormalCar">
    <w:name w:val="LO-Normal Car"/>
    <w:basedOn w:val="Policepardfaut"/>
    <w:link w:val="LO-Normal"/>
    <w:rsid w:val="00B30A40"/>
    <w:rPr>
      <w:rFonts w:ascii="Arial" w:hAnsi="Arial"/>
      <w:sz w:val="22"/>
    </w:rPr>
  </w:style>
  <w:style w:type="character" w:customStyle="1" w:styleId="RedaliaTitre2Car">
    <w:name w:val="Redalia Titre 2 Car"/>
    <w:basedOn w:val="LO-NormalCar"/>
    <w:link w:val="RedaliaTitre2"/>
    <w:rsid w:val="00B30A40"/>
    <w:rPr>
      <w:rFonts w:ascii="Arial" w:hAnsi="Arial"/>
      <w:sz w:val="28"/>
      <w:u w:val="single"/>
    </w:rPr>
  </w:style>
  <w:style w:type="character" w:customStyle="1" w:styleId="CCP-Titre2Car">
    <w:name w:val="CCP-Titre2 Car"/>
    <w:basedOn w:val="RedaliaTitre2Car"/>
    <w:link w:val="CCP-Titre2"/>
    <w:rsid w:val="001B712D"/>
    <w:rPr>
      <w:rFonts w:ascii="Century Gothic" w:hAnsi="Century Gothic"/>
      <w:b/>
      <w:bCs/>
      <w:color w:val="3B3838" w:themeColor="background2" w:themeShade="40"/>
      <w:sz w:val="24"/>
      <w:szCs w:val="18"/>
      <w:u w:val="single"/>
    </w:rPr>
  </w:style>
  <w:style w:type="numbering" w:customStyle="1" w:styleId="Style1">
    <w:name w:val="Style1"/>
    <w:uiPriority w:val="99"/>
    <w:rsid w:val="00742355"/>
    <w:pPr>
      <w:numPr>
        <w:numId w:val="20"/>
      </w:numPr>
    </w:pPr>
  </w:style>
  <w:style w:type="paragraph" w:customStyle="1" w:styleId="CCP-Titre3">
    <w:name w:val="CCP-Titre3"/>
    <w:basedOn w:val="CCP-Titre1"/>
    <w:link w:val="CCP-Titre3Car"/>
    <w:qFormat/>
    <w:rsid w:val="008C43EF"/>
    <w:pPr>
      <w:numPr>
        <w:ilvl w:val="2"/>
      </w:numPr>
      <w:pBdr>
        <w:bottom w:val="none" w:sz="0" w:space="0" w:color="auto"/>
      </w:pBdr>
      <w:spacing w:before="120" w:after="120"/>
      <w:ind w:left="1701" w:hanging="357"/>
    </w:pPr>
    <w:rPr>
      <w:rFonts w:ascii="Century Gothic" w:hAnsi="Century Gothic"/>
      <w:bCs/>
      <w:i/>
      <w:iCs/>
      <w:color w:val="auto"/>
      <w:sz w:val="22"/>
      <w:u w:val="single"/>
    </w:rPr>
  </w:style>
  <w:style w:type="numbering" w:customStyle="1" w:styleId="NumrotationAutoCCP">
    <w:name w:val="NumérotationAutoCCP"/>
    <w:uiPriority w:val="99"/>
    <w:rsid w:val="006678B8"/>
    <w:pPr>
      <w:numPr>
        <w:numId w:val="23"/>
      </w:numPr>
    </w:pPr>
  </w:style>
  <w:style w:type="character" w:customStyle="1" w:styleId="CCP-Titre3Car">
    <w:name w:val="CCP-Titre3 Car"/>
    <w:basedOn w:val="CCP-Titre1Car"/>
    <w:link w:val="CCP-Titre3"/>
    <w:rsid w:val="008C43EF"/>
    <w:rPr>
      <w:rFonts w:ascii="Century Gothic" w:hAnsi="Century Gothic"/>
      <w:b/>
      <w:bCs/>
      <w:i/>
      <w:iCs/>
      <w:color w:val="385623" w:themeColor="accent6" w:themeShade="80"/>
      <w:sz w:val="22"/>
      <w:szCs w:val="28"/>
      <w:u w:val="single"/>
    </w:rPr>
  </w:style>
  <w:style w:type="character" w:styleId="Textedelespacerserv">
    <w:name w:val="Placeholder Text"/>
    <w:uiPriority w:val="99"/>
    <w:semiHidden/>
    <w:rsid w:val="00A1214C"/>
    <w:rPr>
      <w:color w:val="808080"/>
    </w:rPr>
  </w:style>
  <w:style w:type="paragraph" w:customStyle="1" w:styleId="RedTxt">
    <w:name w:val="RedTxt"/>
    <w:basedOn w:val="Normal"/>
    <w:rsid w:val="001B712D"/>
    <w:pPr>
      <w:keepLines/>
      <w:widowControl w:val="0"/>
      <w:suppressAutoHyphens/>
      <w:textAlignment w:val="auto"/>
    </w:pPr>
    <w:rPr>
      <w:rFonts w:ascii="Arial" w:hAnsi="Arial" w:cs="Calibri"/>
      <w:sz w:val="18"/>
    </w:rPr>
  </w:style>
  <w:style w:type="character" w:styleId="Marquedecommentaire">
    <w:name w:val="annotation reference"/>
    <w:basedOn w:val="Policepardfaut"/>
    <w:uiPriority w:val="99"/>
    <w:semiHidden/>
    <w:unhideWhenUsed/>
    <w:rsid w:val="002C4FD9"/>
    <w:rPr>
      <w:sz w:val="16"/>
      <w:szCs w:val="16"/>
    </w:rPr>
  </w:style>
  <w:style w:type="paragraph" w:styleId="Commentaire">
    <w:name w:val="annotation text"/>
    <w:basedOn w:val="Normal"/>
    <w:link w:val="CommentaireCar"/>
    <w:uiPriority w:val="99"/>
    <w:unhideWhenUsed/>
    <w:rsid w:val="002C4FD9"/>
  </w:style>
  <w:style w:type="character" w:customStyle="1" w:styleId="CommentaireCar">
    <w:name w:val="Commentaire Car"/>
    <w:basedOn w:val="Policepardfaut"/>
    <w:link w:val="Commentaire"/>
    <w:uiPriority w:val="99"/>
    <w:rsid w:val="002C4FD9"/>
  </w:style>
  <w:style w:type="paragraph" w:styleId="Objetducommentaire">
    <w:name w:val="annotation subject"/>
    <w:basedOn w:val="Commentaire"/>
    <w:next w:val="Commentaire"/>
    <w:link w:val="ObjetducommentaireCar"/>
    <w:uiPriority w:val="99"/>
    <w:semiHidden/>
    <w:unhideWhenUsed/>
    <w:rsid w:val="002C4FD9"/>
    <w:rPr>
      <w:b/>
      <w:bCs/>
    </w:rPr>
  </w:style>
  <w:style w:type="character" w:customStyle="1" w:styleId="ObjetducommentaireCar">
    <w:name w:val="Objet du commentaire Car"/>
    <w:basedOn w:val="CommentaireCar"/>
    <w:link w:val="Objetducommentaire"/>
    <w:uiPriority w:val="99"/>
    <w:semiHidden/>
    <w:rsid w:val="002C4FD9"/>
    <w:rPr>
      <w:b/>
      <w:bCs/>
    </w:rPr>
  </w:style>
  <w:style w:type="paragraph" w:styleId="En-ttedetabledesmatires">
    <w:name w:val="TOC Heading"/>
    <w:basedOn w:val="Titre10"/>
    <w:next w:val="Normal"/>
    <w:uiPriority w:val="39"/>
    <w:unhideWhenUsed/>
    <w:qFormat/>
    <w:rsid w:val="00EE061F"/>
    <w:pPr>
      <w:keepLines/>
      <w:widowControl/>
      <w:pBdr>
        <w:top w:val="none" w:sz="0" w:space="0" w:color="auto"/>
        <w:left w:val="none" w:sz="0" w:space="0" w:color="auto"/>
        <w:bottom w:val="none" w:sz="0" w:space="0" w:color="auto"/>
        <w:right w:val="none" w:sz="0" w:space="0" w:color="auto"/>
      </w:pBdr>
      <w:suppressAutoHyphens w:val="0"/>
      <w:spacing w:after="0" w:line="259" w:lineRule="auto"/>
      <w:textAlignment w:val="auto"/>
      <w:outlineLvl w:val="9"/>
    </w:pPr>
    <w:rPr>
      <w:rFonts w:asciiTheme="majorHAnsi" w:eastAsiaTheme="majorEastAsia" w:hAnsiTheme="majorHAnsi" w:cstheme="majorBidi"/>
      <w:b w:val="0"/>
      <w:color w:val="2F5496" w:themeColor="accent1" w:themeShade="BF"/>
      <w:kern w:val="0"/>
      <w:szCs w:val="32"/>
    </w:rPr>
  </w:style>
  <w:style w:type="paragraph" w:styleId="TM1">
    <w:name w:val="toc 1"/>
    <w:basedOn w:val="Normal"/>
    <w:next w:val="Normal"/>
    <w:autoRedefine/>
    <w:uiPriority w:val="39"/>
    <w:unhideWhenUsed/>
    <w:rsid w:val="00EE061F"/>
    <w:pPr>
      <w:spacing w:after="100"/>
    </w:pPr>
    <w:rPr>
      <w:rFonts w:ascii="Century Gothic" w:hAnsi="Century Gothic"/>
      <w:b/>
    </w:rPr>
  </w:style>
  <w:style w:type="paragraph" w:styleId="TM2">
    <w:name w:val="toc 2"/>
    <w:basedOn w:val="Normal"/>
    <w:next w:val="Normal"/>
    <w:autoRedefine/>
    <w:uiPriority w:val="39"/>
    <w:unhideWhenUsed/>
    <w:rsid w:val="00391ABD"/>
    <w:pPr>
      <w:tabs>
        <w:tab w:val="right" w:leader="dot" w:pos="9060"/>
      </w:tabs>
      <w:spacing w:after="100"/>
      <w:ind w:left="200"/>
    </w:pPr>
    <w:rPr>
      <w:rFonts w:ascii="Century Gothic" w:hAnsi="Century Gothic"/>
    </w:rPr>
  </w:style>
  <w:style w:type="table" w:styleId="Grilledutableau">
    <w:name w:val="Table Grid"/>
    <w:basedOn w:val="TableauNormal"/>
    <w:uiPriority w:val="39"/>
    <w:rsid w:val="00684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391ABD"/>
    <w:pPr>
      <w:spacing w:after="100"/>
      <w:ind w:left="680"/>
    </w:pPr>
    <w:rPr>
      <w:rFonts w:ascii="Century Gothic" w:hAnsi="Century Gothic"/>
      <w:sz w:val="18"/>
    </w:rPr>
  </w:style>
  <w:style w:type="paragraph" w:customStyle="1" w:styleId="fcase1ertab">
    <w:name w:val="f_case_1ertab"/>
    <w:basedOn w:val="Normal"/>
    <w:rsid w:val="00244C57"/>
    <w:pPr>
      <w:pBdr>
        <w:top w:val="none" w:sz="0" w:space="0" w:color="auto"/>
        <w:left w:val="none" w:sz="0" w:space="0" w:color="auto"/>
        <w:bottom w:val="none" w:sz="0" w:space="0" w:color="auto"/>
        <w:right w:val="none" w:sz="0" w:space="0" w:color="auto"/>
      </w:pBdr>
      <w:tabs>
        <w:tab w:val="left" w:pos="426"/>
      </w:tabs>
      <w:suppressAutoHyphens/>
      <w:ind w:left="709" w:hanging="709"/>
      <w:jc w:val="both"/>
      <w:textAlignment w:val="auto"/>
    </w:pPr>
    <w:rPr>
      <w:rFonts w:ascii="Univers" w:hAnsi="Univers" w:cs="Univers"/>
      <w:lang w:eastAsia="zh-CN"/>
    </w:rPr>
  </w:style>
  <w:style w:type="paragraph" w:customStyle="1" w:styleId="CharCharCharCharCharCarCarCarCarCarCarCarCarCarCar">
    <w:name w:val="Char Char Char Char Char Car Car Car Car Car Car Car Car Car Car"/>
    <w:basedOn w:val="Normal"/>
    <w:rsid w:val="000C3DAD"/>
    <w:pPr>
      <w:pBdr>
        <w:top w:val="none" w:sz="0" w:space="0" w:color="auto"/>
        <w:left w:val="none" w:sz="0" w:space="0" w:color="auto"/>
        <w:bottom w:val="none" w:sz="0" w:space="0" w:color="auto"/>
        <w:right w:val="none" w:sz="0" w:space="0" w:color="auto"/>
      </w:pBdr>
      <w:spacing w:after="160" w:line="240" w:lineRule="exact"/>
      <w:textAlignment w:val="auto"/>
    </w:pPr>
    <w:rPr>
      <w:rFonts w:ascii="Verdana" w:hAnsi="Verdana"/>
      <w:lang w:val="en-US" w:eastAsia="en-US"/>
    </w:rPr>
  </w:style>
  <w:style w:type="paragraph" w:styleId="Rvision">
    <w:name w:val="Revision"/>
    <w:hidden/>
    <w:uiPriority w:val="99"/>
    <w:semiHidden/>
    <w:rsid w:val="00B841D9"/>
  </w:style>
  <w:style w:type="paragraph" w:customStyle="1" w:styleId="CharCharCharCharCharCarCarCarCarCarCarCarCarCarCar0">
    <w:name w:val="Char Char Char Char Char Car Car Car Car Car Car Car Car Car Car"/>
    <w:basedOn w:val="Normal"/>
    <w:rsid w:val="00B603C1"/>
    <w:pPr>
      <w:pBdr>
        <w:top w:val="none" w:sz="0" w:space="0" w:color="auto"/>
        <w:left w:val="none" w:sz="0" w:space="0" w:color="auto"/>
        <w:bottom w:val="none" w:sz="0" w:space="0" w:color="auto"/>
        <w:right w:val="none" w:sz="0" w:space="0" w:color="auto"/>
      </w:pBdr>
      <w:spacing w:after="160" w:line="240" w:lineRule="exact"/>
      <w:textAlignment w:val="auto"/>
    </w:pPr>
    <w:rPr>
      <w:rFonts w:ascii="Verdana" w:hAnsi="Verdana"/>
      <w:lang w:val="en-US" w:eastAsia="en-US"/>
    </w:rPr>
  </w:style>
  <w:style w:type="paragraph" w:customStyle="1" w:styleId="CharCharCharCharCharCarCarCarCarCarCarCarCarCarCar1">
    <w:name w:val="Char Char Char Char Char Car Car Car Car Car Car Car Car Car Car"/>
    <w:basedOn w:val="Normal"/>
    <w:rsid w:val="00FB2AEC"/>
    <w:pPr>
      <w:pBdr>
        <w:top w:val="none" w:sz="0" w:space="0" w:color="auto"/>
        <w:left w:val="none" w:sz="0" w:space="0" w:color="auto"/>
        <w:bottom w:val="none" w:sz="0" w:space="0" w:color="auto"/>
        <w:right w:val="none" w:sz="0" w:space="0" w:color="auto"/>
      </w:pBdr>
      <w:spacing w:after="160" w:line="240" w:lineRule="exact"/>
      <w:textAlignment w:val="auto"/>
    </w:pPr>
    <w:rPr>
      <w:rFonts w:ascii="Verdana" w:hAnsi="Verdana"/>
      <w:lang w:val="en-US" w:eastAsia="en-US"/>
    </w:rPr>
  </w:style>
  <w:style w:type="paragraph" w:customStyle="1" w:styleId="CharCharCharCharCharCarCarCarCarCarCarCarCarCarCar2">
    <w:name w:val="Char Char Char Char Char Car Car Car Car Car Car Car Car Car Car"/>
    <w:basedOn w:val="Normal"/>
    <w:rsid w:val="001C780C"/>
    <w:pPr>
      <w:pBdr>
        <w:top w:val="none" w:sz="0" w:space="0" w:color="auto"/>
        <w:left w:val="none" w:sz="0" w:space="0" w:color="auto"/>
        <w:bottom w:val="none" w:sz="0" w:space="0" w:color="auto"/>
        <w:right w:val="none" w:sz="0" w:space="0" w:color="auto"/>
      </w:pBdr>
      <w:spacing w:after="160" w:line="240" w:lineRule="exact"/>
      <w:textAlignment w:val="auto"/>
    </w:pPr>
    <w:rPr>
      <w:rFonts w:ascii="Verdana" w:hAnsi="Verdana"/>
      <w:lang w:val="en-US" w:eastAsia="en-US"/>
    </w:rPr>
  </w:style>
  <w:style w:type="paragraph" w:customStyle="1" w:styleId="CharCharCharCharCharCarCarCarCarCarCarCarCarCarCar3">
    <w:name w:val="Char Char Char Char Char Car Car Car Car Car Car Car Car Car Car"/>
    <w:basedOn w:val="Normal"/>
    <w:rsid w:val="00287A5A"/>
    <w:pPr>
      <w:pBdr>
        <w:top w:val="none" w:sz="0" w:space="0" w:color="auto"/>
        <w:left w:val="none" w:sz="0" w:space="0" w:color="auto"/>
        <w:bottom w:val="none" w:sz="0" w:space="0" w:color="auto"/>
        <w:right w:val="none" w:sz="0" w:space="0" w:color="auto"/>
      </w:pBdr>
      <w:spacing w:after="160" w:line="240" w:lineRule="exact"/>
      <w:textAlignment w:val="auto"/>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protection.donnees@eau-rhin-meuse.fr"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énéral"/>
          <w:gallery w:val="placeholder"/>
        </w:category>
        <w:types>
          <w:type w:val="bbPlcHdr"/>
        </w:types>
        <w:behaviors>
          <w:behavior w:val="content"/>
        </w:behaviors>
        <w:guid w:val="{36CD936D-550C-42A1-96EA-943B48E6E7FF}"/>
      </w:docPartPr>
      <w:docPartBody>
        <w:p w:rsidR="005A093B" w:rsidRDefault="00194E99">
          <w:r w:rsidRPr="000D13DF">
            <w:rPr>
              <w:rStyle w:val="Textedelespacerserv"/>
            </w:rPr>
            <w:t>Choisissez un élément.</w:t>
          </w:r>
        </w:p>
      </w:docPartBody>
    </w:docPart>
    <w:docPart>
      <w:docPartPr>
        <w:name w:val="56D7FD44682E4FDA8D2749908CA6FF0D"/>
        <w:category>
          <w:name w:val="Général"/>
          <w:gallery w:val="placeholder"/>
        </w:category>
        <w:types>
          <w:type w:val="bbPlcHdr"/>
        </w:types>
        <w:behaviors>
          <w:behavior w:val="content"/>
        </w:behaviors>
        <w:guid w:val="{05353476-EBD4-4D51-BD1A-65AA4AF8D3C6}"/>
      </w:docPartPr>
      <w:docPartBody>
        <w:p w:rsidR="005A093B" w:rsidRDefault="00194E99" w:rsidP="00194E99">
          <w:pPr>
            <w:pStyle w:val="56D7FD44682E4FDA8D2749908CA6FF0D"/>
          </w:pPr>
          <w:r w:rsidRPr="000D13DF">
            <w:rPr>
              <w:rStyle w:val="Textedelespacerserv"/>
            </w:rPr>
            <w:t>Choisissez un élément.</w:t>
          </w:r>
        </w:p>
      </w:docPartBody>
    </w:docPart>
    <w:docPart>
      <w:docPartPr>
        <w:name w:val="9358144C0F534C0396DCFEA217CE7FE2"/>
        <w:category>
          <w:name w:val="Général"/>
          <w:gallery w:val="placeholder"/>
        </w:category>
        <w:types>
          <w:type w:val="bbPlcHdr"/>
        </w:types>
        <w:behaviors>
          <w:behavior w:val="content"/>
        </w:behaviors>
        <w:guid w:val="{333E0079-BD3D-4CC1-95C0-AF5971804982}"/>
      </w:docPartPr>
      <w:docPartBody>
        <w:p w:rsidR="005A093B" w:rsidRDefault="00194E99" w:rsidP="00194E99">
          <w:pPr>
            <w:pStyle w:val="9358144C0F534C0396DCFEA217CE7FE2"/>
          </w:pPr>
          <w:r w:rsidRPr="00735FBF">
            <w:rPr>
              <w:rStyle w:val="Textedelespacerserv"/>
              <w:highlight w:val="green"/>
            </w:rPr>
            <w:t>Choisissez un élément.</w:t>
          </w:r>
        </w:p>
      </w:docPartBody>
    </w:docPart>
    <w:docPart>
      <w:docPartPr>
        <w:name w:val="EF5041D748E9494DB3D2AC702EC1521F"/>
        <w:category>
          <w:name w:val="Général"/>
          <w:gallery w:val="placeholder"/>
        </w:category>
        <w:types>
          <w:type w:val="bbPlcHdr"/>
        </w:types>
        <w:behaviors>
          <w:behavior w:val="content"/>
        </w:behaviors>
        <w:guid w:val="{9AD57AE5-B676-447E-940D-7B07184B93B1}"/>
      </w:docPartPr>
      <w:docPartBody>
        <w:p w:rsidR="005A093B" w:rsidRDefault="00194E99" w:rsidP="00194E99">
          <w:pPr>
            <w:pStyle w:val="EF5041D748E9494DB3D2AC702EC1521F"/>
          </w:pPr>
          <w:r w:rsidRPr="00CE0076">
            <w:rPr>
              <w:rStyle w:val="Textedelespacerserv"/>
              <w:highlight w:val="green"/>
            </w:rPr>
            <w:t>Choisissez un élément.</w:t>
          </w:r>
        </w:p>
      </w:docPartBody>
    </w:docPart>
    <w:docPart>
      <w:docPartPr>
        <w:name w:val="3B693A7553374D27AA33282DFF582769"/>
        <w:category>
          <w:name w:val="Général"/>
          <w:gallery w:val="placeholder"/>
        </w:category>
        <w:types>
          <w:type w:val="bbPlcHdr"/>
        </w:types>
        <w:behaviors>
          <w:behavior w:val="content"/>
        </w:behaviors>
        <w:guid w:val="{A6BD747B-D96D-4166-A07B-E7C65CE1E8C1}"/>
      </w:docPartPr>
      <w:docPartBody>
        <w:p w:rsidR="005A093B" w:rsidRDefault="00194E99" w:rsidP="00194E99">
          <w:pPr>
            <w:pStyle w:val="3B693A7553374D27AA33282DFF582769"/>
          </w:pPr>
          <w:r w:rsidRPr="00CE0076">
            <w:rPr>
              <w:rStyle w:val="Textedelespacerserv"/>
              <w:highlight w:val="green"/>
            </w:rPr>
            <w:t>Choisissez un élément.</w:t>
          </w:r>
        </w:p>
      </w:docPartBody>
    </w:docPart>
    <w:docPart>
      <w:docPartPr>
        <w:name w:val="C21B2EEE61CA42678802AD3AA7B347C6"/>
        <w:category>
          <w:name w:val="Général"/>
          <w:gallery w:val="placeholder"/>
        </w:category>
        <w:types>
          <w:type w:val="bbPlcHdr"/>
        </w:types>
        <w:behaviors>
          <w:behavior w:val="content"/>
        </w:behaviors>
        <w:guid w:val="{1FBF7DC7-1763-4588-81C3-650D31D0120F}"/>
      </w:docPartPr>
      <w:docPartBody>
        <w:p w:rsidR="005A093B" w:rsidRDefault="00194E99" w:rsidP="00194E99">
          <w:pPr>
            <w:pStyle w:val="C21B2EEE61CA42678802AD3AA7B347C6"/>
          </w:pPr>
          <w:r w:rsidRPr="00CE0076">
            <w:rPr>
              <w:rStyle w:val="Textedelespacerserv"/>
              <w:highlight w:val="green"/>
            </w:rPr>
            <w:t>Choisissez un élément.</w:t>
          </w:r>
        </w:p>
      </w:docPartBody>
    </w:docPart>
    <w:docPart>
      <w:docPartPr>
        <w:name w:val="9F32E7CCB00F4A0884713EB872F1DA35"/>
        <w:category>
          <w:name w:val="Général"/>
          <w:gallery w:val="placeholder"/>
        </w:category>
        <w:types>
          <w:type w:val="bbPlcHdr"/>
        </w:types>
        <w:behaviors>
          <w:behavior w:val="content"/>
        </w:behaviors>
        <w:guid w:val="{C0FA924F-0EDA-49B3-99E0-B6F130148C0C}"/>
      </w:docPartPr>
      <w:docPartBody>
        <w:p w:rsidR="005A093B" w:rsidRDefault="00194E99" w:rsidP="00194E99">
          <w:pPr>
            <w:pStyle w:val="9F32E7CCB00F4A0884713EB872F1DA35"/>
          </w:pPr>
          <w:r w:rsidRPr="00AF2272">
            <w:rPr>
              <w:rFonts w:ascii="Arial" w:hAnsi="Arial" w:cs="Times New Roman"/>
              <w:snapToGrid w:val="0"/>
              <w:highlight w:val="yellow"/>
            </w:rPr>
            <w:t>Choisissez un élément.</w:t>
          </w:r>
        </w:p>
      </w:docPartBody>
    </w:docPart>
    <w:docPart>
      <w:docPartPr>
        <w:name w:val="1869BC4C3BBD42E1906B5DA651A0E01C"/>
        <w:category>
          <w:name w:val="Général"/>
          <w:gallery w:val="placeholder"/>
        </w:category>
        <w:types>
          <w:type w:val="bbPlcHdr"/>
        </w:types>
        <w:behaviors>
          <w:behavior w:val="content"/>
        </w:behaviors>
        <w:guid w:val="{3916E9AD-1649-4E22-80DD-0416DE8144D2}"/>
      </w:docPartPr>
      <w:docPartBody>
        <w:p w:rsidR="005A093B" w:rsidRDefault="00194E99" w:rsidP="00194E99">
          <w:pPr>
            <w:pStyle w:val="1869BC4C3BBD42E1906B5DA651A0E01C"/>
          </w:pPr>
          <w:r w:rsidRPr="00CE0076">
            <w:rPr>
              <w:rStyle w:val="Textedelespacerserv"/>
              <w:highlight w:val="green"/>
            </w:rPr>
            <w:t>Choisissez un élément.</w:t>
          </w:r>
        </w:p>
      </w:docPartBody>
    </w:docPart>
    <w:docPart>
      <w:docPartPr>
        <w:name w:val="5850DC32A36F46348494EA33A8E65723"/>
        <w:category>
          <w:name w:val="Général"/>
          <w:gallery w:val="placeholder"/>
        </w:category>
        <w:types>
          <w:type w:val="bbPlcHdr"/>
        </w:types>
        <w:behaviors>
          <w:behavior w:val="content"/>
        </w:behaviors>
        <w:guid w:val="{EBD98B11-4EBF-4A04-B134-C16E32F68993}"/>
      </w:docPartPr>
      <w:docPartBody>
        <w:p w:rsidR="000B0FAB" w:rsidRDefault="000B0FAB" w:rsidP="000B0FAB">
          <w:pPr>
            <w:pStyle w:val="5850DC32A36F46348494EA33A8E65723"/>
          </w:pPr>
          <w:r w:rsidRPr="00AF2272">
            <w:rPr>
              <w:rFonts w:ascii="Arial" w:hAnsi="Arial" w:cs="Times New Roman"/>
              <w:snapToGrid w:val="0"/>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E99"/>
    <w:rsid w:val="000B0FAB"/>
    <w:rsid w:val="00194E99"/>
    <w:rsid w:val="001E07A1"/>
    <w:rsid w:val="0030071F"/>
    <w:rsid w:val="00377065"/>
    <w:rsid w:val="00423BA8"/>
    <w:rsid w:val="005A093B"/>
    <w:rsid w:val="005F5DC0"/>
    <w:rsid w:val="00616EDC"/>
    <w:rsid w:val="00627185"/>
    <w:rsid w:val="00705EC1"/>
    <w:rsid w:val="00717908"/>
    <w:rsid w:val="00734710"/>
    <w:rsid w:val="00780FA3"/>
    <w:rsid w:val="008665AF"/>
    <w:rsid w:val="00904649"/>
    <w:rsid w:val="009269AD"/>
    <w:rsid w:val="0095273B"/>
    <w:rsid w:val="0096151D"/>
    <w:rsid w:val="00B3630B"/>
    <w:rsid w:val="00B61AAD"/>
    <w:rsid w:val="00B65150"/>
    <w:rsid w:val="00C60B73"/>
    <w:rsid w:val="00E11973"/>
    <w:rsid w:val="00E35BFA"/>
    <w:rsid w:val="00E9488C"/>
    <w:rsid w:val="00E952FB"/>
    <w:rsid w:val="00EF56CA"/>
    <w:rsid w:val="00F960ED"/>
    <w:rsid w:val="00FE11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9488C"/>
    <w:rPr>
      <w:color w:val="808080"/>
    </w:rPr>
  </w:style>
  <w:style w:type="paragraph" w:customStyle="1" w:styleId="56D7FD44682E4FDA8D2749908CA6FF0D">
    <w:name w:val="56D7FD44682E4FDA8D2749908CA6FF0D"/>
    <w:rsid w:val="00194E99"/>
  </w:style>
  <w:style w:type="paragraph" w:customStyle="1" w:styleId="9358144C0F534C0396DCFEA217CE7FE2">
    <w:name w:val="9358144C0F534C0396DCFEA217CE7FE2"/>
    <w:rsid w:val="00194E99"/>
  </w:style>
  <w:style w:type="paragraph" w:customStyle="1" w:styleId="EF5041D748E9494DB3D2AC702EC1521F">
    <w:name w:val="EF5041D748E9494DB3D2AC702EC1521F"/>
    <w:rsid w:val="00194E99"/>
  </w:style>
  <w:style w:type="paragraph" w:customStyle="1" w:styleId="3B693A7553374D27AA33282DFF582769">
    <w:name w:val="3B693A7553374D27AA33282DFF582769"/>
    <w:rsid w:val="00194E99"/>
  </w:style>
  <w:style w:type="paragraph" w:customStyle="1" w:styleId="C21B2EEE61CA42678802AD3AA7B347C6">
    <w:name w:val="C21B2EEE61CA42678802AD3AA7B347C6"/>
    <w:rsid w:val="00194E99"/>
  </w:style>
  <w:style w:type="paragraph" w:customStyle="1" w:styleId="9F32E7CCB00F4A0884713EB872F1DA35">
    <w:name w:val="9F32E7CCB00F4A0884713EB872F1DA35"/>
    <w:rsid w:val="00194E99"/>
  </w:style>
  <w:style w:type="paragraph" w:customStyle="1" w:styleId="1869BC4C3BBD42E1906B5DA651A0E01C">
    <w:name w:val="1869BC4C3BBD42E1906B5DA651A0E01C"/>
    <w:rsid w:val="00194E99"/>
  </w:style>
  <w:style w:type="paragraph" w:customStyle="1" w:styleId="5850DC32A36F46348494EA33A8E65723">
    <w:name w:val="5850DC32A36F46348494EA33A8E65723"/>
    <w:rsid w:val="000B0FA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1E640-300B-4C81-BE81-5630976B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6927</Words>
  <Characters>38100</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44938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cp:lastModifiedBy>WEINBERG Valérie</cp:lastModifiedBy>
  <cp:revision>5</cp:revision>
  <cp:lastPrinted>2024-10-02T06:43:00Z</cp:lastPrinted>
  <dcterms:created xsi:type="dcterms:W3CDTF">2024-11-22T15:50:00Z</dcterms:created>
  <dcterms:modified xsi:type="dcterms:W3CDTF">2024-12-04T14:59:00Z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ElementContenant">
    <vt:lpwstr>CCAP_SRV</vt:lpwstr>
  </property>
  <property fmtid="{D5CDD505-2E9C-101B-9397-08002B2CF9AE}" pid="5" name="ElementPrecedent">
    <vt:lpwstr>GenrePPFormeQuatre</vt:lpwstr>
  </property>
  <property fmtid="{D5CDD505-2E9C-101B-9397-08002B2CF9AE}" pid="6" name="IdentifiantEdition">
    <vt:lpwstr>CCAP_SRV</vt:lpwstr>
  </property>
  <property fmtid="{D5CDD505-2E9C-101B-9397-08002B2CF9AE}" pid="7" name="NomSegment">
    <vt:lpwstr>TypeContrat_01</vt:lpwstr>
  </property>
  <property fmtid="{D5CDD505-2E9C-101B-9397-08002B2CF9AE}" pid="8" name="NouveauElement">
    <vt:lpwstr>TypeContrat_76</vt:lpwstr>
  </property>
  <property fmtid="{D5CDD505-2E9C-101B-9397-08002B2CF9AE}" pid="9" name="ResultatCommande">
    <vt:lpwstr>Ok</vt:lpwstr>
  </property>
</Properties>
</file>