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7B212" w14:textId="24FD1E4B" w:rsidR="003C7A9C" w:rsidRPr="006A01EA" w:rsidRDefault="00B91F47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single"/>
        </w:rPr>
      </w:pPr>
      <w:r w:rsidRPr="006A01EA">
        <w:rPr>
          <w:rFonts w:asciiTheme="majorHAnsi" w:hAnsiTheme="majorHAnsi" w:cstheme="majorHAnsi"/>
          <w:b/>
          <w:bCs/>
          <w:szCs w:val="22"/>
          <w:u w:val="single"/>
        </w:rPr>
        <w:t xml:space="preserve">- ANNEXE </w:t>
      </w:r>
      <w:r w:rsidR="00E846BB">
        <w:rPr>
          <w:rFonts w:asciiTheme="majorHAnsi" w:hAnsiTheme="majorHAnsi" w:cstheme="majorHAnsi"/>
          <w:b/>
          <w:bCs/>
          <w:szCs w:val="22"/>
          <w:u w:val="single"/>
        </w:rPr>
        <w:t>4</w:t>
      </w:r>
      <w:r w:rsidRPr="006A01EA">
        <w:rPr>
          <w:rFonts w:asciiTheme="majorHAnsi" w:hAnsiTheme="majorHAnsi" w:cstheme="majorHAnsi"/>
          <w:b/>
          <w:bCs/>
          <w:szCs w:val="22"/>
          <w:u w:val="single"/>
        </w:rPr>
        <w:t xml:space="preserve"> AU CCP -</w:t>
      </w:r>
    </w:p>
    <w:p w14:paraId="0787217A" w14:textId="77777777" w:rsidR="009F4181" w:rsidRPr="006A01EA" w:rsidRDefault="009F4181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single"/>
        </w:rPr>
      </w:pPr>
    </w:p>
    <w:p w14:paraId="661BFCFD" w14:textId="77777777" w:rsidR="003C7A9C" w:rsidRPr="006A01EA" w:rsidRDefault="003C7A9C" w:rsidP="00D4562B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5AC5748A" w14:textId="77777777" w:rsidR="003C7A9C" w:rsidRPr="006A01EA" w:rsidRDefault="009F4181" w:rsidP="00D4562B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double"/>
        </w:rPr>
      </w:pPr>
      <w:r w:rsidRPr="006A01EA">
        <w:rPr>
          <w:rFonts w:asciiTheme="majorHAnsi" w:hAnsiTheme="majorHAnsi" w:cstheme="majorHAnsi"/>
          <w:b/>
          <w:bCs/>
          <w:szCs w:val="22"/>
          <w:u w:val="double"/>
        </w:rPr>
        <w:t>- CADRE DE</w:t>
      </w:r>
      <w:r w:rsidR="003C7A9C" w:rsidRPr="006A01EA">
        <w:rPr>
          <w:rFonts w:asciiTheme="majorHAnsi" w:hAnsiTheme="majorHAnsi" w:cstheme="majorHAnsi"/>
          <w:b/>
          <w:bCs/>
          <w:szCs w:val="22"/>
          <w:u w:val="double"/>
        </w:rPr>
        <w:t xml:space="preserve"> </w:t>
      </w:r>
      <w:r w:rsidR="00B91F47" w:rsidRPr="006A01EA">
        <w:rPr>
          <w:rFonts w:asciiTheme="majorHAnsi" w:hAnsiTheme="majorHAnsi" w:cstheme="majorHAnsi"/>
          <w:b/>
          <w:bCs/>
          <w:szCs w:val="22"/>
          <w:u w:val="double"/>
        </w:rPr>
        <w:t>REPONSES</w:t>
      </w:r>
      <w:r w:rsidR="003C7A9C" w:rsidRPr="006A01EA">
        <w:rPr>
          <w:rFonts w:asciiTheme="majorHAnsi" w:hAnsiTheme="majorHAnsi" w:cstheme="majorHAnsi"/>
          <w:b/>
          <w:bCs/>
          <w:szCs w:val="22"/>
          <w:u w:val="double"/>
        </w:rPr>
        <w:t xml:space="preserve"> -</w:t>
      </w:r>
    </w:p>
    <w:p w14:paraId="6414AAEC" w14:textId="77777777" w:rsidR="003C7A9C" w:rsidRPr="006A01EA" w:rsidRDefault="003C7A9C" w:rsidP="00D4562B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07EE02F1" w14:textId="77777777" w:rsidR="009F4181" w:rsidRPr="006A01EA" w:rsidRDefault="009F4181" w:rsidP="00D4562B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A REMETTRE COMPLETE AVEC L’OFFRE</w:t>
      </w:r>
    </w:p>
    <w:p w14:paraId="50F39DE8" w14:textId="77777777" w:rsidR="009F4181" w:rsidRPr="006A01EA" w:rsidRDefault="009F4181" w:rsidP="00D4562B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2CFDBCA0" w14:textId="77777777" w:rsidR="009F4181" w:rsidRPr="006A01EA" w:rsidRDefault="009F4181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1D3A1CD2" w14:textId="77777777" w:rsidR="003C7A9C" w:rsidRPr="006A01EA" w:rsidRDefault="003C7A9C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Cs w:val="22"/>
        </w:rPr>
      </w:pPr>
      <w:r w:rsidRPr="006A01EA">
        <w:rPr>
          <w:rFonts w:asciiTheme="majorHAnsi" w:hAnsiTheme="majorHAnsi" w:cstheme="majorHAnsi"/>
          <w:b/>
          <w:szCs w:val="22"/>
        </w:rPr>
        <w:t>MARCHES PUBLICS DE PRESTATIONS SERVICES</w:t>
      </w:r>
    </w:p>
    <w:p w14:paraId="3358AAE9" w14:textId="77777777" w:rsidR="003C7A9C" w:rsidRPr="006A01EA" w:rsidRDefault="003C7A9C" w:rsidP="00D4562B">
      <w:pPr>
        <w:jc w:val="center"/>
        <w:rPr>
          <w:rFonts w:asciiTheme="majorHAnsi" w:hAnsiTheme="majorHAnsi" w:cstheme="majorHAnsi"/>
          <w:b/>
          <w:bCs/>
          <w:szCs w:val="22"/>
        </w:rPr>
      </w:pPr>
    </w:p>
    <w:p w14:paraId="6BA172DA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2BBFF69B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Personne publique :</w:t>
      </w:r>
    </w:p>
    <w:p w14:paraId="7E6450E0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697FA6E5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CENTRE HOSPITALIER UNIVERSITAIRE DE MONTPELLIER</w:t>
      </w:r>
    </w:p>
    <w:p w14:paraId="61329367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ETABLISSEMENT SUPPORT DU GHT DE L’EST HERAULT ET DU SUD AVEYRON</w:t>
      </w:r>
    </w:p>
    <w:p w14:paraId="6C4DCC0E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7F9A15AA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CENTRE ADMINISTRATIF A. BENECH</w:t>
      </w:r>
    </w:p>
    <w:p w14:paraId="553E2034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191, Avenue du Doyen Gaston Giraud</w:t>
      </w:r>
    </w:p>
    <w:p w14:paraId="4B665810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34295 MONTPELLIER CEDEX 5</w:t>
      </w:r>
    </w:p>
    <w:p w14:paraId="304D2A3E" w14:textId="25C6D19A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5763BCD0" w14:textId="77777777" w:rsidR="00034782" w:rsidRPr="006A01EA" w:rsidRDefault="00034782" w:rsidP="00D4562B">
      <w:pPr>
        <w:pStyle w:val="RedTitre1"/>
        <w:keepNext/>
        <w:framePr w:hSpace="0" w:wrap="auto" w:vAnchor="margin" w:xAlign="left" w:yAlign="inline"/>
        <w:widowControl/>
        <w:rPr>
          <w:rFonts w:asciiTheme="majorHAnsi" w:hAnsiTheme="majorHAnsi" w:cstheme="majorHAnsi"/>
        </w:rPr>
      </w:pPr>
    </w:p>
    <w:p w14:paraId="1B5A4A7E" w14:textId="187FC3A5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 xml:space="preserve">N° </w:t>
      </w:r>
      <w:r w:rsidR="00034782" w:rsidRPr="006A01EA">
        <w:rPr>
          <w:rFonts w:asciiTheme="majorHAnsi" w:hAnsiTheme="majorHAnsi" w:cstheme="majorHAnsi"/>
        </w:rPr>
        <w:t>AFFAIRE</w:t>
      </w:r>
      <w:r w:rsidRPr="006A01EA">
        <w:rPr>
          <w:rFonts w:asciiTheme="majorHAnsi" w:hAnsiTheme="majorHAnsi" w:cstheme="majorHAnsi"/>
        </w:rPr>
        <w:t xml:space="preserve"> : 2</w:t>
      </w:r>
      <w:r w:rsidR="00971059" w:rsidRPr="006A01EA">
        <w:rPr>
          <w:rFonts w:asciiTheme="majorHAnsi" w:hAnsiTheme="majorHAnsi" w:cstheme="majorHAnsi"/>
        </w:rPr>
        <w:t>4</w:t>
      </w:r>
      <w:r w:rsidRPr="006A01EA">
        <w:rPr>
          <w:rFonts w:asciiTheme="majorHAnsi" w:hAnsiTheme="majorHAnsi" w:cstheme="majorHAnsi"/>
        </w:rPr>
        <w:t>A00</w:t>
      </w:r>
      <w:r w:rsidR="00971059" w:rsidRPr="006A01EA">
        <w:rPr>
          <w:rFonts w:asciiTheme="majorHAnsi" w:hAnsiTheme="majorHAnsi" w:cstheme="majorHAnsi"/>
        </w:rPr>
        <w:t>51</w:t>
      </w:r>
    </w:p>
    <w:p w14:paraId="29A8D1B3" w14:textId="77777777" w:rsidR="00034782" w:rsidRPr="006A01EA" w:rsidRDefault="00034782" w:rsidP="00D4562B">
      <w:pPr>
        <w:pStyle w:val="RedTitre1"/>
        <w:keepNext/>
        <w:framePr w:hSpace="0" w:wrap="auto" w:vAnchor="margin" w:xAlign="left" w:yAlign="inline"/>
        <w:widowControl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-----------------------------------------------------------------------------------------</w:t>
      </w:r>
    </w:p>
    <w:p w14:paraId="7F72B590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6EAC580F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Objet de la consultation :</w:t>
      </w:r>
    </w:p>
    <w:p w14:paraId="64BB364D" w14:textId="77777777" w:rsidR="003C7A9C" w:rsidRPr="006A01EA" w:rsidRDefault="003C7A9C" w:rsidP="00D4562B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6BECD16B" w14:textId="645D1949" w:rsidR="003C7A9C" w:rsidRPr="006A01EA" w:rsidRDefault="00034782" w:rsidP="00D4562B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ASSURANCES EN RESPONSABILITE CIVILE DU CHU DE MONTPELLIER PROMOTEUR DE RECHERCHES CLINIQUES</w:t>
      </w:r>
    </w:p>
    <w:p w14:paraId="629FEC2B" w14:textId="77777777" w:rsidR="00034782" w:rsidRPr="006A01EA" w:rsidRDefault="00034782" w:rsidP="00D4562B">
      <w:pPr>
        <w:pStyle w:val="RedTitre1"/>
        <w:framePr w:hSpace="0" w:wrap="auto" w:vAnchor="margin" w:xAlign="left" w:yAlign="inline"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006E0388" w14:textId="77777777" w:rsidR="00034782" w:rsidRPr="006A01EA" w:rsidRDefault="00034782" w:rsidP="00D4562B">
      <w:pPr>
        <w:pStyle w:val="RedTitre1"/>
        <w:keepNext/>
        <w:framePr w:hSpace="0" w:wrap="auto" w:vAnchor="margin" w:xAlign="left" w:yAlign="inline"/>
        <w:widowControl/>
        <w:rPr>
          <w:rFonts w:asciiTheme="majorHAnsi" w:hAnsiTheme="majorHAnsi" w:cstheme="majorHAnsi"/>
        </w:rPr>
      </w:pPr>
      <w:r w:rsidRPr="006A01EA">
        <w:rPr>
          <w:rFonts w:asciiTheme="majorHAnsi" w:hAnsiTheme="majorHAnsi" w:cstheme="majorHAnsi"/>
        </w:rPr>
        <w:t>-----------------------------------------------------------------------------------------</w:t>
      </w:r>
    </w:p>
    <w:p w14:paraId="68345690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3AE9C0AF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Raison ou dénomination sociale du candidat et des membres du groupement (le cas échéant) :</w:t>
      </w:r>
    </w:p>
    <w:p w14:paraId="3491C268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56DBD889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4B0EE7EB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15E40EA5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69129579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08FD3261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74826A88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Adresse postale du candidat:</w:t>
      </w:r>
    </w:p>
    <w:p w14:paraId="4A3DE58E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439C660E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62040F62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50CF1CCF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349114DB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…</w:t>
      </w:r>
    </w:p>
    <w:p w14:paraId="3CD9DF5D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0D5AC968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Numéro de téléphone du candidat: …</w:t>
      </w:r>
    </w:p>
    <w:p w14:paraId="6EED4D5B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20BD8D34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Courriel du candidat: …</w:t>
      </w:r>
    </w:p>
    <w:p w14:paraId="22DEC228" w14:textId="77777777" w:rsidR="00034782" w:rsidRPr="006A01EA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56CB5032" w14:textId="5661DD68" w:rsidR="00034782" w:rsidRDefault="00034782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  <w:r w:rsidRPr="006A01EA">
        <w:rPr>
          <w:rFonts w:asciiTheme="majorHAnsi" w:hAnsiTheme="majorHAnsi" w:cstheme="majorHAnsi"/>
          <w:b/>
          <w:bCs/>
          <w:szCs w:val="22"/>
        </w:rPr>
        <w:t>Numéro SIRET du candidat : …</w:t>
      </w:r>
    </w:p>
    <w:p w14:paraId="0377B733" w14:textId="5F057AA0" w:rsidR="005E6E48" w:rsidRDefault="005E6E48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703E377F" w14:textId="56B92494" w:rsidR="005E6E48" w:rsidRDefault="005E6E48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17BD347C" w14:textId="3638E6B4" w:rsidR="005E6E48" w:rsidRDefault="005E6E48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3FF7638E" w14:textId="77777777" w:rsidR="005E6E48" w:rsidRPr="006A01EA" w:rsidRDefault="005E6E48" w:rsidP="00D4562B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37297E17" w14:textId="662A2046" w:rsidR="00C13AF4" w:rsidRPr="006A01EA" w:rsidRDefault="00CF665C" w:rsidP="00D4562B">
      <w:pPr>
        <w:pStyle w:val="Titre"/>
        <w:rPr>
          <w:rFonts w:cstheme="majorHAnsi"/>
          <w:szCs w:val="22"/>
          <w:lang w:eastAsia="en-US"/>
        </w:rPr>
      </w:pPr>
      <w:r w:rsidRPr="006A01EA">
        <w:rPr>
          <w:rFonts w:cstheme="majorHAnsi"/>
          <w:szCs w:val="22"/>
        </w:rPr>
        <w:lastRenderedPageBreak/>
        <w:t xml:space="preserve">CRITERE N° 1 - </w:t>
      </w:r>
      <w:r w:rsidR="00C13AF4" w:rsidRPr="006A01EA">
        <w:rPr>
          <w:rFonts w:cstheme="majorHAnsi"/>
          <w:szCs w:val="22"/>
        </w:rPr>
        <w:t>Qualité du service proposé par le candidat.</w:t>
      </w:r>
    </w:p>
    <w:p w14:paraId="4DD71724" w14:textId="77777777" w:rsidR="00C13AF4" w:rsidRPr="006A01EA" w:rsidRDefault="00C13AF4" w:rsidP="00D4562B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b/>
          <w:szCs w:val="22"/>
          <w:u w:val="single"/>
          <w:lang w:eastAsia="en-US"/>
        </w:rPr>
      </w:pPr>
    </w:p>
    <w:p w14:paraId="4F9F914D" w14:textId="2AE8C027" w:rsidR="001A11D0" w:rsidRPr="006A01EA" w:rsidRDefault="009F5FC2" w:rsidP="00D4562B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  <w:u w:val="single"/>
        </w:rPr>
      </w:pPr>
      <w:r w:rsidRPr="006A01EA">
        <w:rPr>
          <w:rFonts w:asciiTheme="majorHAnsi" w:hAnsiTheme="majorHAnsi" w:cstheme="majorHAnsi"/>
          <w:u w:val="single"/>
        </w:rPr>
        <w:t xml:space="preserve">Sous-critère 1 - </w:t>
      </w:r>
      <w:r w:rsidR="00C13AF4" w:rsidRPr="006A01EA">
        <w:rPr>
          <w:rFonts w:asciiTheme="majorHAnsi" w:hAnsiTheme="majorHAnsi" w:cstheme="majorHAnsi"/>
          <w:u w:val="single"/>
        </w:rPr>
        <w:t>Décrire les moyens humains de l’</w:t>
      </w:r>
      <w:r w:rsidR="001A11D0" w:rsidRPr="006A01EA">
        <w:rPr>
          <w:rFonts w:asciiTheme="majorHAnsi" w:hAnsiTheme="majorHAnsi" w:cstheme="majorHAnsi"/>
          <w:u w:val="single"/>
        </w:rPr>
        <w:t>é</w:t>
      </w:r>
      <w:r w:rsidR="006D4B56" w:rsidRPr="006A01EA">
        <w:rPr>
          <w:rFonts w:asciiTheme="majorHAnsi" w:hAnsiTheme="majorHAnsi" w:cstheme="majorHAnsi"/>
          <w:u w:val="single"/>
        </w:rPr>
        <w:t>quipe</w:t>
      </w:r>
    </w:p>
    <w:p w14:paraId="37960CEB" w14:textId="7540CC3F" w:rsidR="003C7A9C" w:rsidRPr="006A01EA" w:rsidRDefault="00484366" w:rsidP="00D4562B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  <w:u w:val="single"/>
        </w:rPr>
      </w:pPr>
      <w:r w:rsidRPr="006A01EA">
        <w:rPr>
          <w:rFonts w:asciiTheme="majorHAnsi" w:hAnsiTheme="majorHAnsi" w:cstheme="majorHAnsi"/>
          <w:b w:val="0"/>
        </w:rPr>
        <w:t>En Précisant,</w:t>
      </w:r>
      <w:r w:rsidR="001A11D0" w:rsidRPr="006A01EA">
        <w:rPr>
          <w:rFonts w:asciiTheme="majorHAnsi" w:hAnsiTheme="majorHAnsi" w:cstheme="majorHAnsi"/>
          <w:b w:val="0"/>
        </w:rPr>
        <w:t xml:space="preserve"> </w:t>
      </w:r>
      <w:r w:rsidR="006D4B56" w:rsidRPr="006A01EA">
        <w:rPr>
          <w:rFonts w:asciiTheme="majorHAnsi" w:hAnsiTheme="majorHAnsi" w:cstheme="majorHAnsi"/>
          <w:b w:val="0"/>
        </w:rPr>
        <w:t xml:space="preserve">l’interlocuteur dédié, </w:t>
      </w:r>
      <w:r w:rsidRPr="006A01EA">
        <w:rPr>
          <w:rFonts w:asciiTheme="majorHAnsi" w:hAnsiTheme="majorHAnsi" w:cstheme="majorHAnsi"/>
          <w:b w:val="0"/>
        </w:rPr>
        <w:t>l’</w:t>
      </w:r>
      <w:r w:rsidR="00C13AF4" w:rsidRPr="006A01EA">
        <w:rPr>
          <w:rFonts w:asciiTheme="majorHAnsi" w:hAnsiTheme="majorHAnsi" w:cstheme="majorHAnsi"/>
          <w:b w:val="0"/>
        </w:rPr>
        <w:t xml:space="preserve">organisation, </w:t>
      </w:r>
      <w:r w:rsidR="00916631" w:rsidRPr="006A01EA">
        <w:rPr>
          <w:rFonts w:asciiTheme="majorHAnsi" w:hAnsiTheme="majorHAnsi" w:cstheme="majorHAnsi"/>
          <w:b w:val="0"/>
        </w:rPr>
        <w:t>et les moyens de contact</w:t>
      </w:r>
      <w:r w:rsidR="006D4B56" w:rsidRPr="006A01EA">
        <w:rPr>
          <w:rFonts w:asciiTheme="majorHAnsi" w:hAnsiTheme="majorHAnsi" w:cstheme="majorHAnsi"/>
          <w:b w:val="0"/>
        </w:rPr>
        <w:t xml:space="preserve"> qui permettront d’assurer un contact toute l’année (jours ouvré</w:t>
      </w:r>
      <w:r w:rsidR="00CF665C" w:rsidRPr="006A01EA">
        <w:rPr>
          <w:rFonts w:asciiTheme="majorHAnsi" w:hAnsiTheme="majorHAnsi" w:cstheme="majorHAnsi"/>
          <w:b w:val="0"/>
        </w:rPr>
        <w:t>s</w:t>
      </w:r>
      <w:r w:rsidR="006D4B56" w:rsidRPr="006A01EA">
        <w:rPr>
          <w:rFonts w:asciiTheme="majorHAnsi" w:hAnsiTheme="majorHAnsi" w:cstheme="majorHAnsi"/>
          <w:b w:val="0"/>
        </w:rPr>
        <w:t>).</w:t>
      </w:r>
    </w:p>
    <w:p w14:paraId="127A53F6" w14:textId="77777777" w:rsidR="009F4181" w:rsidRPr="006A01EA" w:rsidRDefault="009F4181" w:rsidP="00D4562B">
      <w:pPr>
        <w:rPr>
          <w:rFonts w:asciiTheme="majorHAnsi" w:hAnsiTheme="majorHAnsi" w:cstheme="majorHAnsi"/>
          <w:szCs w:val="22"/>
        </w:rPr>
      </w:pPr>
    </w:p>
    <w:p w14:paraId="79F3CDDE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92DC51F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BEFF953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03CAE6F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2FCA488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1409E78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70C29C1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48AA9885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3AA0420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C6D2959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42D8207C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78631720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C7B1DEA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A375413" w14:textId="77777777" w:rsidR="001D4177" w:rsidRPr="006A01EA" w:rsidRDefault="001D417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7A15456" w14:textId="1EBA498E" w:rsidR="001D4177" w:rsidRPr="006A01EA" w:rsidRDefault="001D417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BA4805C" w14:textId="5E30C097" w:rsidR="003D45B7" w:rsidRPr="006A01EA" w:rsidRDefault="003D45B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F5955E6" w14:textId="77777777" w:rsidR="003D45B7" w:rsidRPr="006A01EA" w:rsidRDefault="003D45B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32D559D" w14:textId="77777777" w:rsidR="001D4177" w:rsidRPr="006A01EA" w:rsidRDefault="001D417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D3A30DD" w14:textId="77777777" w:rsidR="001D4177" w:rsidRPr="006A01EA" w:rsidRDefault="001D417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C717D67" w14:textId="77777777" w:rsidR="001D4177" w:rsidRPr="006A01EA" w:rsidRDefault="001D417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8E4C0A4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ABF46E4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770F8792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29D0D7B6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4BF03BB5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A2F5962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584DB24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4D7EC6A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A956D68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19312E3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72485BB7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CF35FBC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7FAC8AA2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94F52CE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3285652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D844515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265B006F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C2C78F2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21288E7E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2BEF428E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14D8FFB4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3D6661E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331882E9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752AE8FE" w14:textId="31BC6AE8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245E163B" w14:textId="77777777" w:rsidR="003D45B7" w:rsidRPr="006A01EA" w:rsidRDefault="003D45B7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0A395D46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55BC09CA" w14:textId="77777777" w:rsidR="009F4181" w:rsidRPr="006A01EA" w:rsidRDefault="009F4181" w:rsidP="00D4562B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</w:rPr>
      </w:pPr>
    </w:p>
    <w:p w14:paraId="6B6F956B" w14:textId="77777777" w:rsidR="003D45B7" w:rsidRPr="006A01EA" w:rsidRDefault="003D45B7" w:rsidP="00D4562B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  <w:b w:val="0"/>
          <w:u w:val="single"/>
        </w:rPr>
      </w:pPr>
    </w:p>
    <w:p w14:paraId="3C53BCDA" w14:textId="089CD39D" w:rsidR="00484366" w:rsidRPr="006A01EA" w:rsidRDefault="009F5FC2" w:rsidP="00D4562B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  <w:u w:val="single"/>
        </w:rPr>
      </w:pPr>
      <w:r w:rsidRPr="006A01EA">
        <w:rPr>
          <w:rFonts w:asciiTheme="majorHAnsi" w:hAnsiTheme="majorHAnsi" w:cstheme="majorHAnsi"/>
          <w:u w:val="single"/>
        </w:rPr>
        <w:t xml:space="preserve">Sous-critère 2 - </w:t>
      </w:r>
      <w:r w:rsidR="00484366" w:rsidRPr="006A01EA">
        <w:rPr>
          <w:rFonts w:asciiTheme="majorHAnsi" w:hAnsiTheme="majorHAnsi" w:cstheme="majorHAnsi"/>
          <w:u w:val="single"/>
        </w:rPr>
        <w:t>Les Délais</w:t>
      </w:r>
      <w:r w:rsidR="00ED24BC" w:rsidRPr="006A01EA">
        <w:rPr>
          <w:rFonts w:asciiTheme="majorHAnsi" w:hAnsiTheme="majorHAnsi" w:cstheme="majorHAnsi"/>
          <w:u w:val="single"/>
        </w:rPr>
        <w:t xml:space="preserve"> d’exécution</w:t>
      </w:r>
      <w:r w:rsidR="00484366" w:rsidRPr="006A01EA">
        <w:rPr>
          <w:rFonts w:asciiTheme="majorHAnsi" w:hAnsiTheme="majorHAnsi" w:cstheme="majorHAnsi"/>
          <w:u w:val="single"/>
        </w:rPr>
        <w:t> :</w:t>
      </w:r>
    </w:p>
    <w:p w14:paraId="4820B85E" w14:textId="56DB0AC1" w:rsidR="00C46220" w:rsidRPr="006A01EA" w:rsidRDefault="00C46220" w:rsidP="00D4562B">
      <w:pPr>
        <w:rPr>
          <w:rFonts w:asciiTheme="majorHAnsi" w:hAnsiTheme="majorHAnsi" w:cstheme="majorHAnsi"/>
          <w:szCs w:val="22"/>
        </w:rPr>
      </w:pPr>
      <w:r w:rsidRPr="006A01EA">
        <w:rPr>
          <w:rFonts w:asciiTheme="majorHAnsi" w:hAnsiTheme="majorHAnsi" w:cstheme="majorHAnsi"/>
          <w:szCs w:val="22"/>
        </w:rPr>
        <w:t>Indiquer les délais nécessaires pour chaque item :</w:t>
      </w:r>
    </w:p>
    <w:p w14:paraId="1098E183" w14:textId="77777777" w:rsidR="00AD6CEF" w:rsidRPr="006A01EA" w:rsidRDefault="00AD6CEF" w:rsidP="00D4562B">
      <w:pPr>
        <w:rPr>
          <w:rFonts w:asciiTheme="majorHAnsi" w:hAnsiTheme="majorHAnsi" w:cstheme="majorHAnsi"/>
          <w:szCs w:val="22"/>
        </w:rPr>
      </w:pPr>
    </w:p>
    <w:p w14:paraId="078CC6CC" w14:textId="38AF00D1" w:rsidR="006A01EA" w:rsidRPr="006A01EA" w:rsidRDefault="006A01EA" w:rsidP="00D4562B">
      <w:pPr>
        <w:pStyle w:val="Paragraphedeliste"/>
        <w:numPr>
          <w:ilvl w:val="0"/>
          <w:numId w:val="27"/>
        </w:numPr>
        <w:rPr>
          <w:rFonts w:asciiTheme="majorHAnsi" w:hAnsiTheme="majorHAnsi" w:cstheme="majorHAnsi"/>
          <w:szCs w:val="22"/>
          <w:u w:val="single"/>
        </w:rPr>
      </w:pPr>
      <w:r w:rsidRPr="006A01EA">
        <w:rPr>
          <w:rFonts w:asciiTheme="majorHAnsi" w:hAnsiTheme="majorHAnsi" w:cstheme="majorHAnsi"/>
          <w:szCs w:val="22"/>
          <w:u w:val="single"/>
        </w:rPr>
        <w:t>Sous-critère 2.1 – Délais d’attestation d’assurance</w:t>
      </w:r>
    </w:p>
    <w:p w14:paraId="4BA31C26" w14:textId="77777777" w:rsidR="006A01EA" w:rsidRPr="006A01EA" w:rsidRDefault="006A01EA" w:rsidP="00D4562B">
      <w:pPr>
        <w:rPr>
          <w:rFonts w:asciiTheme="majorHAnsi" w:hAnsiTheme="majorHAnsi" w:cstheme="majorHAnsi"/>
          <w:szCs w:val="22"/>
        </w:rPr>
      </w:pPr>
    </w:p>
    <w:tbl>
      <w:tblPr>
        <w:tblW w:w="935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1984"/>
      </w:tblGrid>
      <w:tr w:rsidR="00C46220" w:rsidRPr="006A01EA" w14:paraId="4F04748E" w14:textId="77777777" w:rsidTr="00AD6CEF">
        <w:trPr>
          <w:trHeight w:val="619"/>
        </w:trPr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14:paraId="10E321A6" w14:textId="77777777" w:rsidR="00C46220" w:rsidRPr="006A01EA" w:rsidRDefault="00C46220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</w:pPr>
            <w:r w:rsidRPr="006A01EA"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  <w:t>Prestation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1AD3EBA9" w14:textId="273CD521" w:rsidR="00C46220" w:rsidRPr="006A01EA" w:rsidRDefault="006A01EA" w:rsidP="00AD6CEF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</w:pPr>
            <w:r w:rsidRPr="006A01EA"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  <w:t>Délai</w:t>
            </w:r>
          </w:p>
        </w:tc>
      </w:tr>
      <w:tr w:rsidR="00C46220" w:rsidRPr="006A01EA" w14:paraId="6E2719F6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427A0530" w14:textId="6B122EAB" w:rsidR="00C46220" w:rsidRPr="006A01EA" w:rsidRDefault="00C46220" w:rsidP="00AD6CEF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szCs w:val="22"/>
              </w:rPr>
              <w:t xml:space="preserve">Délai de </w:t>
            </w: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>t</w:t>
            </w:r>
            <w:r w:rsidRPr="00EB582C">
              <w:rPr>
                <w:rFonts w:asciiTheme="majorHAnsi" w:hAnsiTheme="majorHAnsi" w:cstheme="majorHAnsi"/>
                <w:color w:val="000000"/>
                <w:szCs w:val="22"/>
              </w:rPr>
              <w:t>ransmis</w:t>
            </w: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>sion d’attestation d’assurance à compter de la demande faite par l’assuré (initiale et mise à jour)</w:t>
            </w:r>
            <w:r w:rsidR="00AD6CEF">
              <w:rPr>
                <w:rFonts w:asciiTheme="majorHAnsi" w:hAnsiTheme="majorHAnsi" w:cstheme="majorHAnsi"/>
                <w:color w:val="000000"/>
                <w:szCs w:val="22"/>
              </w:rPr>
              <w:t xml:space="preserve"> </w:t>
            </w:r>
            <w:r w:rsidR="00AD6CEF">
              <w:rPr>
                <w:rFonts w:ascii="Corbel" w:hAnsi="Corbel"/>
                <w:szCs w:val="22"/>
              </w:rPr>
              <w:t>(</w:t>
            </w:r>
            <w:r w:rsidR="00AD6CEF" w:rsidRPr="00800724">
              <w:rPr>
                <w:rFonts w:ascii="Corbel" w:hAnsi="Corbel"/>
                <w:b/>
                <w:szCs w:val="22"/>
              </w:rPr>
              <w:t>en heures</w:t>
            </w:r>
            <w:r w:rsidR="00AD6CEF">
              <w:rPr>
                <w:rFonts w:ascii="Corbel" w:hAnsi="Corbel"/>
                <w:szCs w:val="22"/>
              </w:rPr>
              <w:t>).</w:t>
            </w: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 xml:space="preserve"> Ce délai ne pourra pas excéder 5 jours ouvrés.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25E09F" w14:textId="483A1550" w:rsidR="00C46220" w:rsidRPr="006A01EA" w:rsidRDefault="00C46220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</w:tbl>
    <w:p w14:paraId="2A44C9FA" w14:textId="77777777" w:rsidR="00AD6CEF" w:rsidRPr="006A01EA" w:rsidRDefault="00AD6CEF" w:rsidP="00D4562B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  <w:u w:val="single"/>
        </w:rPr>
      </w:pPr>
    </w:p>
    <w:p w14:paraId="6DB691D0" w14:textId="4783EC4C" w:rsidR="006A01EA" w:rsidRPr="006A01EA" w:rsidRDefault="006A01EA" w:rsidP="00D4562B">
      <w:pPr>
        <w:pStyle w:val="Paragraphedeliste"/>
        <w:numPr>
          <w:ilvl w:val="0"/>
          <w:numId w:val="27"/>
        </w:numPr>
        <w:rPr>
          <w:rFonts w:asciiTheme="majorHAnsi" w:hAnsiTheme="majorHAnsi" w:cstheme="majorHAnsi"/>
          <w:szCs w:val="22"/>
          <w:u w:val="single"/>
        </w:rPr>
      </w:pPr>
      <w:r w:rsidRPr="006A01EA">
        <w:rPr>
          <w:rFonts w:asciiTheme="majorHAnsi" w:hAnsiTheme="majorHAnsi" w:cstheme="majorHAnsi"/>
          <w:szCs w:val="22"/>
          <w:u w:val="single"/>
        </w:rPr>
        <w:t>Sous-critère 2.2 – Autres délais</w:t>
      </w:r>
    </w:p>
    <w:p w14:paraId="120E9D69" w14:textId="77777777" w:rsidR="00FE6C3B" w:rsidRPr="006A01EA" w:rsidRDefault="00FE6C3B" w:rsidP="00D4562B">
      <w:pPr>
        <w:pStyle w:val="Paragraphedeliste"/>
        <w:rPr>
          <w:rFonts w:asciiTheme="majorHAnsi" w:hAnsiTheme="majorHAnsi" w:cstheme="majorHAnsi"/>
          <w:b/>
          <w:szCs w:val="22"/>
          <w:u w:val="single"/>
        </w:rPr>
      </w:pPr>
    </w:p>
    <w:tbl>
      <w:tblPr>
        <w:tblW w:w="935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1984"/>
      </w:tblGrid>
      <w:tr w:rsidR="001A11D0" w:rsidRPr="006A01EA" w14:paraId="1E015B10" w14:textId="77777777" w:rsidTr="00AD6CEF">
        <w:trPr>
          <w:trHeight w:val="738"/>
        </w:trPr>
        <w:tc>
          <w:tcPr>
            <w:tcW w:w="7371" w:type="dxa"/>
            <w:shd w:val="clear" w:color="auto" w:fill="A8D08D" w:themeFill="accent6" w:themeFillTint="99"/>
            <w:vAlign w:val="center"/>
          </w:tcPr>
          <w:p w14:paraId="00481908" w14:textId="3F9C7854" w:rsidR="001A11D0" w:rsidRPr="006A01EA" w:rsidRDefault="001A11D0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</w:pPr>
            <w:r w:rsidRPr="006A01EA"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  <w:t>Prestation</w:t>
            </w:r>
            <w:r w:rsidR="006A01EA" w:rsidRPr="006A01EA"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  <w:t>s</w:t>
            </w:r>
          </w:p>
        </w:tc>
        <w:tc>
          <w:tcPr>
            <w:tcW w:w="1984" w:type="dxa"/>
            <w:shd w:val="clear" w:color="auto" w:fill="A8D08D" w:themeFill="accent6" w:themeFillTint="99"/>
            <w:vAlign w:val="center"/>
          </w:tcPr>
          <w:p w14:paraId="17BBE308" w14:textId="38EF6BCA" w:rsidR="001A11D0" w:rsidRPr="00AD6CEF" w:rsidRDefault="001A11D0" w:rsidP="008A2A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</w:pPr>
            <w:r w:rsidRPr="006A01EA">
              <w:rPr>
                <w:rFonts w:asciiTheme="majorHAnsi" w:hAnsiTheme="majorHAnsi" w:cstheme="majorHAnsi"/>
                <w:b/>
                <w:color w:val="000000"/>
                <w:szCs w:val="22"/>
                <w:u w:val="single"/>
              </w:rPr>
              <w:t>Délais</w:t>
            </w:r>
          </w:p>
        </w:tc>
      </w:tr>
      <w:tr w:rsidR="00465BDF" w:rsidRPr="006A01EA" w14:paraId="7E72D286" w14:textId="77777777" w:rsidTr="006A01EA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183372E5" w14:textId="6AC96C58" w:rsidR="00465BDF" w:rsidRPr="006A01EA" w:rsidRDefault="00FC0D2B" w:rsidP="00D4562B">
            <w:pPr>
              <w:rPr>
                <w:rFonts w:asciiTheme="majorHAnsi" w:hAnsiTheme="majorHAnsi" w:cstheme="majorHAnsi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de</w:t>
            </w:r>
            <w:r w:rsidRPr="006A01EA">
              <w:rPr>
                <w:rFonts w:asciiTheme="majorHAnsi" w:hAnsiTheme="majorHAnsi" w:cstheme="majorHAnsi"/>
                <w:szCs w:val="22"/>
              </w:rPr>
              <w:t xml:space="preserve"> t</w:t>
            </w:r>
            <w:r w:rsidR="00465BDF" w:rsidRPr="006A01EA">
              <w:rPr>
                <w:rFonts w:asciiTheme="majorHAnsi" w:hAnsiTheme="majorHAnsi" w:cstheme="majorHAnsi"/>
                <w:szCs w:val="22"/>
              </w:rPr>
              <w:t>ransmission du contrat</w:t>
            </w:r>
            <w:r w:rsidR="00830C70" w:rsidRPr="006A01EA">
              <w:rPr>
                <w:rFonts w:asciiTheme="majorHAnsi" w:hAnsiTheme="majorHAnsi" w:cstheme="majorHAnsi"/>
                <w:szCs w:val="22"/>
              </w:rPr>
              <w:t xml:space="preserve"> à compter de la notification</w:t>
            </w:r>
            <w:r w:rsidR="00FE6C3B">
              <w:rPr>
                <w:rFonts w:asciiTheme="majorHAnsi" w:hAnsiTheme="majorHAnsi" w:cstheme="majorHAnsi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>en jours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CB6874" w14:textId="77777777" w:rsidR="00465BDF" w:rsidRPr="006A01EA" w:rsidRDefault="00465BDF" w:rsidP="00D4562B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870C28" w:rsidRPr="006A01EA" w14:paraId="208AC450" w14:textId="77777777" w:rsidTr="006A01EA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1FF13FE4" w14:textId="3666D168" w:rsidR="00870C28" w:rsidRPr="006A01EA" w:rsidRDefault="00870C28" w:rsidP="00D4562B">
            <w:pPr>
              <w:rPr>
                <w:rFonts w:asciiTheme="majorHAnsi" w:hAnsiTheme="majorHAnsi" w:cstheme="majorHAnsi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de transmission</w:t>
            </w:r>
            <w:r w:rsidRPr="006A01EA">
              <w:rPr>
                <w:rFonts w:asciiTheme="majorHAnsi" w:hAnsiTheme="majorHAnsi" w:cstheme="majorHAnsi"/>
                <w:szCs w:val="22"/>
              </w:rPr>
              <w:t xml:space="preserve"> de la sinistralité à compter de la demande</w:t>
            </w:r>
            <w:r w:rsidR="00FE6C3B">
              <w:rPr>
                <w:rFonts w:asciiTheme="majorHAnsi" w:hAnsiTheme="majorHAnsi" w:cstheme="majorHAnsi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>en jours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2CBE3C" w14:textId="77777777" w:rsidR="00870C28" w:rsidRPr="006A01EA" w:rsidRDefault="00870C28" w:rsidP="00D4562B">
            <w:pPr>
              <w:jc w:val="center"/>
              <w:rPr>
                <w:rFonts w:asciiTheme="majorHAnsi" w:hAnsiTheme="majorHAnsi" w:cstheme="majorHAnsi"/>
                <w:b/>
                <w:szCs w:val="22"/>
              </w:rPr>
            </w:pPr>
          </w:p>
        </w:tc>
      </w:tr>
      <w:tr w:rsidR="001A11D0" w:rsidRPr="006A01EA" w14:paraId="611205D8" w14:textId="77777777" w:rsidTr="006A01EA">
        <w:trPr>
          <w:trHeight w:val="93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5D7B2296" w14:textId="49883A2E" w:rsidR="001A11D0" w:rsidRPr="006A01EA" w:rsidRDefault="00301265" w:rsidP="008A2A2B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szCs w:val="22"/>
              </w:rPr>
              <w:t>Délai maximum de déclaration des sinistres par l’assuré</w:t>
            </w:r>
            <w:r w:rsidR="006D4B56" w:rsidRPr="006A01EA">
              <w:rPr>
                <w:rFonts w:asciiTheme="majorHAnsi" w:hAnsiTheme="majorHAnsi" w:cstheme="majorHAnsi"/>
                <w:szCs w:val="22"/>
              </w:rPr>
              <w:t xml:space="preserve"> à compter du jour de connaissance du sinistre</w:t>
            </w:r>
            <w:r w:rsidR="00F84FBB" w:rsidRPr="006A01EA">
              <w:rPr>
                <w:rFonts w:asciiTheme="majorHAnsi" w:hAnsiTheme="majorHAnsi" w:cstheme="majorHAnsi"/>
                <w:b/>
                <w:szCs w:val="22"/>
              </w:rPr>
              <w:t xml:space="preserve"> (Ne rentre pas dans l’analyse de l’offre).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EAAD95" w14:textId="5AD4D412" w:rsidR="001A11D0" w:rsidRPr="006A01EA" w:rsidRDefault="001A11D0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A95B25" w:rsidRPr="006A01EA" w14:paraId="64DB0240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43005218" w14:textId="70C8462E" w:rsidR="00A95B25" w:rsidRPr="006A01EA" w:rsidRDefault="00A95B25" w:rsidP="00D4562B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de n</w:t>
            </w:r>
            <w:r w:rsidRPr="00EB582C">
              <w:rPr>
                <w:rFonts w:asciiTheme="majorHAnsi" w:hAnsiTheme="majorHAnsi" w:cstheme="majorHAnsi"/>
                <w:color w:val="000000"/>
                <w:szCs w:val="22"/>
              </w:rPr>
              <w:t>omination</w:t>
            </w: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 xml:space="preserve"> d’un expert à compter de la déclaration du sinistre</w:t>
            </w:r>
            <w:r w:rsidR="00FE6C3B">
              <w:rPr>
                <w:rFonts w:asciiTheme="majorHAnsi" w:hAnsiTheme="majorHAnsi" w:cstheme="majorHAnsi"/>
                <w:color w:val="000000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>en heures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5A2F71" w14:textId="77777777" w:rsidR="00A95B25" w:rsidRPr="006A01EA" w:rsidRDefault="00A95B25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A95B25" w:rsidRPr="006A01EA" w14:paraId="6881F432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3DEBCE1E" w14:textId="7778E10F" w:rsidR="00A95B25" w:rsidRPr="00EB582C" w:rsidRDefault="00A95B25" w:rsidP="00D4562B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d’e</w:t>
            </w:r>
            <w:r w:rsidRPr="00EB582C">
              <w:rPr>
                <w:rFonts w:asciiTheme="majorHAnsi" w:hAnsiTheme="majorHAnsi" w:cstheme="majorHAnsi"/>
                <w:color w:val="000000"/>
                <w:szCs w:val="22"/>
              </w:rPr>
              <w:t>nvoi du rapport d’expertise à compter du jour de l’expertise</w:t>
            </w:r>
            <w:r w:rsidR="00FE6C3B">
              <w:rPr>
                <w:rFonts w:asciiTheme="majorHAnsi" w:hAnsiTheme="majorHAnsi" w:cstheme="majorHAnsi"/>
                <w:color w:val="000000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 xml:space="preserve">en </w:t>
            </w:r>
            <w:r w:rsidR="00FE6C3B">
              <w:rPr>
                <w:rFonts w:ascii="Corbel" w:hAnsi="Corbel"/>
                <w:b/>
                <w:szCs w:val="22"/>
              </w:rPr>
              <w:t>jours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4F1FC1" w14:textId="77777777" w:rsidR="00A95B25" w:rsidRPr="006A01EA" w:rsidRDefault="00A95B25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20CDD905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13BDA00" w14:textId="1F91787A" w:rsidR="00F328C8" w:rsidRPr="00EB582C" w:rsidRDefault="00F328C8" w:rsidP="00D4562B">
            <w:pPr>
              <w:rPr>
                <w:rFonts w:asciiTheme="majorHAnsi" w:hAnsiTheme="majorHAnsi" w:cstheme="majorHAnsi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de f</w:t>
            </w:r>
            <w:r w:rsidRPr="00EB582C">
              <w:rPr>
                <w:rFonts w:asciiTheme="majorHAnsi" w:hAnsiTheme="majorHAnsi" w:cstheme="majorHAnsi"/>
                <w:color w:val="000000"/>
                <w:szCs w:val="22"/>
              </w:rPr>
              <w:t>ormulation d’une offre d’indemnisation à compter de la réception du dossier complet et du rapport d’expertise</w:t>
            </w:r>
            <w:r w:rsidR="00FE6C3B">
              <w:rPr>
                <w:rFonts w:asciiTheme="majorHAnsi" w:hAnsiTheme="majorHAnsi" w:cstheme="majorHAnsi"/>
                <w:color w:val="000000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 xml:space="preserve">en </w:t>
            </w:r>
            <w:r w:rsidR="00FE6C3B">
              <w:rPr>
                <w:rFonts w:ascii="Corbel" w:hAnsi="Corbel"/>
                <w:b/>
                <w:szCs w:val="22"/>
              </w:rPr>
              <w:t>jours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26EFE3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46847736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667FFC4" w14:textId="3E8C1235" w:rsidR="00F328C8" w:rsidRPr="00EB582C" w:rsidRDefault="00F328C8" w:rsidP="00D4562B">
            <w:pPr>
              <w:rPr>
                <w:rFonts w:asciiTheme="majorHAnsi" w:hAnsiTheme="majorHAnsi" w:cstheme="majorHAnsi"/>
                <w:szCs w:val="22"/>
              </w:rPr>
            </w:pPr>
            <w:r w:rsidRPr="00EB582C">
              <w:rPr>
                <w:rFonts w:asciiTheme="majorHAnsi" w:hAnsiTheme="majorHAnsi" w:cstheme="majorHAnsi"/>
                <w:szCs w:val="22"/>
              </w:rPr>
              <w:t>Délai d’indemnisation des victimes à compter de la réception du dossier complet</w:t>
            </w:r>
            <w:r w:rsidR="00FE6C3B">
              <w:rPr>
                <w:rFonts w:asciiTheme="majorHAnsi" w:hAnsiTheme="majorHAnsi" w:cstheme="majorHAnsi"/>
                <w:szCs w:val="22"/>
              </w:rPr>
              <w:t xml:space="preserve"> </w:t>
            </w:r>
            <w:r w:rsidR="00FE6C3B">
              <w:rPr>
                <w:rFonts w:ascii="Corbel" w:hAnsi="Corbel"/>
                <w:szCs w:val="22"/>
              </w:rPr>
              <w:t>(</w:t>
            </w:r>
            <w:r w:rsidR="00FE6C3B" w:rsidRPr="00800724">
              <w:rPr>
                <w:rFonts w:ascii="Corbel" w:hAnsi="Corbel"/>
                <w:b/>
                <w:szCs w:val="22"/>
              </w:rPr>
              <w:t xml:space="preserve">en </w:t>
            </w:r>
            <w:r w:rsidR="00FE6C3B">
              <w:rPr>
                <w:rFonts w:ascii="Corbel" w:hAnsi="Corbel"/>
                <w:b/>
                <w:szCs w:val="22"/>
              </w:rPr>
              <w:t>jours</w:t>
            </w:r>
            <w:r w:rsidR="00FE6C3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CBABA3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0064641D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221BBE4A" w14:textId="4D5A91F1" w:rsidR="00F328C8" w:rsidRPr="006A01EA" w:rsidRDefault="00F328C8" w:rsidP="008A2A2B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>Fréquence des rencontres avec le CHU</w:t>
            </w:r>
            <w:r w:rsidR="008A2A2B">
              <w:rPr>
                <w:rFonts w:asciiTheme="majorHAnsi" w:hAnsiTheme="majorHAnsi" w:cstheme="majorHAnsi"/>
                <w:color w:val="000000"/>
                <w:szCs w:val="22"/>
              </w:rPr>
              <w:t xml:space="preserve"> </w:t>
            </w:r>
            <w:r w:rsidR="008A2A2B">
              <w:rPr>
                <w:rFonts w:ascii="Corbel" w:hAnsi="Corbel"/>
                <w:szCs w:val="22"/>
              </w:rPr>
              <w:t>(</w:t>
            </w:r>
            <w:r w:rsidR="008A2A2B" w:rsidRPr="00800724">
              <w:rPr>
                <w:rFonts w:ascii="Corbel" w:hAnsi="Corbel"/>
                <w:b/>
                <w:szCs w:val="22"/>
              </w:rPr>
              <w:t xml:space="preserve">en </w:t>
            </w:r>
            <w:r w:rsidR="008A2A2B">
              <w:rPr>
                <w:rFonts w:ascii="Corbel" w:hAnsi="Corbel"/>
                <w:b/>
                <w:szCs w:val="22"/>
              </w:rPr>
              <w:t>mois</w:t>
            </w:r>
            <w:r w:rsidR="008A2A2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5FD468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780D3BEA" w14:textId="77777777" w:rsidTr="006A01EA">
        <w:trPr>
          <w:trHeight w:val="652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68C6276E" w14:textId="35134CF1" w:rsidR="00F328C8" w:rsidRPr="006A01EA" w:rsidRDefault="00F328C8" w:rsidP="00D4562B">
            <w:pPr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szCs w:val="22"/>
              </w:rPr>
              <w:t>Délai de t</w:t>
            </w:r>
            <w:r w:rsidRPr="006A01EA">
              <w:rPr>
                <w:rFonts w:asciiTheme="majorHAnsi" w:hAnsiTheme="majorHAnsi" w:cstheme="majorHAnsi"/>
                <w:color w:val="000000"/>
                <w:szCs w:val="22"/>
              </w:rPr>
              <w:t>raitement des demandes de l’assuré à compter de la demande 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4E3890C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3EB616CE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F89832B" w14:textId="79D60992" w:rsidR="00F328C8" w:rsidRPr="006A01EA" w:rsidRDefault="00F328C8" w:rsidP="00D4562B">
            <w:pPr>
              <w:numPr>
                <w:ilvl w:val="0"/>
                <w:numId w:val="25"/>
              </w:numPr>
              <w:jc w:val="left"/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szCs w:val="22"/>
                <w:lang w:eastAsia="en-US"/>
              </w:rPr>
              <w:t>Par messagerie électronique</w:t>
            </w:r>
            <w:r w:rsidR="008A2A2B">
              <w:rPr>
                <w:rFonts w:asciiTheme="majorHAnsi" w:hAnsiTheme="majorHAnsi" w:cstheme="majorHAnsi"/>
                <w:szCs w:val="22"/>
                <w:lang w:eastAsia="en-US"/>
              </w:rPr>
              <w:t xml:space="preserve"> </w:t>
            </w:r>
            <w:r w:rsidR="008A2A2B">
              <w:rPr>
                <w:rFonts w:ascii="Corbel" w:hAnsi="Corbel"/>
                <w:szCs w:val="22"/>
              </w:rPr>
              <w:t>(</w:t>
            </w:r>
            <w:r w:rsidR="008A2A2B" w:rsidRPr="00800724">
              <w:rPr>
                <w:rFonts w:ascii="Corbel" w:hAnsi="Corbel"/>
                <w:b/>
                <w:szCs w:val="22"/>
              </w:rPr>
              <w:t>en heures</w:t>
            </w:r>
            <w:r w:rsidR="008A2A2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79BF8C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  <w:tr w:rsidR="00F328C8" w:rsidRPr="006A01EA" w14:paraId="34C075C0" w14:textId="77777777" w:rsidTr="006A01EA">
        <w:trPr>
          <w:trHeight w:val="750"/>
        </w:trPr>
        <w:tc>
          <w:tcPr>
            <w:tcW w:w="7371" w:type="dxa"/>
            <w:shd w:val="clear" w:color="auto" w:fill="C5E0B3" w:themeFill="accent6" w:themeFillTint="66"/>
            <w:vAlign w:val="center"/>
          </w:tcPr>
          <w:p w14:paraId="0CEF7681" w14:textId="561BC06C" w:rsidR="00F328C8" w:rsidRPr="006A01EA" w:rsidRDefault="00F328C8" w:rsidP="00D4562B">
            <w:pPr>
              <w:numPr>
                <w:ilvl w:val="0"/>
                <w:numId w:val="25"/>
              </w:numPr>
              <w:jc w:val="left"/>
              <w:rPr>
                <w:rFonts w:asciiTheme="majorHAnsi" w:hAnsiTheme="majorHAnsi" w:cstheme="majorHAnsi"/>
                <w:color w:val="000000"/>
                <w:szCs w:val="22"/>
              </w:rPr>
            </w:pPr>
            <w:r w:rsidRPr="006A01EA">
              <w:rPr>
                <w:rFonts w:asciiTheme="majorHAnsi" w:hAnsiTheme="majorHAnsi" w:cstheme="majorHAnsi"/>
                <w:szCs w:val="22"/>
                <w:lang w:eastAsia="en-US"/>
              </w:rPr>
              <w:t>Par téléphone</w:t>
            </w:r>
            <w:r w:rsidR="008A2A2B">
              <w:rPr>
                <w:rFonts w:asciiTheme="majorHAnsi" w:hAnsiTheme="majorHAnsi" w:cstheme="majorHAnsi"/>
                <w:szCs w:val="22"/>
                <w:lang w:eastAsia="en-US"/>
              </w:rPr>
              <w:t xml:space="preserve"> </w:t>
            </w:r>
            <w:r w:rsidR="008A2A2B">
              <w:rPr>
                <w:rFonts w:ascii="Corbel" w:hAnsi="Corbel"/>
                <w:szCs w:val="22"/>
              </w:rPr>
              <w:t>(</w:t>
            </w:r>
            <w:r w:rsidR="008A2A2B" w:rsidRPr="00800724">
              <w:rPr>
                <w:rFonts w:ascii="Corbel" w:hAnsi="Corbel"/>
                <w:b/>
                <w:szCs w:val="22"/>
              </w:rPr>
              <w:t>en heures</w:t>
            </w:r>
            <w:r w:rsidR="008A2A2B">
              <w:rPr>
                <w:rFonts w:ascii="Corbel" w:hAnsi="Corbel"/>
                <w:szCs w:val="22"/>
              </w:rPr>
              <w:t>).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A1F1A7" w14:textId="77777777" w:rsidR="00F328C8" w:rsidRPr="006A01EA" w:rsidRDefault="00F328C8" w:rsidP="00D4562B">
            <w:pPr>
              <w:jc w:val="center"/>
              <w:rPr>
                <w:rFonts w:asciiTheme="majorHAnsi" w:hAnsiTheme="majorHAnsi" w:cstheme="majorHAnsi"/>
                <w:b/>
                <w:color w:val="000000"/>
                <w:szCs w:val="22"/>
              </w:rPr>
            </w:pPr>
          </w:p>
        </w:tc>
      </w:tr>
    </w:tbl>
    <w:p w14:paraId="25B4C46A" w14:textId="59B973E4" w:rsidR="0038390B" w:rsidRDefault="0038390B" w:rsidP="00D4562B">
      <w:pPr>
        <w:rPr>
          <w:rFonts w:asciiTheme="majorHAnsi" w:hAnsiTheme="majorHAnsi" w:cstheme="majorHAnsi"/>
          <w:b/>
          <w:szCs w:val="22"/>
          <w:u w:val="single"/>
        </w:rPr>
      </w:pPr>
    </w:p>
    <w:p w14:paraId="3A9FCBAB" w14:textId="5DC7FA70" w:rsidR="00AD6CEF" w:rsidRDefault="00AD6CEF" w:rsidP="00D4562B">
      <w:pPr>
        <w:rPr>
          <w:rFonts w:asciiTheme="majorHAnsi" w:hAnsiTheme="majorHAnsi" w:cstheme="majorHAnsi"/>
          <w:b/>
          <w:szCs w:val="22"/>
          <w:u w:val="single"/>
        </w:rPr>
      </w:pPr>
    </w:p>
    <w:p w14:paraId="5BDF78B9" w14:textId="651B006A" w:rsidR="00AD6CEF" w:rsidRDefault="00AD6CEF" w:rsidP="00D4562B">
      <w:pPr>
        <w:rPr>
          <w:rFonts w:asciiTheme="majorHAnsi" w:hAnsiTheme="majorHAnsi" w:cstheme="majorHAnsi"/>
          <w:b/>
          <w:szCs w:val="22"/>
          <w:u w:val="single"/>
        </w:rPr>
      </w:pPr>
    </w:p>
    <w:p w14:paraId="57EBD752" w14:textId="77777777" w:rsidR="00AD6CEF" w:rsidRPr="006A01EA" w:rsidRDefault="00AD6CEF" w:rsidP="00D4562B">
      <w:pPr>
        <w:rPr>
          <w:rFonts w:asciiTheme="majorHAnsi" w:hAnsiTheme="majorHAnsi" w:cstheme="majorHAnsi"/>
          <w:b/>
          <w:szCs w:val="22"/>
          <w:u w:val="single"/>
        </w:rPr>
      </w:pPr>
    </w:p>
    <w:p w14:paraId="4ACADD88" w14:textId="6FB8C938" w:rsidR="00484366" w:rsidRPr="006A01EA" w:rsidRDefault="009F5FC2" w:rsidP="00D4562B">
      <w:pPr>
        <w:rPr>
          <w:rFonts w:asciiTheme="majorHAnsi" w:hAnsiTheme="majorHAnsi" w:cstheme="majorHAnsi"/>
          <w:b/>
          <w:szCs w:val="22"/>
          <w:u w:val="single"/>
        </w:rPr>
      </w:pPr>
      <w:r w:rsidRPr="006A01EA">
        <w:rPr>
          <w:rFonts w:asciiTheme="majorHAnsi" w:hAnsiTheme="majorHAnsi" w:cstheme="majorHAnsi"/>
          <w:b/>
          <w:szCs w:val="22"/>
          <w:u w:val="single"/>
        </w:rPr>
        <w:lastRenderedPageBreak/>
        <w:t>Sous-critère 3 </w:t>
      </w:r>
      <w:r w:rsidR="00992FD7" w:rsidRPr="006A01EA">
        <w:rPr>
          <w:rFonts w:asciiTheme="majorHAnsi" w:hAnsiTheme="majorHAnsi" w:cstheme="majorHAnsi"/>
          <w:b/>
          <w:szCs w:val="22"/>
          <w:u w:val="single"/>
        </w:rPr>
        <w:t>–</w:t>
      </w:r>
      <w:r w:rsidRPr="006A01EA">
        <w:rPr>
          <w:rFonts w:asciiTheme="majorHAnsi" w:hAnsiTheme="majorHAnsi" w:cstheme="majorHAnsi"/>
          <w:b/>
          <w:szCs w:val="22"/>
          <w:u w:val="single"/>
        </w:rPr>
        <w:t xml:space="preserve"> </w:t>
      </w:r>
      <w:r w:rsidR="00992FD7" w:rsidRPr="006A01EA">
        <w:rPr>
          <w:rFonts w:asciiTheme="majorHAnsi" w:hAnsiTheme="majorHAnsi" w:cstheme="majorHAnsi"/>
          <w:b/>
          <w:szCs w:val="22"/>
          <w:u w:val="single"/>
        </w:rPr>
        <w:t>Décrire les Procédures de mises en œuvre, et l’organisation de suivi des dossiers.</w:t>
      </w:r>
    </w:p>
    <w:p w14:paraId="51380118" w14:textId="77777777" w:rsidR="005C2BE4" w:rsidRPr="006A01EA" w:rsidRDefault="005C2BE4" w:rsidP="00D4562B">
      <w:pPr>
        <w:rPr>
          <w:rFonts w:asciiTheme="majorHAnsi" w:hAnsiTheme="majorHAnsi" w:cstheme="majorHAnsi"/>
          <w:b/>
          <w:szCs w:val="22"/>
        </w:rPr>
      </w:pPr>
    </w:p>
    <w:p w14:paraId="3816AD7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909976E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00331B3" w14:textId="079F851A" w:rsidR="00484366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DC1F7A3" w14:textId="77777777" w:rsidR="00AD6CEF" w:rsidRPr="006A01EA" w:rsidRDefault="00AD6CEF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  <w:bookmarkStart w:id="0" w:name="_GoBack"/>
      <w:bookmarkEnd w:id="0"/>
    </w:p>
    <w:p w14:paraId="75967897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89D2D8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0E81A1D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33E995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38E3B8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28FAE53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D1F63A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83F75D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59836A1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B74BEE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8CCFDB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B2EF05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2C6E16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2C1A48D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9D28C4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D5CE646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FFADAC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5A7EBD9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60F985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F54C190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192775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AFA4AF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F1B665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932B5D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976811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2446CD0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60F264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E3C4CE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A5F4C5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5000982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D7995A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C6EB77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E81A9A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F5709F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9264AC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D10A74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2ED9AC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0583557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3030B0C" w14:textId="3301C6C1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632A08B" w14:textId="73ADA2E9" w:rsidR="00FC0D2B" w:rsidRPr="006A01EA" w:rsidRDefault="00FC0D2B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74FC119" w14:textId="77777777" w:rsidR="00FC0D2B" w:rsidRPr="006A01EA" w:rsidRDefault="00FC0D2B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6CB86ED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9041B73" w14:textId="1B0BC795" w:rsidR="009F5FC2" w:rsidRPr="006A01EA" w:rsidRDefault="009F5FC2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DF46257" w14:textId="77777777" w:rsidR="00243C95" w:rsidRPr="006A01EA" w:rsidRDefault="00243C95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D9DCD16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9D1BBAE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E19D142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CE96A7B" w14:textId="77777777" w:rsidR="006A01EA" w:rsidRPr="00672F40" w:rsidRDefault="006A01EA" w:rsidP="00D4562B">
      <w:pPr>
        <w:pStyle w:val="Sansinterligne"/>
        <w:spacing w:before="0" w:after="0"/>
        <w:rPr>
          <w:lang w:eastAsia="en-US"/>
        </w:rPr>
      </w:pPr>
      <w:r>
        <w:lastRenderedPageBreak/>
        <w:t>Elément non pris en compte dans l’analyse des offres.</w:t>
      </w:r>
    </w:p>
    <w:p w14:paraId="1075D9E0" w14:textId="77777777" w:rsidR="00D4562B" w:rsidRDefault="00D4562B" w:rsidP="00D4562B">
      <w:pPr>
        <w:rPr>
          <w:rFonts w:asciiTheme="majorHAnsi" w:hAnsiTheme="majorHAnsi" w:cstheme="majorHAnsi"/>
          <w:b/>
          <w:szCs w:val="22"/>
          <w:u w:val="single"/>
        </w:rPr>
      </w:pPr>
    </w:p>
    <w:p w14:paraId="46AF5BFA" w14:textId="4A393A13" w:rsidR="00484366" w:rsidRPr="006A01EA" w:rsidRDefault="00484366" w:rsidP="00D4562B">
      <w:pPr>
        <w:rPr>
          <w:rFonts w:asciiTheme="majorHAnsi" w:hAnsiTheme="majorHAnsi" w:cstheme="majorHAnsi"/>
          <w:b/>
          <w:szCs w:val="22"/>
          <w:u w:val="single"/>
        </w:rPr>
      </w:pPr>
      <w:r w:rsidRPr="006A01EA">
        <w:rPr>
          <w:rFonts w:asciiTheme="majorHAnsi" w:hAnsiTheme="majorHAnsi" w:cstheme="majorHAnsi"/>
          <w:b/>
          <w:szCs w:val="22"/>
          <w:u w:val="single"/>
        </w:rPr>
        <w:t>Décrire les Outils informatiques et moyens dédiés à l’accompagnement et au suivi des prestations</w:t>
      </w:r>
      <w:r w:rsidRPr="006A01EA">
        <w:rPr>
          <w:rFonts w:asciiTheme="majorHAnsi" w:hAnsiTheme="majorHAnsi" w:cstheme="majorHAnsi"/>
          <w:b/>
          <w:strike/>
          <w:szCs w:val="22"/>
          <w:u w:val="single"/>
        </w:rPr>
        <w:t>.</w:t>
      </w:r>
    </w:p>
    <w:p w14:paraId="50685279" w14:textId="557C76C0" w:rsidR="00484366" w:rsidRPr="006A01EA" w:rsidRDefault="005C2BE4" w:rsidP="00D4562B">
      <w:pPr>
        <w:rPr>
          <w:rFonts w:asciiTheme="majorHAnsi" w:hAnsiTheme="majorHAnsi" w:cstheme="majorHAnsi"/>
          <w:szCs w:val="22"/>
        </w:rPr>
      </w:pPr>
      <w:r w:rsidRPr="006A01EA">
        <w:rPr>
          <w:rFonts w:asciiTheme="majorHAnsi" w:hAnsiTheme="majorHAnsi" w:cstheme="majorHAnsi"/>
          <w:szCs w:val="22"/>
        </w:rPr>
        <w:t xml:space="preserve">(Par exemple : </w:t>
      </w:r>
      <w:r w:rsidR="00C46220" w:rsidRPr="006A01EA">
        <w:rPr>
          <w:rFonts w:asciiTheme="majorHAnsi" w:hAnsiTheme="majorHAnsi" w:cstheme="majorHAnsi"/>
          <w:szCs w:val="22"/>
        </w:rPr>
        <w:t>D</w:t>
      </w:r>
      <w:r w:rsidRPr="006A01EA">
        <w:rPr>
          <w:rFonts w:asciiTheme="majorHAnsi" w:hAnsiTheme="majorHAnsi" w:cstheme="majorHAnsi"/>
          <w:szCs w:val="22"/>
        </w:rPr>
        <w:t>éclaration dématérialisée, RGPD, accès sécurisé, fonctionnalités, copie d’écran des portails de gestion des contrats et des sinistres).</w:t>
      </w:r>
    </w:p>
    <w:p w14:paraId="125E37BA" w14:textId="77777777" w:rsidR="005C2BE4" w:rsidRPr="006A01EA" w:rsidRDefault="005C2BE4" w:rsidP="00D4562B">
      <w:pPr>
        <w:rPr>
          <w:rFonts w:asciiTheme="majorHAnsi" w:hAnsiTheme="majorHAnsi" w:cstheme="majorHAnsi"/>
          <w:szCs w:val="22"/>
        </w:rPr>
      </w:pPr>
    </w:p>
    <w:p w14:paraId="4D30BED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215A0C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2C6FE36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71355B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BCCA101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4497470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104B4B1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C94D97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568A5E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AB103F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3F27A17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842B041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17076A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2855BC8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11EE372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09085373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F761DC0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160005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AFA5FFA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240C72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A24C1A9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F266DD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050140B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B1D9C0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9F85F1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864A9F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8D8E342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3935137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59F7696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1951689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F8E4887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0815D2D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DE0642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64703AEF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4091D730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5F929A6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2BF9DA5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C0FA2B2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500459DD" w14:textId="5DC0555E" w:rsidR="00484366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697D170" w14:textId="2AA16FA1" w:rsidR="00D4562B" w:rsidRDefault="00D4562B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D773903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21D30B4C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86528F8" w14:textId="4079D9F8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DABD38A" w14:textId="5FB32187" w:rsidR="00FF19B0" w:rsidRPr="006A01EA" w:rsidRDefault="00FF19B0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761A1567" w14:textId="23E59A74" w:rsidR="00FC0D2B" w:rsidRPr="006A01EA" w:rsidRDefault="00FC0D2B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3A631780" w14:textId="77777777" w:rsidR="00FC0D2B" w:rsidRPr="006A01EA" w:rsidRDefault="00FC0D2B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p w14:paraId="1BE17B14" w14:textId="77777777" w:rsidR="00484366" w:rsidRPr="006A01EA" w:rsidRDefault="00484366" w:rsidP="00D45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szCs w:val="22"/>
        </w:rPr>
      </w:pPr>
    </w:p>
    <w:sectPr w:rsidR="00484366" w:rsidRPr="006A01EA" w:rsidSect="00465BDF">
      <w:footerReference w:type="default" r:id="rId7"/>
      <w:pgSz w:w="11906" w:h="16838"/>
      <w:pgMar w:top="851" w:right="1274" w:bottom="1417" w:left="1417" w:header="708" w:footer="39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AE9AA" w16cex:dateUtc="2023-06-19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DA0F84" w16cid:durableId="283AE97E"/>
  <w16cid:commentId w16cid:paraId="42528552" w16cid:durableId="283AE9AA"/>
  <w16cid:commentId w16cid:paraId="2D920356" w16cid:durableId="283AE97F"/>
  <w16cid:commentId w16cid:paraId="5596BF8D" w16cid:durableId="283AE980"/>
  <w16cid:commentId w16cid:paraId="133F5EBD" w16cid:durableId="283AE9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2A1AC" w14:textId="77777777" w:rsidR="00A26897" w:rsidRDefault="00A26897" w:rsidP="009F4181">
      <w:r>
        <w:separator/>
      </w:r>
    </w:p>
  </w:endnote>
  <w:endnote w:type="continuationSeparator" w:id="0">
    <w:p w14:paraId="75C972A7" w14:textId="77777777" w:rsidR="00A26897" w:rsidRDefault="00A26897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F9396" w14:textId="221E4F82" w:rsidR="009F4181" w:rsidRDefault="009F4181" w:rsidP="009F4181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A</w:t>
    </w:r>
    <w:r w:rsidRPr="0028236E">
      <w:rPr>
        <w:rFonts w:asciiTheme="majorHAnsi" w:hAnsiTheme="majorHAnsi" w:cstheme="majorHAnsi"/>
        <w:sz w:val="16"/>
        <w:szCs w:val="16"/>
      </w:rPr>
      <w:t>FFAIRE N°2</w:t>
    </w:r>
    <w:r w:rsidR="00034782">
      <w:rPr>
        <w:rFonts w:asciiTheme="majorHAnsi" w:hAnsiTheme="majorHAnsi" w:cstheme="majorHAnsi"/>
        <w:sz w:val="16"/>
        <w:szCs w:val="16"/>
      </w:rPr>
      <w:t>4A0051</w:t>
    </w:r>
    <w:r w:rsidRPr="003B6B75">
      <w:rPr>
        <w:rFonts w:asciiTheme="majorHAnsi" w:hAnsiTheme="majorHAnsi" w:cstheme="majorHAnsi"/>
        <w:sz w:val="16"/>
        <w:szCs w:val="16"/>
      </w:rPr>
      <w:t xml:space="preserve">- </w:t>
    </w:r>
    <w:r w:rsidR="00034782" w:rsidRPr="00034782">
      <w:rPr>
        <w:rFonts w:asciiTheme="majorHAnsi" w:hAnsiTheme="majorHAnsi" w:cstheme="majorHAnsi"/>
        <w:sz w:val="16"/>
        <w:szCs w:val="16"/>
      </w:rPr>
      <w:t>ASSURANCES EN RESPONSABILITE CIVILE DU CHU DE MONTPELLIER PROMOTEUR DE RECHERCHES CLINIQUES</w:t>
    </w:r>
  </w:p>
  <w:p w14:paraId="534DDC73" w14:textId="133BD7FA" w:rsidR="009F4181" w:rsidRPr="009F4181" w:rsidRDefault="009F4181" w:rsidP="009F4181">
    <w:pPr>
      <w:pStyle w:val="Pieddepage"/>
      <w:tabs>
        <w:tab w:val="left" w:pos="5210"/>
      </w:tabs>
      <w:jc w:val="center"/>
      <w:rPr>
        <w:rFonts w:cstheme="majorHAnsi"/>
        <w:sz w:val="16"/>
      </w:rPr>
    </w:pPr>
    <w:r w:rsidRPr="003B6B75">
      <w:rPr>
        <w:rStyle w:val="Numrodepage"/>
        <w:rFonts w:cstheme="majorHAnsi"/>
        <w:sz w:val="16"/>
        <w:szCs w:val="16"/>
      </w:rPr>
      <w:t xml:space="preserve">Page 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PAGE </w:instrText>
    </w:r>
    <w:r w:rsidRPr="003B6B75">
      <w:rPr>
        <w:rStyle w:val="Numrodepage"/>
        <w:rFonts w:cstheme="majorHAnsi"/>
        <w:sz w:val="16"/>
      </w:rPr>
      <w:fldChar w:fldCharType="separate"/>
    </w:r>
    <w:r w:rsidR="00AD6CEF">
      <w:rPr>
        <w:rStyle w:val="Numrodepage"/>
        <w:rFonts w:cstheme="majorHAnsi"/>
        <w:noProof/>
        <w:sz w:val="16"/>
      </w:rPr>
      <w:t>4</w:t>
    </w:r>
    <w:r w:rsidRPr="003B6B75">
      <w:rPr>
        <w:rStyle w:val="Numrodepage"/>
        <w:rFonts w:cstheme="majorHAnsi"/>
        <w:sz w:val="16"/>
      </w:rPr>
      <w:fldChar w:fldCharType="end"/>
    </w:r>
    <w:r w:rsidRPr="003B6B75">
      <w:rPr>
        <w:rStyle w:val="Numrodepage"/>
        <w:rFonts w:cstheme="majorHAnsi"/>
        <w:sz w:val="16"/>
      </w:rPr>
      <w:t>/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NUMPAGES </w:instrText>
    </w:r>
    <w:r w:rsidRPr="003B6B75">
      <w:rPr>
        <w:rStyle w:val="Numrodepage"/>
        <w:rFonts w:cstheme="majorHAnsi"/>
        <w:sz w:val="16"/>
      </w:rPr>
      <w:fldChar w:fldCharType="separate"/>
    </w:r>
    <w:r w:rsidR="00AD6CEF">
      <w:rPr>
        <w:rStyle w:val="Numrodepage"/>
        <w:rFonts w:cstheme="majorHAnsi"/>
        <w:noProof/>
        <w:sz w:val="16"/>
      </w:rPr>
      <w:t>5</w:t>
    </w:r>
    <w:r w:rsidRPr="003B6B75">
      <w:rPr>
        <w:rStyle w:val="Numrodepage"/>
        <w:rFonts w:cstheme="majorHAnsi"/>
        <w:sz w:val="16"/>
      </w:rPr>
      <w:fldChar w:fldCharType="end"/>
    </w:r>
  </w:p>
  <w:p w14:paraId="6D0F0463" w14:textId="77777777" w:rsidR="009F4181" w:rsidRDefault="009F4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5EA8" w14:textId="77777777" w:rsidR="00A26897" w:rsidRDefault="00A26897" w:rsidP="009F4181">
      <w:r>
        <w:separator/>
      </w:r>
    </w:p>
  </w:footnote>
  <w:footnote w:type="continuationSeparator" w:id="0">
    <w:p w14:paraId="509C58C1" w14:textId="77777777" w:rsidR="00A26897" w:rsidRDefault="00A26897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5" w15:restartNumberingAfterBreak="0">
    <w:nsid w:val="1E902A37"/>
    <w:multiLevelType w:val="hybridMultilevel"/>
    <w:tmpl w:val="B488324A"/>
    <w:lvl w:ilvl="0" w:tplc="86028D2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E3AF5"/>
    <w:multiLevelType w:val="hybridMultilevel"/>
    <w:tmpl w:val="6D364E4E"/>
    <w:lvl w:ilvl="0" w:tplc="E0B65C4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06A56"/>
    <w:multiLevelType w:val="hybridMultilevel"/>
    <w:tmpl w:val="58DEA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580449D"/>
    <w:multiLevelType w:val="multilevel"/>
    <w:tmpl w:val="CCBAAA1E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2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9D5BEA"/>
    <w:multiLevelType w:val="hybridMultilevel"/>
    <w:tmpl w:val="7DE66C8C"/>
    <w:lvl w:ilvl="0" w:tplc="B288B7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21CB6"/>
    <w:multiLevelType w:val="hybridMultilevel"/>
    <w:tmpl w:val="6EB6BD5C"/>
    <w:lvl w:ilvl="0" w:tplc="6B946F3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3"/>
  </w:num>
  <w:num w:numId="22">
    <w:abstractNumId w:val="8"/>
  </w:num>
  <w:num w:numId="23">
    <w:abstractNumId w:val="15"/>
  </w:num>
  <w:num w:numId="24">
    <w:abstractNumId w:val="5"/>
  </w:num>
  <w:num w:numId="25">
    <w:abstractNumId w:val="14"/>
  </w:num>
  <w:num w:numId="26">
    <w:abstractNumId w:val="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34782"/>
    <w:rsid w:val="000B0781"/>
    <w:rsid w:val="000C3088"/>
    <w:rsid w:val="000F4BC6"/>
    <w:rsid w:val="0013588A"/>
    <w:rsid w:val="0015017A"/>
    <w:rsid w:val="00170647"/>
    <w:rsid w:val="001A11D0"/>
    <w:rsid w:val="001B0E5D"/>
    <w:rsid w:val="001D4177"/>
    <w:rsid w:val="00243C95"/>
    <w:rsid w:val="00276329"/>
    <w:rsid w:val="00280E29"/>
    <w:rsid w:val="0029002A"/>
    <w:rsid w:val="002A4955"/>
    <w:rsid w:val="00301265"/>
    <w:rsid w:val="003378C4"/>
    <w:rsid w:val="003419C9"/>
    <w:rsid w:val="003705F6"/>
    <w:rsid w:val="0038390B"/>
    <w:rsid w:val="00397C5A"/>
    <w:rsid w:val="003B608E"/>
    <w:rsid w:val="003C7A9C"/>
    <w:rsid w:val="003D45B7"/>
    <w:rsid w:val="00442847"/>
    <w:rsid w:val="004600DF"/>
    <w:rsid w:val="00460DF1"/>
    <w:rsid w:val="00465BDF"/>
    <w:rsid w:val="00480C84"/>
    <w:rsid w:val="00484366"/>
    <w:rsid w:val="00493F0F"/>
    <w:rsid w:val="00495F29"/>
    <w:rsid w:val="004E45CF"/>
    <w:rsid w:val="004F1AE6"/>
    <w:rsid w:val="00515216"/>
    <w:rsid w:val="005267C0"/>
    <w:rsid w:val="005529EF"/>
    <w:rsid w:val="00575ADA"/>
    <w:rsid w:val="00586D8E"/>
    <w:rsid w:val="005C2BE4"/>
    <w:rsid w:val="005E6E48"/>
    <w:rsid w:val="00645D4E"/>
    <w:rsid w:val="006A01EA"/>
    <w:rsid w:val="006C03D2"/>
    <w:rsid w:val="006D4B56"/>
    <w:rsid w:val="00716433"/>
    <w:rsid w:val="00766BA5"/>
    <w:rsid w:val="00784C0A"/>
    <w:rsid w:val="007C5ED4"/>
    <w:rsid w:val="00830C70"/>
    <w:rsid w:val="00870C28"/>
    <w:rsid w:val="008841E0"/>
    <w:rsid w:val="008A2A2B"/>
    <w:rsid w:val="008A459A"/>
    <w:rsid w:val="008D77BD"/>
    <w:rsid w:val="008F46E2"/>
    <w:rsid w:val="008F4B4A"/>
    <w:rsid w:val="00916631"/>
    <w:rsid w:val="00971059"/>
    <w:rsid w:val="00992FD7"/>
    <w:rsid w:val="009C6247"/>
    <w:rsid w:val="009E0C4B"/>
    <w:rsid w:val="009F4181"/>
    <w:rsid w:val="009F5FC2"/>
    <w:rsid w:val="00A26897"/>
    <w:rsid w:val="00A74785"/>
    <w:rsid w:val="00A75E86"/>
    <w:rsid w:val="00A95B25"/>
    <w:rsid w:val="00AA7476"/>
    <w:rsid w:val="00AD6CEF"/>
    <w:rsid w:val="00AE06DE"/>
    <w:rsid w:val="00B8586E"/>
    <w:rsid w:val="00B91F47"/>
    <w:rsid w:val="00BF0749"/>
    <w:rsid w:val="00BF6068"/>
    <w:rsid w:val="00BF6AAD"/>
    <w:rsid w:val="00C13AF4"/>
    <w:rsid w:val="00C215CB"/>
    <w:rsid w:val="00C406A0"/>
    <w:rsid w:val="00C46220"/>
    <w:rsid w:val="00C52A59"/>
    <w:rsid w:val="00C70578"/>
    <w:rsid w:val="00CA427F"/>
    <w:rsid w:val="00CD1B1D"/>
    <w:rsid w:val="00CF665C"/>
    <w:rsid w:val="00D046A9"/>
    <w:rsid w:val="00D4562B"/>
    <w:rsid w:val="00DA3E5D"/>
    <w:rsid w:val="00DC22E2"/>
    <w:rsid w:val="00DC464B"/>
    <w:rsid w:val="00DF2B62"/>
    <w:rsid w:val="00E01B55"/>
    <w:rsid w:val="00E13503"/>
    <w:rsid w:val="00E31E7C"/>
    <w:rsid w:val="00E773FA"/>
    <w:rsid w:val="00E846BB"/>
    <w:rsid w:val="00E95252"/>
    <w:rsid w:val="00EB582C"/>
    <w:rsid w:val="00ED0111"/>
    <w:rsid w:val="00ED24BC"/>
    <w:rsid w:val="00F328C8"/>
    <w:rsid w:val="00F66B4C"/>
    <w:rsid w:val="00F84FBB"/>
    <w:rsid w:val="00FC0D2B"/>
    <w:rsid w:val="00FE6C3B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6DC27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9C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A459A"/>
    <w:pPr>
      <w:keepNext/>
      <w:widowControl w:val="0"/>
      <w:numPr>
        <w:ilvl w:val="1"/>
        <w:numId w:val="20"/>
      </w:numPr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8A459A"/>
    <w:pPr>
      <w:keepNext/>
      <w:widowControl w:val="0"/>
      <w:numPr>
        <w:ilvl w:val="2"/>
        <w:numId w:val="9"/>
      </w:numPr>
      <w:autoSpaceDE w:val="0"/>
      <w:autoSpaceDN w:val="0"/>
      <w:adjustRightInd w:val="0"/>
      <w:textboxTightWrap w:val="allLines"/>
      <w:outlineLvl w:val="1"/>
    </w:pPr>
    <w:rPr>
      <w:rFonts w:asciiTheme="majorHAnsi" w:hAnsiTheme="majorHAnsi" w:cstheme="majorHAnsi"/>
      <w:b/>
      <w:bCs/>
      <w:iCs/>
      <w:sz w:val="20"/>
      <w:szCs w:val="14"/>
      <w:u w:val="single" w:color="000000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20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C13AF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C13AF4"/>
    <w:rPr>
      <w:rFonts w:asciiTheme="majorHAnsi" w:hAnsiTheme="majorHAnsi" w:cs="Arial"/>
      <w:b/>
      <w:caps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8A459A"/>
    <w:rPr>
      <w:rFonts w:asciiTheme="majorHAnsi" w:hAnsiTheme="majorHAnsi" w:cstheme="majorHAnsi"/>
      <w:b/>
      <w:bCs/>
      <w:iCs/>
      <w:sz w:val="20"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C406A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  <w:jc w:val="center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784C0A"/>
    <w:rPr>
      <w:rFonts w:asciiTheme="majorHAnsi" w:eastAsia="Arial Unicode MS" w:hAnsiTheme="majorHAnsi" w:cs="Arial"/>
      <w:b/>
      <w:bCs/>
      <w:szCs w:val="28"/>
      <w:u w:val="single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basedOn w:val="Normal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484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43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4366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43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4366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66"/>
    <w:rPr>
      <w:rFonts w:ascii="Segoe UI" w:hAnsi="Segoe UI" w:cs="Segoe UI"/>
      <w:sz w:val="18"/>
      <w:szCs w:val="18"/>
      <w:lang w:eastAsia="fr-FR"/>
    </w:rPr>
  </w:style>
  <w:style w:type="paragraph" w:customStyle="1" w:styleId="RedRub">
    <w:name w:val="RedRub"/>
    <w:basedOn w:val="Normal"/>
    <w:rsid w:val="00B8586E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5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CLAIR VINCENT</cp:lastModifiedBy>
  <cp:revision>47</cp:revision>
  <dcterms:created xsi:type="dcterms:W3CDTF">2023-07-06T07:13:00Z</dcterms:created>
  <dcterms:modified xsi:type="dcterms:W3CDTF">2024-12-02T15:14:00Z</dcterms:modified>
</cp:coreProperties>
</file>