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spacing w:before="57"/>
        <w:rPr>
          <w:rFonts w:eastAsia="Times New Roman" w:cs="Arial"/>
          <w:szCs w:val="20"/>
          <w:lang w:eastAsia="fr-FR"/>
        </w:rPr>
      </w:pPr>
    </w:p>
    <w:p>
      <w:pPr>
        <w:pStyle w:val="Standard"/>
        <w:rPr>
          <w:rFonts w:ascii="Arial" w:hAnsi="Arial"/>
          <w:sz w:val="22"/>
          <w:szCs w:val="22"/>
        </w:rPr>
      </w:pPr>
    </w:p>
    <w:p>
      <w:pPr>
        <w:pStyle w:val="Standard"/>
        <w:rPr>
          <w:rFonts w:ascii="Arial" w:hAnsi="Arial"/>
          <w:sz w:val="22"/>
          <w:szCs w:val="22"/>
        </w:rPr>
      </w:pPr>
    </w:p>
    <w:p>
      <w:pPr>
        <w:pStyle w:val="Standard"/>
        <w:rPr>
          <w:rFonts w:ascii="Arial" w:hAnsi="Arial"/>
          <w:sz w:val="22"/>
          <w:szCs w:val="22"/>
        </w:rPr>
      </w:pPr>
    </w:p>
    <w:p>
      <w:pPr>
        <w:pStyle w:val="Standard"/>
        <w:rPr>
          <w:rFonts w:ascii="Arial" w:hAnsi="Arial"/>
          <w:sz w:val="22"/>
          <w:szCs w:val="22"/>
        </w:rPr>
      </w:pPr>
    </w:p>
    <w:p>
      <w:pPr>
        <w:pStyle w:val="Standard"/>
        <w:rPr>
          <w:rFonts w:ascii="Arial" w:hAnsi="Arial"/>
          <w:sz w:val="22"/>
          <w:szCs w:val="22"/>
        </w:rPr>
      </w:pPr>
    </w:p>
    <w:p>
      <w:pPr>
        <w:pStyle w:val="Standard"/>
        <w:rPr>
          <w:rFonts w:ascii="Arial" w:hAnsi="Arial"/>
          <w:sz w:val="22"/>
          <w:szCs w:val="22"/>
        </w:rPr>
      </w:pPr>
    </w:p>
    <w:p>
      <w:pPr>
        <w:pStyle w:val="Standard"/>
        <w:rPr>
          <w:rFonts w:ascii="Arial" w:hAnsi="Arial"/>
          <w:sz w:val="22"/>
          <w:szCs w:val="22"/>
        </w:rPr>
      </w:pPr>
    </w:p>
    <w:p>
      <w:pPr>
        <w:pStyle w:val="Standard"/>
        <w:rPr>
          <w:rFonts w:ascii="Arial" w:hAnsi="Arial"/>
          <w:sz w:val="22"/>
          <w:szCs w:val="22"/>
        </w:rPr>
      </w:pPr>
    </w:p>
    <w:p>
      <w:pPr>
        <w:pStyle w:val="Standard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jc w:val="center"/>
        <w:rPr>
          <w:rFonts w:ascii="Arial" w:hAnsi="Arial" w:cs="Arial"/>
          <w:b/>
          <w:bCs/>
        </w:rPr>
      </w:pPr>
      <w:bookmarkStart w:id="0" w:name="_Hlk184137022"/>
      <w:r>
        <w:rPr>
          <w:rFonts w:ascii="Arial" w:hAnsi="Arial" w:cs="Arial"/>
          <w:b/>
          <w:bCs/>
        </w:rPr>
        <w:t>Accord-cadre relatif à la location et à la maintenance de systèmes d’impression numériques professionnels avec prestations associées au profit des ateliers et points d’impression des services centraux parisiens de l’État.</w:t>
      </w:r>
    </w:p>
    <w:p>
      <w:pPr>
        <w:pStyle w:val="Standard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jc w:val="center"/>
        <w:rPr>
          <w:rFonts w:ascii="Arial" w:hAnsi="Arial" w:cs="Arial"/>
          <w:b/>
          <w:bCs/>
        </w:rPr>
      </w:pPr>
    </w:p>
    <w:p>
      <w:pPr>
        <w:pStyle w:val="Standard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(</w:t>
      </w:r>
      <w:proofErr w:type="spellStart"/>
      <w:r>
        <w:rPr>
          <w:rFonts w:ascii="Arial" w:hAnsi="Arial" w:cs="Arial"/>
          <w:b/>
          <w:bCs/>
        </w:rPr>
        <w:t>SolimProd</w:t>
      </w:r>
      <w:proofErr w:type="spellEnd"/>
      <w:r>
        <w:rPr>
          <w:rFonts w:ascii="Arial" w:hAnsi="Arial" w:cs="Arial"/>
          <w:b/>
          <w:bCs/>
        </w:rPr>
        <w:t xml:space="preserve"> 2)</w:t>
      </w:r>
    </w:p>
    <w:bookmarkEnd w:id="0"/>
    <w:p>
      <w:pPr>
        <w:pStyle w:val="Standard"/>
        <w:rPr>
          <w:rFonts w:ascii="Marianne" w:hAnsi="Marianne"/>
          <w:sz w:val="22"/>
          <w:szCs w:val="22"/>
        </w:rPr>
      </w:pPr>
    </w:p>
    <w:p>
      <w:pPr>
        <w:pStyle w:val="Standard"/>
        <w:rPr>
          <w:rFonts w:ascii="Marianne" w:hAnsi="Marianne"/>
          <w:sz w:val="22"/>
          <w:szCs w:val="22"/>
        </w:rPr>
      </w:pPr>
    </w:p>
    <w:p>
      <w:pPr>
        <w:pStyle w:val="Standard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0" w:color="000000"/>
        </w:pBdr>
        <w:jc w:val="center"/>
        <w:rPr>
          <w:rFonts w:ascii="Arial" w:hAnsi="Arial" w:cs="Arial"/>
          <w:b/>
          <w:bCs/>
          <w:caps/>
          <w:sz w:val="22"/>
          <w:szCs w:val="22"/>
        </w:rPr>
      </w:pPr>
    </w:p>
    <w:p>
      <w:pPr>
        <w:pStyle w:val="Standard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0" w:color="000000"/>
        </w:pBdr>
        <w:jc w:val="center"/>
        <w:rPr>
          <w:rFonts w:ascii="Arial" w:hAnsi="Arial" w:cs="Arial"/>
          <w:b/>
          <w:bCs/>
          <w:caps/>
        </w:rPr>
      </w:pPr>
      <w:r>
        <w:rPr>
          <w:rFonts w:ascii="Arial" w:hAnsi="Arial" w:cs="Arial"/>
          <w:b/>
          <w:bCs/>
          <w:caps/>
        </w:rPr>
        <w:t>annexe AE 4</w:t>
      </w:r>
    </w:p>
    <w:p>
      <w:pPr>
        <w:pStyle w:val="Standard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0" w:color="000000"/>
        </w:pBdr>
        <w:jc w:val="center"/>
        <w:rPr>
          <w:rFonts w:ascii="Arial" w:hAnsi="Arial" w:cs="Arial"/>
          <w:b/>
          <w:bCs/>
          <w:caps/>
        </w:rPr>
      </w:pPr>
      <w:r>
        <w:rPr>
          <w:rFonts w:ascii="Arial" w:hAnsi="Arial" w:cs="Arial"/>
          <w:b/>
          <w:bCs/>
          <w:caps/>
        </w:rPr>
        <w:t>(Lot N°3)</w:t>
      </w:r>
    </w:p>
    <w:p>
      <w:pPr>
        <w:pStyle w:val="Standard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0" w:color="000000"/>
        </w:pBdr>
        <w:jc w:val="center"/>
        <w:rPr>
          <w:rFonts w:ascii="Arial" w:hAnsi="Arial" w:cs="Arial"/>
          <w:b/>
          <w:bCs/>
          <w:caps/>
        </w:rPr>
      </w:pPr>
    </w:p>
    <w:p>
      <w:pPr>
        <w:pStyle w:val="Standard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0" w:color="000000"/>
        </w:pBdr>
        <w:jc w:val="center"/>
        <w:rPr>
          <w:rFonts w:ascii="Arial" w:hAnsi="Arial" w:cs="Arial"/>
          <w:b/>
          <w:bCs/>
          <w:caps/>
        </w:rPr>
      </w:pPr>
      <w:r>
        <w:rPr>
          <w:rFonts w:ascii="Arial" w:hAnsi="Arial" w:cs="Arial"/>
          <w:b/>
          <w:bCs/>
          <w:caps/>
        </w:rPr>
        <w:t>Questionnaire sur la reprise des équipements</w:t>
      </w:r>
    </w:p>
    <w:p>
      <w:pPr>
        <w:pStyle w:val="Standard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0" w:color="000000"/>
        </w:pBdr>
        <w:jc w:val="center"/>
        <w:rPr>
          <w:rFonts w:ascii="Marianne" w:hAnsi="Marianne" w:cs="Arial"/>
          <w:b/>
          <w:bCs/>
          <w:caps/>
          <w:sz w:val="22"/>
          <w:szCs w:val="22"/>
        </w:rPr>
      </w:pPr>
    </w:p>
    <w:p>
      <w:pPr>
        <w:pStyle w:val="Standard"/>
        <w:jc w:val="center"/>
        <w:rPr>
          <w:rFonts w:ascii="Marianne" w:hAnsi="Marianne"/>
          <w:sz w:val="22"/>
          <w:szCs w:val="22"/>
        </w:rPr>
      </w:pPr>
    </w:p>
    <w:p>
      <w:pPr>
        <w:spacing w:before="57"/>
        <w:rPr>
          <w:rFonts w:ascii="Marianne" w:eastAsia="Times New Roman" w:hAnsi="Marianne" w:cs="Arial"/>
          <w:szCs w:val="20"/>
          <w:lang w:eastAsia="fr-FR"/>
        </w:rPr>
      </w:pPr>
    </w:p>
    <w:p>
      <w:pPr>
        <w:spacing w:before="57"/>
        <w:rPr>
          <w:rFonts w:ascii="Marianne" w:eastAsia="Times New Roman" w:hAnsi="Marianne" w:cs="Arial"/>
          <w:szCs w:val="20"/>
          <w:lang w:eastAsia="fr-FR"/>
        </w:rPr>
      </w:pPr>
    </w:p>
    <w:p>
      <w:pPr>
        <w:spacing w:before="57"/>
        <w:rPr>
          <w:rFonts w:ascii="Marianne" w:eastAsia="Times New Roman" w:hAnsi="Marianne" w:cs="Arial"/>
          <w:szCs w:val="20"/>
          <w:lang w:eastAsia="fr-FR"/>
        </w:rPr>
      </w:pPr>
    </w:p>
    <w:p>
      <w:pPr>
        <w:spacing w:before="57"/>
        <w:rPr>
          <w:rFonts w:ascii="Marianne" w:eastAsia="Times New Roman" w:hAnsi="Marianne" w:cs="Arial"/>
          <w:szCs w:val="20"/>
          <w:lang w:eastAsia="fr-FR"/>
        </w:rPr>
      </w:pPr>
    </w:p>
    <w:p>
      <w:pPr>
        <w:spacing w:before="57"/>
        <w:rPr>
          <w:rFonts w:ascii="Marianne" w:eastAsia="Times New Roman" w:hAnsi="Marianne" w:cs="Arial"/>
          <w:szCs w:val="20"/>
          <w:lang w:eastAsia="fr-FR"/>
        </w:rPr>
      </w:pPr>
    </w:p>
    <w:p>
      <w:pPr>
        <w:spacing w:before="57"/>
        <w:rPr>
          <w:rFonts w:ascii="Arial" w:eastAsia="Times New Roman" w:hAnsi="Arial" w:cs="Arial"/>
          <w:szCs w:val="20"/>
          <w:lang w:eastAsia="fr-FR"/>
        </w:rPr>
      </w:pPr>
      <w:r>
        <w:rPr>
          <w:rFonts w:ascii="Arial" w:eastAsia="Times New Roman" w:hAnsi="Arial" w:cs="Arial"/>
          <w:b/>
          <w:bCs/>
          <w:szCs w:val="20"/>
          <w:lang w:eastAsia="fr-FR"/>
        </w:rPr>
        <w:t>Numéro de consultation : DAE-2025-AC-SOLIMPROD2</w:t>
      </w:r>
    </w:p>
    <w:p>
      <w:pPr>
        <w:spacing w:before="57"/>
        <w:rPr>
          <w:rFonts w:ascii="Arial" w:eastAsia="Times New Roman" w:hAnsi="Arial" w:cs="Arial"/>
          <w:b/>
          <w:bCs/>
          <w:szCs w:val="20"/>
          <w:lang w:eastAsia="fr-FR"/>
        </w:rPr>
      </w:pPr>
    </w:p>
    <w:p>
      <w:pPr>
        <w:spacing w:before="57"/>
        <w:rPr>
          <w:rFonts w:ascii="Arial" w:eastAsia="Times New Roman" w:hAnsi="Arial" w:cs="Arial"/>
          <w:szCs w:val="20"/>
          <w:lang w:eastAsia="fr-FR"/>
        </w:rPr>
      </w:pPr>
      <w:r>
        <w:rPr>
          <w:rFonts w:ascii="Arial" w:eastAsia="Times New Roman" w:hAnsi="Arial" w:cs="Arial"/>
          <w:b/>
          <w:bCs/>
          <w:szCs w:val="20"/>
          <w:lang w:eastAsia="fr-FR"/>
        </w:rPr>
        <w:t>Procédure de passation :</w:t>
      </w:r>
      <w:r>
        <w:rPr>
          <w:rFonts w:ascii="Arial" w:eastAsia="Times New Roman" w:hAnsi="Arial" w:cs="Arial"/>
          <w:szCs w:val="20"/>
          <w:lang w:eastAsia="fr-FR"/>
        </w:rPr>
        <w:t xml:space="preserve"> Appel d’offres ouvert </w:t>
      </w:r>
    </w:p>
    <w:p>
      <w:pPr>
        <w:contextualSpacing w:val="0"/>
        <w:jc w:val="center"/>
        <w:rPr>
          <w:rFonts w:ascii="Liberation Sans" w:eastAsia="SimSun" w:hAnsi="Liberation Sans" w:cs="Mangal"/>
          <w:b/>
          <w:kern w:val="1"/>
          <w:sz w:val="24"/>
          <w:szCs w:val="24"/>
          <w:lang w:eastAsia="zh-CN" w:bidi="hi-IN"/>
        </w:rPr>
      </w:pPr>
      <w:r>
        <w:rPr>
          <w:b/>
          <w:sz w:val="24"/>
        </w:rPr>
        <w:br w:type="page"/>
      </w:r>
    </w:p>
    <w:p>
      <w:pPr>
        <w:pStyle w:val="Corpsdetexte"/>
        <w:pBdr>
          <w:bottom w:val="single" w:sz="4" w:space="1" w:color="auto"/>
        </w:pBd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>A remplir et signer par le titulaire du marché</w:t>
      </w:r>
    </w:p>
    <w:p>
      <w:pPr>
        <w:pStyle w:val="Corpsdetexte"/>
        <w:jc w:val="center"/>
        <w:rPr>
          <w:rFonts w:ascii="Marianne" w:hAnsi="Marianne" w:cs="Arial"/>
          <w:b/>
          <w:bCs/>
        </w:rPr>
      </w:pPr>
    </w:p>
    <w:p>
      <w:pPr>
        <w:spacing w:after="100"/>
        <w:rPr>
          <w:rFonts w:ascii="Arial" w:hAnsi="Arial" w:cs="Arial"/>
          <w:b/>
        </w:rPr>
      </w:pPr>
    </w:p>
    <w:p>
      <w:pPr>
        <w:spacing w:after="10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Le présent mémoire vise à décrire le système d’enlèvement et de traitement des solutions d’impression en fin d’usage mis en œuvre dans le cadre de l’exécution du marché. </w:t>
      </w:r>
    </w:p>
    <w:p>
      <w:pPr>
        <w:spacing w:after="100"/>
        <w:rPr>
          <w:rFonts w:ascii="Arial" w:hAnsi="Arial" w:cs="Arial"/>
          <w:b/>
        </w:rPr>
      </w:pPr>
    </w:p>
    <w:p>
      <w:pPr>
        <w:spacing w:after="100"/>
        <w:rPr>
          <w:rFonts w:ascii="Arial" w:hAnsi="Arial" w:cs="Arial"/>
          <w:b/>
        </w:rPr>
      </w:pPr>
      <w:r>
        <w:rPr>
          <w:rFonts w:ascii="Arial" w:hAnsi="Arial" w:cs="Arial"/>
          <w:b/>
        </w:rPr>
        <w:t>Le titulaire transmet à l’acheteur ce questionnaire dûment rempli dans un délai d’un mois à compter de la notification du marché.</w:t>
      </w:r>
    </w:p>
    <w:p>
      <w:pPr>
        <w:rPr>
          <w:rFonts w:ascii="Arial" w:hAnsi="Arial" w:cs="Arial"/>
          <w:b/>
          <w:bCs/>
        </w:rPr>
      </w:pPr>
    </w:p>
    <w:p>
      <w:pPr>
        <w:pStyle w:val="Corpsdetexte"/>
        <w:spacing w:after="1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 terme « producteur » est considéré au sens de la réglementation relative aux déchets d’équipements électriques et électroniques (art. R. 543-174 du code de l’environnement).</w:t>
      </w:r>
    </w:p>
    <w:p>
      <w:pPr>
        <w:pStyle w:val="Corpsdetexte"/>
        <w:spacing w:after="1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Est ainsi considérée comme producteur toute personne physique ou morale qui, quelle que soit la technique de vente utilisée, y compris par communication à distance :</w:t>
      </w:r>
    </w:p>
    <w:p>
      <w:pPr>
        <w:pStyle w:val="Corpsdetexte"/>
        <w:numPr>
          <w:ilvl w:val="0"/>
          <w:numId w:val="25"/>
        </w:numPr>
        <w:spacing w:after="100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Est établie en France et sous son propre nom ou sa propre marque, fabrique, fait concevoir ou fabriquer à des fins de commercialisation ou revend des équipements électriques et électroniques ;</w:t>
      </w:r>
    </w:p>
    <w:p>
      <w:pPr>
        <w:pStyle w:val="Corpsdetexte"/>
        <w:numPr>
          <w:ilvl w:val="0"/>
          <w:numId w:val="25"/>
        </w:numPr>
        <w:spacing w:after="100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Est établie en France et met sur le marché à titre professionnel, des équipements électriques et électroniques provenant d'un pays tiers ou d'un autre Etat membre ;</w:t>
      </w:r>
    </w:p>
    <w:p>
      <w:pPr>
        <w:pStyle w:val="Corpsdetexte"/>
        <w:numPr>
          <w:ilvl w:val="0"/>
          <w:numId w:val="25"/>
        </w:numPr>
        <w:spacing w:after="100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Est établie dans un autre Etat membre ou dans un pays tiers et vend en France des équipements électriques et électroniques par communication à distance directement aux utilisateurs.</w:t>
      </w:r>
    </w:p>
    <w:p>
      <w:pPr>
        <w:contextualSpacing w:val="0"/>
        <w:jc w:val="center"/>
        <w:rPr>
          <w:rFonts w:ascii="Marianne" w:eastAsia="SimSun" w:hAnsi="Marianne" w:cs="Arial"/>
          <w:kern w:val="1"/>
          <w:lang w:eastAsia="zh-CN" w:bidi="hi-IN"/>
        </w:rPr>
      </w:pPr>
      <w:r>
        <w:rPr>
          <w:rFonts w:ascii="Marianne" w:hAnsi="Marianne" w:cs="Arial"/>
        </w:rPr>
        <w:br w:type="page"/>
      </w:r>
    </w:p>
    <w:p>
      <w:pPr>
        <w:pStyle w:val="Corpsdetexte"/>
        <w:numPr>
          <w:ilvl w:val="0"/>
          <w:numId w:val="26"/>
        </w:numPr>
        <w:spacing w:after="100"/>
        <w:jc w:val="both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lastRenderedPageBreak/>
        <w:t>Raison sociale de la société titulaire et contact référent pour la gestion des déchets</w:t>
      </w:r>
    </w:p>
    <w:p>
      <w:pPr>
        <w:pStyle w:val="Corpsdetexte"/>
        <w:tabs>
          <w:tab w:val="left" w:leader="dot" w:pos="9072"/>
        </w:tabs>
        <w:spacing w:after="10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</w:p>
    <w:p>
      <w:pPr>
        <w:pStyle w:val="Corpsdetexte"/>
        <w:tabs>
          <w:tab w:val="left" w:leader="dot" w:pos="9072"/>
        </w:tabs>
        <w:spacing w:after="10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ab/>
      </w:r>
    </w:p>
    <w:p>
      <w:pPr>
        <w:pStyle w:val="Corpsdetexte"/>
        <w:tabs>
          <w:tab w:val="left" w:leader="dot" w:pos="9072"/>
        </w:tabs>
        <w:spacing w:after="10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ab/>
      </w:r>
    </w:p>
    <w:p>
      <w:pPr>
        <w:pStyle w:val="Corpsdetexte"/>
        <w:tabs>
          <w:tab w:val="left" w:leader="dot" w:pos="9072"/>
        </w:tabs>
        <w:spacing w:after="100"/>
        <w:jc w:val="both"/>
        <w:rPr>
          <w:rFonts w:ascii="Arial" w:hAnsi="Arial" w:cs="Arial"/>
          <w:szCs w:val="20"/>
        </w:rPr>
      </w:pPr>
    </w:p>
    <w:p>
      <w:pPr>
        <w:pStyle w:val="Corpsdetexte"/>
        <w:numPr>
          <w:ilvl w:val="0"/>
          <w:numId w:val="26"/>
        </w:numPr>
        <w:tabs>
          <w:tab w:val="left" w:leader="dot" w:pos="9072"/>
        </w:tabs>
        <w:spacing w:after="100"/>
        <w:jc w:val="both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Etes-vous considéré comme le producteur des équipements électriques et électroniques fournis dans le cadre du marché au sens de la réglementation ?</w:t>
      </w:r>
    </w:p>
    <w:p>
      <w:pPr>
        <w:pStyle w:val="Corpsdetexte"/>
        <w:tabs>
          <w:tab w:val="left" w:leader="dot" w:pos="9072"/>
        </w:tabs>
        <w:spacing w:after="100"/>
        <w:jc w:val="both"/>
        <w:rPr>
          <w:rFonts w:ascii="Arial" w:hAnsi="Arial" w:cs="Arial"/>
          <w:szCs w:val="20"/>
        </w:rPr>
      </w:pPr>
      <w:sdt>
        <w:sdtPr>
          <w:rPr>
            <w:rFonts w:ascii="Arial" w:hAnsi="Arial" w:cs="Arial"/>
            <w:szCs w:val="20"/>
          </w:rPr>
          <w:id w:val="-9675092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Segoe UI Symbol" w:eastAsia="MS Gothic" w:hAnsi="Segoe UI Symbol" w:cs="Segoe UI Symbol"/>
              <w:szCs w:val="20"/>
            </w:rPr>
            <w:t>☐</w:t>
          </w:r>
        </w:sdtContent>
      </w:sdt>
      <w:r>
        <w:rPr>
          <w:rFonts w:ascii="Arial" w:hAnsi="Arial" w:cs="Arial"/>
          <w:szCs w:val="20"/>
        </w:rPr>
        <w:t xml:space="preserve"> Oui    </w:t>
      </w:r>
      <w:sdt>
        <w:sdtPr>
          <w:rPr>
            <w:rFonts w:ascii="Arial" w:hAnsi="Arial" w:cs="Arial"/>
            <w:szCs w:val="20"/>
          </w:rPr>
          <w:id w:val="14381014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Segoe UI Symbol" w:eastAsia="MS Gothic" w:hAnsi="Segoe UI Symbol" w:cs="Segoe UI Symbol"/>
              <w:szCs w:val="20"/>
            </w:rPr>
            <w:t>☐</w:t>
          </w:r>
        </w:sdtContent>
      </w:sdt>
      <w:r>
        <w:rPr>
          <w:rFonts w:ascii="Arial" w:hAnsi="Arial" w:cs="Arial"/>
          <w:szCs w:val="20"/>
        </w:rPr>
        <w:t xml:space="preserve">  Non</w:t>
      </w:r>
    </w:p>
    <w:p>
      <w:pPr>
        <w:pStyle w:val="Corpsdetexte"/>
        <w:tabs>
          <w:tab w:val="left" w:leader="dot" w:pos="9072"/>
        </w:tabs>
        <w:spacing w:after="100"/>
        <w:jc w:val="both"/>
        <w:rPr>
          <w:rFonts w:ascii="Arial" w:hAnsi="Arial" w:cs="Arial"/>
          <w:b/>
          <w:szCs w:val="20"/>
        </w:rPr>
      </w:pPr>
    </w:p>
    <w:p>
      <w:pPr>
        <w:pStyle w:val="Corpsdetexte"/>
        <w:numPr>
          <w:ilvl w:val="0"/>
          <w:numId w:val="26"/>
        </w:numPr>
        <w:tabs>
          <w:tab w:val="left" w:leader="dot" w:pos="9072"/>
        </w:tabs>
        <w:spacing w:after="100"/>
        <w:jc w:val="both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Identification du producteur des équipements fournis dans le cadre du marché</w:t>
      </w:r>
    </w:p>
    <w:p>
      <w:pPr>
        <w:pStyle w:val="Corpsdetexte"/>
        <w:tabs>
          <w:tab w:val="left" w:leader="dot" w:pos="9072"/>
        </w:tabs>
        <w:spacing w:after="10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Nom du producteur : </w:t>
      </w:r>
      <w:r>
        <w:rPr>
          <w:rFonts w:ascii="Arial" w:hAnsi="Arial" w:cs="Arial"/>
          <w:szCs w:val="20"/>
        </w:rPr>
        <w:tab/>
      </w:r>
    </w:p>
    <w:p>
      <w:pPr>
        <w:pStyle w:val="Corpsdetexte"/>
        <w:tabs>
          <w:tab w:val="left" w:leader="dot" w:pos="9072"/>
        </w:tabs>
        <w:spacing w:after="10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Raison sociale : </w:t>
      </w:r>
      <w:r>
        <w:rPr>
          <w:rFonts w:ascii="Arial" w:hAnsi="Arial" w:cs="Arial"/>
          <w:szCs w:val="20"/>
        </w:rPr>
        <w:tab/>
      </w:r>
    </w:p>
    <w:p>
      <w:pPr>
        <w:pStyle w:val="Corpsdetexte"/>
        <w:tabs>
          <w:tab w:val="left" w:leader="dot" w:pos="9072"/>
        </w:tabs>
        <w:spacing w:after="10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Adresse du siège social : </w:t>
      </w:r>
      <w:r>
        <w:rPr>
          <w:rFonts w:ascii="Arial" w:hAnsi="Arial" w:cs="Arial"/>
          <w:szCs w:val="20"/>
        </w:rPr>
        <w:tab/>
      </w:r>
    </w:p>
    <w:p>
      <w:pPr>
        <w:pStyle w:val="Corpsdetexte"/>
        <w:tabs>
          <w:tab w:val="left" w:leader="dot" w:pos="9072"/>
        </w:tabs>
        <w:spacing w:after="100"/>
        <w:jc w:val="both"/>
        <w:rPr>
          <w:rFonts w:ascii="Arial" w:hAnsi="Arial" w:cs="Arial"/>
          <w:szCs w:val="20"/>
        </w:rPr>
      </w:pPr>
      <w:proofErr w:type="gramStart"/>
      <w:r>
        <w:rPr>
          <w:rFonts w:ascii="Arial" w:hAnsi="Arial" w:cs="Arial"/>
          <w:szCs w:val="20"/>
        </w:rPr>
        <w:t>Coordonnées téléphonique</w:t>
      </w:r>
      <w:proofErr w:type="gramEnd"/>
      <w:r>
        <w:rPr>
          <w:rFonts w:ascii="Arial" w:hAnsi="Arial" w:cs="Arial"/>
          <w:szCs w:val="20"/>
        </w:rPr>
        <w:t xml:space="preserve"> du siège social : </w:t>
      </w:r>
      <w:r>
        <w:rPr>
          <w:rFonts w:ascii="Arial" w:hAnsi="Arial" w:cs="Arial"/>
          <w:szCs w:val="20"/>
        </w:rPr>
        <w:tab/>
      </w:r>
    </w:p>
    <w:p>
      <w:pPr>
        <w:pStyle w:val="Corpsdetexte"/>
        <w:tabs>
          <w:tab w:val="left" w:leader="dot" w:pos="9072"/>
        </w:tabs>
        <w:spacing w:after="10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Observations éventuelles : </w:t>
      </w:r>
      <w:r>
        <w:rPr>
          <w:rFonts w:ascii="Arial" w:hAnsi="Arial" w:cs="Arial"/>
          <w:szCs w:val="20"/>
        </w:rPr>
        <w:tab/>
      </w:r>
    </w:p>
    <w:p>
      <w:pPr>
        <w:pStyle w:val="Corpsdetexte"/>
        <w:tabs>
          <w:tab w:val="left" w:leader="dot" w:pos="9072"/>
        </w:tabs>
        <w:spacing w:after="10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ab/>
      </w:r>
    </w:p>
    <w:p>
      <w:pPr>
        <w:pStyle w:val="Corpsdetexte"/>
        <w:tabs>
          <w:tab w:val="left" w:leader="dot" w:pos="9072"/>
        </w:tabs>
        <w:spacing w:after="10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ab/>
      </w:r>
    </w:p>
    <w:p>
      <w:pPr>
        <w:pStyle w:val="Corpsdetexte"/>
        <w:tabs>
          <w:tab w:val="left" w:leader="dot" w:pos="9072"/>
        </w:tabs>
        <w:spacing w:after="100"/>
        <w:jc w:val="both"/>
        <w:rPr>
          <w:rFonts w:ascii="Arial" w:hAnsi="Arial" w:cs="Arial"/>
          <w:b/>
          <w:szCs w:val="20"/>
        </w:rPr>
      </w:pPr>
    </w:p>
    <w:p>
      <w:pPr>
        <w:pStyle w:val="Corpsdetexte"/>
        <w:numPr>
          <w:ilvl w:val="0"/>
          <w:numId w:val="26"/>
        </w:numPr>
        <w:tabs>
          <w:tab w:val="left" w:leader="dot" w:pos="9072"/>
        </w:tabs>
        <w:spacing w:after="100"/>
        <w:jc w:val="both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Système mis en place par le producteur des équipements</w:t>
      </w:r>
    </w:p>
    <w:p>
      <w:pPr>
        <w:pStyle w:val="Corpsdetexte"/>
        <w:jc w:val="both"/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szCs w:val="20"/>
        </w:rPr>
        <w:t>En application de l’article R.543-196 du Code de l’environnement, le titulaire indique ci-dessous le dispositif choisi par le producteur (système individuel ou éco-organisme agréé) pour assurer ses obligations réglementaires en matière d’enlèvement des déchets issus des équipements qu’il produit ainsi que le nom du dispositif et les coordonnées des personnes à contacter pour assurer l’enlèvement.</w:t>
      </w:r>
    </w:p>
    <w:p>
      <w:pPr>
        <w:pStyle w:val="Corpsdetexte"/>
        <w:tabs>
          <w:tab w:val="left" w:leader="dot" w:pos="9072"/>
        </w:tabs>
        <w:spacing w:after="100"/>
        <w:jc w:val="both"/>
        <w:rPr>
          <w:rFonts w:ascii="Arial" w:hAnsi="Arial" w:cs="Arial"/>
          <w:b/>
          <w:szCs w:val="20"/>
        </w:rPr>
      </w:pPr>
    </w:p>
    <w:tbl>
      <w:tblPr>
        <w:tblStyle w:val="Grilledutableau"/>
        <w:tblW w:w="0" w:type="auto"/>
        <w:tblLayout w:type="fixed"/>
        <w:tblLook w:val="0000" w:firstRow="0" w:lastRow="0" w:firstColumn="0" w:lastColumn="0" w:noHBand="0" w:noVBand="0"/>
      </w:tblPr>
      <w:tblGrid>
        <w:gridCol w:w="2298"/>
        <w:gridCol w:w="7340"/>
      </w:tblGrid>
      <w:tr>
        <w:tc>
          <w:tcPr>
            <w:tcW w:w="2298" w:type="dxa"/>
          </w:tcPr>
          <w:p>
            <w:pPr>
              <w:pStyle w:val="Contenudetableau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b/>
                <w:bCs/>
                <w:szCs w:val="20"/>
              </w:rPr>
              <w:t>Système individuel</w:t>
            </w:r>
          </w:p>
        </w:tc>
        <w:tc>
          <w:tcPr>
            <w:tcW w:w="7340" w:type="dxa"/>
          </w:tcPr>
          <w:p>
            <w:pPr>
              <w:pStyle w:val="Contenudetableau"/>
              <w:jc w:val="both"/>
              <w:rPr>
                <w:rFonts w:ascii="Arial" w:hAnsi="Arial" w:cs="Arial"/>
                <w:b/>
                <w:bCs/>
                <w:szCs w:val="20"/>
              </w:rPr>
            </w:pPr>
            <w:sdt>
              <w:sdtPr>
                <w:rPr>
                  <w:rFonts w:ascii="Arial" w:hAnsi="Arial" w:cs="Arial"/>
                  <w:iCs/>
                  <w:szCs w:val="20"/>
                </w:rPr>
                <w:id w:val="891241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Segoe UI Symbol" w:eastAsia="MS Gothic" w:hAnsi="Segoe UI Symbol" w:cs="Segoe UI Symbol"/>
                    <w:iCs/>
                    <w:szCs w:val="20"/>
                  </w:rPr>
                  <w:t>☐</w:t>
                </w:r>
              </w:sdtContent>
            </w:sdt>
            <w:r>
              <w:rPr>
                <w:rFonts w:ascii="Arial" w:hAnsi="Arial" w:cs="Arial"/>
                <w:i/>
                <w:iCs/>
                <w:szCs w:val="20"/>
                <w:vertAlign w:val="superscript"/>
              </w:rPr>
              <w:t xml:space="preserve"> </w:t>
            </w:r>
            <w:r>
              <w:rPr>
                <w:rFonts w:ascii="Arial" w:hAnsi="Arial" w:cs="Arial"/>
                <w:iCs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iCs/>
                <w:szCs w:val="20"/>
              </w:rPr>
              <w:t>case</w:t>
            </w:r>
            <w:proofErr w:type="gramEnd"/>
            <w:r>
              <w:rPr>
                <w:rFonts w:ascii="Arial" w:hAnsi="Arial" w:cs="Arial"/>
                <w:iCs/>
                <w:szCs w:val="20"/>
              </w:rPr>
              <w:t xml:space="preserve"> à cocher lorsque le producteur a opté pour le dispositif du système individuel, joindre l’attestation correspondante</w:t>
            </w:r>
            <w:r>
              <w:rPr>
                <w:rStyle w:val="Appelnotedebasdep"/>
                <w:rFonts w:ascii="Arial" w:hAnsi="Arial" w:cs="Arial"/>
                <w:iCs/>
                <w:szCs w:val="20"/>
              </w:rPr>
              <w:footnoteReference w:id="1"/>
            </w:r>
            <w:r>
              <w:rPr>
                <w:rFonts w:ascii="Arial" w:hAnsi="Arial" w:cs="Arial"/>
                <w:iCs/>
                <w:szCs w:val="20"/>
              </w:rPr>
              <w:t>)</w:t>
            </w:r>
          </w:p>
        </w:tc>
      </w:tr>
      <w:tr>
        <w:tc>
          <w:tcPr>
            <w:tcW w:w="2298" w:type="dxa"/>
          </w:tcPr>
          <w:p>
            <w:pPr>
              <w:pStyle w:val="Contenudetableau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b/>
                <w:bCs/>
                <w:szCs w:val="20"/>
              </w:rPr>
              <w:t>Nom du système individuel tel que ce nom figure dans le registre de l’ADEME</w:t>
            </w:r>
            <w:bookmarkStart w:id="1" w:name="_Ref487725492"/>
            <w:r>
              <w:rPr>
                <w:rStyle w:val="Appelnotedebasdep"/>
                <w:rFonts w:ascii="Arial" w:hAnsi="Arial" w:cs="Arial"/>
                <w:szCs w:val="20"/>
              </w:rPr>
              <w:footnoteReference w:id="2"/>
            </w:r>
            <w:bookmarkEnd w:id="1"/>
            <w:r>
              <w:rPr>
                <w:rFonts w:ascii="Arial" w:hAnsi="Arial" w:cs="Arial"/>
                <w:b/>
                <w:bCs/>
                <w:szCs w:val="20"/>
              </w:rPr>
              <w:t xml:space="preserve"> où les producteurs d’équipements électriques et électroniques sont tenus de s’enregistrer</w:t>
            </w:r>
          </w:p>
        </w:tc>
        <w:tc>
          <w:tcPr>
            <w:tcW w:w="7340" w:type="dxa"/>
          </w:tcPr>
          <w:p>
            <w:pPr>
              <w:pStyle w:val="Contenudetableau"/>
              <w:jc w:val="both"/>
              <w:rPr>
                <w:rFonts w:ascii="Arial" w:hAnsi="Arial" w:cs="Arial"/>
                <w:szCs w:val="20"/>
              </w:rPr>
            </w:pPr>
          </w:p>
        </w:tc>
      </w:tr>
      <w:tr>
        <w:tc>
          <w:tcPr>
            <w:tcW w:w="2298" w:type="dxa"/>
          </w:tcPr>
          <w:p>
            <w:pPr>
              <w:pStyle w:val="Contenudetableau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b/>
                <w:bCs/>
                <w:szCs w:val="20"/>
              </w:rPr>
              <w:t>Nom, prénom, coordonnées téléphoniques, adresse des personnes à contacter pour assurer l’enlèvement </w:t>
            </w:r>
          </w:p>
        </w:tc>
        <w:tc>
          <w:tcPr>
            <w:tcW w:w="7340" w:type="dxa"/>
          </w:tcPr>
          <w:p>
            <w:pPr>
              <w:pStyle w:val="Contenudetableau"/>
              <w:jc w:val="both"/>
              <w:rPr>
                <w:rFonts w:ascii="Arial" w:hAnsi="Arial" w:cs="Arial"/>
                <w:szCs w:val="20"/>
              </w:rPr>
            </w:pPr>
          </w:p>
          <w:p>
            <w:pPr>
              <w:pStyle w:val="Contenudetableau"/>
              <w:jc w:val="both"/>
              <w:rPr>
                <w:rFonts w:ascii="Arial" w:hAnsi="Arial" w:cs="Arial"/>
                <w:szCs w:val="20"/>
              </w:rPr>
            </w:pPr>
          </w:p>
          <w:p>
            <w:pPr>
              <w:pStyle w:val="Contenudetableau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i/>
                <w:iCs/>
                <w:szCs w:val="20"/>
                <w:vertAlign w:val="superscript"/>
              </w:rPr>
              <w:t xml:space="preserve"> (</w:t>
            </w:r>
            <w:proofErr w:type="gramStart"/>
            <w:r>
              <w:rPr>
                <w:rFonts w:ascii="Arial" w:hAnsi="Arial" w:cs="Arial"/>
                <w:i/>
                <w:iCs/>
                <w:szCs w:val="20"/>
                <w:vertAlign w:val="superscript"/>
              </w:rPr>
              <w:t>joindre</w:t>
            </w:r>
            <w:proofErr w:type="gramEnd"/>
            <w:r>
              <w:rPr>
                <w:rFonts w:ascii="Arial" w:hAnsi="Arial" w:cs="Arial"/>
                <w:i/>
                <w:iCs/>
                <w:szCs w:val="20"/>
                <w:vertAlign w:val="superscript"/>
              </w:rPr>
              <w:t xml:space="preserve"> éventuellement une liste)</w:t>
            </w:r>
          </w:p>
        </w:tc>
      </w:tr>
    </w:tbl>
    <w:p>
      <w:pPr>
        <w:pStyle w:val="Corpsdetexte"/>
        <w:tabs>
          <w:tab w:val="left" w:leader="dot" w:pos="9072"/>
        </w:tabs>
        <w:spacing w:after="100"/>
        <w:jc w:val="both"/>
        <w:rPr>
          <w:rFonts w:ascii="Marianne" w:hAnsi="Marianne" w:cs="Arial"/>
          <w:b/>
          <w:sz w:val="22"/>
          <w:szCs w:val="22"/>
        </w:rPr>
      </w:pPr>
    </w:p>
    <w:p>
      <w:pPr>
        <w:contextualSpacing w:val="0"/>
        <w:jc w:val="center"/>
        <w:rPr>
          <w:rFonts w:ascii="Marianne" w:eastAsia="SimSun" w:hAnsi="Marianne" w:cs="Arial"/>
          <w:b/>
          <w:kern w:val="1"/>
          <w:lang w:eastAsia="zh-CN" w:bidi="hi-IN"/>
        </w:rPr>
      </w:pPr>
      <w:r>
        <w:rPr>
          <w:rFonts w:ascii="Marianne" w:hAnsi="Marianne" w:cs="Arial"/>
          <w:b/>
        </w:rPr>
        <w:br w:type="page"/>
      </w:r>
    </w:p>
    <w:tbl>
      <w:tblPr>
        <w:tblStyle w:val="Grilledutableau"/>
        <w:tblW w:w="9638" w:type="dxa"/>
        <w:tblLayout w:type="fixed"/>
        <w:tblLook w:val="0000" w:firstRow="0" w:lastRow="0" w:firstColumn="0" w:lastColumn="0" w:noHBand="0" w:noVBand="0"/>
      </w:tblPr>
      <w:tblGrid>
        <w:gridCol w:w="2298"/>
        <w:gridCol w:w="7340"/>
      </w:tblGrid>
      <w:tr>
        <w:tc>
          <w:tcPr>
            <w:tcW w:w="2298" w:type="dxa"/>
          </w:tcPr>
          <w:p>
            <w:pPr>
              <w:pStyle w:val="Contenudetableau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b/>
                <w:bCs/>
                <w:szCs w:val="20"/>
              </w:rPr>
              <w:lastRenderedPageBreak/>
              <w:t>Dispositif d’adhésion à un éco-organisme agréé</w:t>
            </w:r>
          </w:p>
        </w:tc>
        <w:tc>
          <w:tcPr>
            <w:tcW w:w="7340" w:type="dxa"/>
          </w:tcPr>
          <w:p>
            <w:pPr>
              <w:pStyle w:val="Contenudetableau"/>
              <w:jc w:val="both"/>
              <w:rPr>
                <w:rFonts w:ascii="Arial" w:hAnsi="Arial" w:cs="Arial"/>
                <w:b/>
                <w:bCs/>
                <w:szCs w:val="20"/>
              </w:rPr>
            </w:pPr>
            <w:sdt>
              <w:sdtPr>
                <w:rPr>
                  <w:rFonts w:ascii="Arial" w:hAnsi="Arial" w:cs="Arial"/>
                  <w:iCs/>
                  <w:szCs w:val="20"/>
                </w:rPr>
                <w:id w:val="-1318004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Segoe UI Symbol" w:eastAsia="MS Gothic" w:hAnsi="Segoe UI Symbol" w:cs="Segoe UI Symbol"/>
                    <w:iCs/>
                    <w:szCs w:val="20"/>
                  </w:rPr>
                  <w:t>☐</w:t>
                </w:r>
              </w:sdtContent>
            </w:sdt>
            <w:r>
              <w:rPr>
                <w:rFonts w:ascii="Arial" w:hAnsi="Arial" w:cs="Arial"/>
                <w:iCs/>
                <w:szCs w:val="20"/>
              </w:rPr>
              <w:t xml:space="preserve"> (</w:t>
            </w:r>
            <w:proofErr w:type="gramStart"/>
            <w:r>
              <w:rPr>
                <w:rFonts w:ascii="Arial" w:hAnsi="Arial" w:cs="Arial"/>
                <w:iCs/>
                <w:szCs w:val="20"/>
              </w:rPr>
              <w:t>case</w:t>
            </w:r>
            <w:proofErr w:type="gramEnd"/>
            <w:r>
              <w:rPr>
                <w:rFonts w:ascii="Arial" w:hAnsi="Arial" w:cs="Arial"/>
                <w:iCs/>
                <w:szCs w:val="20"/>
              </w:rPr>
              <w:t xml:space="preserve"> à cocher lorsque le producteur a opté pour le dispositif d’adhésion à un éco-organisme agréé</w:t>
            </w:r>
            <w:r>
              <w:rPr>
                <w:rStyle w:val="Appelnotedebasdep"/>
                <w:rFonts w:ascii="Arial" w:hAnsi="Arial" w:cs="Arial"/>
                <w:iCs/>
                <w:szCs w:val="20"/>
              </w:rPr>
              <w:footnoteReference w:id="3"/>
            </w:r>
            <w:r>
              <w:rPr>
                <w:rFonts w:ascii="Arial" w:hAnsi="Arial" w:cs="Arial"/>
                <w:iCs/>
                <w:szCs w:val="20"/>
              </w:rPr>
              <w:t>)</w:t>
            </w:r>
          </w:p>
        </w:tc>
      </w:tr>
      <w:tr>
        <w:tc>
          <w:tcPr>
            <w:tcW w:w="2298" w:type="dxa"/>
          </w:tcPr>
          <w:p>
            <w:pPr>
              <w:pStyle w:val="Contenudetableau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b/>
                <w:bCs/>
                <w:szCs w:val="20"/>
              </w:rPr>
              <w:t>Nom de l’éco-organisme agréé tel que ce nom figure dans le registre de l’ADEME où l’éco-organisme agréé est tenu d’enregistrer ses adhérents</w:t>
            </w:r>
            <w:r>
              <w:rPr>
                <w:rStyle w:val="Appelnotedebasdep"/>
                <w:rFonts w:ascii="Arial" w:hAnsi="Arial" w:cs="Arial"/>
                <w:b/>
                <w:bCs/>
                <w:szCs w:val="20"/>
              </w:rPr>
              <w:footnoteReference w:id="4"/>
            </w:r>
          </w:p>
        </w:tc>
        <w:tc>
          <w:tcPr>
            <w:tcW w:w="7340" w:type="dxa"/>
          </w:tcPr>
          <w:p>
            <w:pPr>
              <w:pStyle w:val="Contenudetableau"/>
              <w:jc w:val="both"/>
              <w:rPr>
                <w:rFonts w:ascii="Arial" w:hAnsi="Arial" w:cs="Arial"/>
                <w:szCs w:val="20"/>
              </w:rPr>
            </w:pPr>
          </w:p>
          <w:p>
            <w:pPr>
              <w:pStyle w:val="Contenudetableau"/>
              <w:jc w:val="both"/>
              <w:rPr>
                <w:rFonts w:ascii="Arial" w:hAnsi="Arial" w:cs="Arial"/>
                <w:szCs w:val="20"/>
              </w:rPr>
            </w:pPr>
          </w:p>
        </w:tc>
      </w:tr>
      <w:tr>
        <w:tc>
          <w:tcPr>
            <w:tcW w:w="2298" w:type="dxa"/>
          </w:tcPr>
          <w:p>
            <w:pPr>
              <w:pStyle w:val="Contenudetableau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b/>
                <w:bCs/>
                <w:szCs w:val="20"/>
              </w:rPr>
              <w:t>Nom, prénom, coordonnées téléphoniques, adresse des personnes à contacter pour assurer l’enlèvement</w:t>
            </w:r>
          </w:p>
        </w:tc>
        <w:tc>
          <w:tcPr>
            <w:tcW w:w="7340" w:type="dxa"/>
          </w:tcPr>
          <w:p>
            <w:pPr>
              <w:pStyle w:val="Contenudetableau"/>
              <w:jc w:val="both"/>
              <w:rPr>
                <w:rFonts w:ascii="Arial" w:hAnsi="Arial" w:cs="Arial"/>
                <w:szCs w:val="20"/>
              </w:rPr>
            </w:pPr>
          </w:p>
          <w:p>
            <w:pPr>
              <w:pStyle w:val="Contenudetableau"/>
              <w:jc w:val="both"/>
              <w:rPr>
                <w:rFonts w:ascii="Arial" w:hAnsi="Arial" w:cs="Arial"/>
                <w:szCs w:val="20"/>
              </w:rPr>
            </w:pPr>
          </w:p>
          <w:p>
            <w:pPr>
              <w:pStyle w:val="Contenudetableau"/>
              <w:jc w:val="both"/>
              <w:rPr>
                <w:rFonts w:ascii="Arial" w:hAnsi="Arial" w:cs="Arial"/>
                <w:szCs w:val="20"/>
              </w:rPr>
            </w:pPr>
          </w:p>
          <w:p>
            <w:pPr>
              <w:pStyle w:val="Contenudetableau"/>
              <w:jc w:val="both"/>
              <w:rPr>
                <w:rFonts w:ascii="Arial" w:hAnsi="Arial" w:cs="Arial"/>
                <w:szCs w:val="20"/>
              </w:rPr>
            </w:pPr>
          </w:p>
          <w:p>
            <w:pPr>
              <w:pStyle w:val="Contenudetableau"/>
              <w:jc w:val="both"/>
              <w:rPr>
                <w:rFonts w:ascii="Arial" w:hAnsi="Arial" w:cs="Arial"/>
                <w:szCs w:val="20"/>
              </w:rPr>
            </w:pPr>
          </w:p>
          <w:p>
            <w:pPr>
              <w:pStyle w:val="Contenudetableau"/>
              <w:jc w:val="both"/>
              <w:rPr>
                <w:rFonts w:ascii="Arial" w:hAnsi="Arial" w:cs="Arial"/>
                <w:szCs w:val="20"/>
              </w:rPr>
            </w:pPr>
          </w:p>
          <w:p>
            <w:pPr>
              <w:pStyle w:val="Contenudetableau"/>
              <w:jc w:val="both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i/>
                <w:iCs/>
                <w:szCs w:val="20"/>
                <w:vertAlign w:val="superscript"/>
              </w:rPr>
              <w:t>(</w:t>
            </w:r>
            <w:proofErr w:type="gramStart"/>
            <w:r>
              <w:rPr>
                <w:rFonts w:ascii="Arial" w:hAnsi="Arial" w:cs="Arial"/>
                <w:i/>
                <w:iCs/>
                <w:szCs w:val="20"/>
                <w:vertAlign w:val="superscript"/>
              </w:rPr>
              <w:t>joindre</w:t>
            </w:r>
            <w:proofErr w:type="gramEnd"/>
            <w:r>
              <w:rPr>
                <w:rFonts w:ascii="Arial" w:hAnsi="Arial" w:cs="Arial"/>
                <w:i/>
                <w:iCs/>
                <w:szCs w:val="20"/>
                <w:vertAlign w:val="superscript"/>
              </w:rPr>
              <w:t xml:space="preserve"> éventuellement une liste)</w:t>
            </w:r>
          </w:p>
        </w:tc>
      </w:tr>
    </w:tbl>
    <w:p>
      <w:pPr>
        <w:pStyle w:val="Corpsdetexte"/>
        <w:tabs>
          <w:tab w:val="left" w:leader="dot" w:pos="9072"/>
        </w:tabs>
        <w:jc w:val="both"/>
        <w:rPr>
          <w:rFonts w:ascii="Arial" w:hAnsi="Arial" w:cs="Arial"/>
          <w:szCs w:val="20"/>
        </w:rPr>
      </w:pPr>
    </w:p>
    <w:p>
      <w:pPr>
        <w:pStyle w:val="Corpsdetexte"/>
        <w:keepNext/>
        <w:numPr>
          <w:ilvl w:val="0"/>
          <w:numId w:val="26"/>
        </w:numPr>
        <w:tabs>
          <w:tab w:val="left" w:leader="dot" w:pos="9072"/>
        </w:tabs>
        <w:jc w:val="both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  <w:u w:val="single"/>
        </w:rPr>
        <w:t>Quel que soit le système mis en place</w:t>
      </w:r>
      <w:r>
        <w:rPr>
          <w:rFonts w:ascii="Arial" w:hAnsi="Arial" w:cs="Arial"/>
          <w:b/>
          <w:szCs w:val="20"/>
        </w:rPr>
        <w:t xml:space="preserve">, quel(s) mode(s) de traitement est (sont) appliqué(s) aux consommables usagées </w:t>
      </w:r>
      <w:r>
        <w:rPr>
          <w:rFonts w:ascii="Arial" w:hAnsi="Arial" w:cs="Arial"/>
          <w:b/>
          <w:i/>
          <w:szCs w:val="20"/>
        </w:rPr>
        <w:t xml:space="preserve">– plusieurs choix possibles, indiquez les pourcentages. </w:t>
      </w:r>
      <w:r>
        <w:rPr>
          <w:rFonts w:ascii="Arial" w:hAnsi="Arial" w:cs="Arial"/>
          <w:bCs/>
          <w:szCs w:val="20"/>
        </w:rPr>
        <w:t>Justificatifs à fournir.</w:t>
      </w:r>
    </w:p>
    <w:p>
      <w:pPr>
        <w:pStyle w:val="NormalWeb"/>
        <w:tabs>
          <w:tab w:val="left" w:leader="dot" w:pos="567"/>
        </w:tabs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9254613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>
        <w:rPr>
          <w:rFonts w:ascii="Arial" w:hAnsi="Arial" w:cs="Arial"/>
          <w:sz w:val="20"/>
          <w:szCs w:val="20"/>
        </w:rPr>
        <w:t xml:space="preserve"> La réutilisation ou le réemploi</w:t>
      </w:r>
    </w:p>
    <w:p>
      <w:pPr>
        <w:pStyle w:val="NormalWeb"/>
        <w:tabs>
          <w:tab w:val="left" w:leader="dot" w:pos="567"/>
        </w:tabs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%</w:t>
      </w:r>
    </w:p>
    <w:p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20153008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>
        <w:rPr>
          <w:rFonts w:ascii="Arial" w:hAnsi="Arial" w:cs="Arial"/>
          <w:sz w:val="20"/>
          <w:szCs w:val="20"/>
        </w:rPr>
        <w:t xml:space="preserve"> Le recyclage (matière ou autre)</w:t>
      </w:r>
    </w:p>
    <w:p>
      <w:pPr>
        <w:pStyle w:val="NormalWeb"/>
        <w:tabs>
          <w:tab w:val="left" w:leader="dot" w:pos="567"/>
        </w:tabs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%</w:t>
      </w:r>
    </w:p>
    <w:p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11552689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>
        <w:rPr>
          <w:rFonts w:ascii="Arial" w:hAnsi="Arial" w:cs="Arial"/>
          <w:sz w:val="20"/>
          <w:szCs w:val="20"/>
        </w:rPr>
        <w:t xml:space="preserve"> Toute autre valorisation, notamment la valorisation énergétique (combustible, remblais…)</w:t>
      </w:r>
    </w:p>
    <w:p>
      <w:pPr>
        <w:pStyle w:val="NormalWeb"/>
        <w:tabs>
          <w:tab w:val="left" w:leader="dot" w:pos="567"/>
        </w:tabs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%</w:t>
      </w:r>
    </w:p>
    <w:p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11560279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>
        <w:rPr>
          <w:rFonts w:ascii="Arial" w:hAnsi="Arial" w:cs="Arial"/>
          <w:sz w:val="20"/>
          <w:szCs w:val="20"/>
        </w:rPr>
        <w:t xml:space="preserve"> L'élimination</w:t>
      </w:r>
    </w:p>
    <w:p>
      <w:pPr>
        <w:pStyle w:val="NormalWeb"/>
        <w:tabs>
          <w:tab w:val="left" w:leader="dot" w:pos="567"/>
        </w:tabs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%</w:t>
      </w:r>
    </w:p>
    <w:p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8876795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>
        <w:rPr>
          <w:rFonts w:ascii="Arial" w:hAnsi="Arial" w:cs="Arial"/>
          <w:sz w:val="20"/>
          <w:szCs w:val="20"/>
        </w:rPr>
        <w:t xml:space="preserve"> Information non détenue par le soumissionnaire</w:t>
      </w:r>
    </w:p>
    <w:p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>
      <w:pPr>
        <w:pStyle w:val="NormalWeb"/>
        <w:tabs>
          <w:tab w:val="left" w:leader="dot" w:pos="567"/>
        </w:tabs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Des acteurs de l’ESS prennent-ils part aux opérations de traitement ? Si oui, lesquelles ? Décrivez</w:t>
      </w:r>
    </w:p>
    <w:p>
      <w:pPr>
        <w:pStyle w:val="NormalWeb"/>
        <w:tabs>
          <w:tab w:val="left" w:leader="dot" w:pos="9072"/>
        </w:tabs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>
      <w:pPr>
        <w:pStyle w:val="NormalWeb"/>
        <w:tabs>
          <w:tab w:val="left" w:leader="dot" w:pos="9072"/>
        </w:tabs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>
      <w:pPr>
        <w:pStyle w:val="NormalWeb"/>
        <w:tabs>
          <w:tab w:val="left" w:leader="dot" w:pos="9072"/>
        </w:tabs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>
      <w:pPr>
        <w:pStyle w:val="NormalWeb"/>
        <w:tabs>
          <w:tab w:val="left" w:leader="dot" w:pos="9072"/>
        </w:tabs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>
      <w:pPr>
        <w:pStyle w:val="Corpsdetexte"/>
        <w:tabs>
          <w:tab w:val="left" w:leader="dot" w:pos="9072"/>
        </w:tabs>
        <w:jc w:val="both"/>
        <w:rPr>
          <w:rFonts w:ascii="Arial" w:hAnsi="Arial" w:cs="Arial"/>
          <w:b/>
          <w:szCs w:val="20"/>
        </w:rPr>
      </w:pPr>
      <w:bookmarkStart w:id="2" w:name="_Hlk187672008"/>
      <w:r>
        <w:rPr>
          <w:rFonts w:ascii="Arial" w:hAnsi="Arial" w:cs="Arial"/>
          <w:b/>
          <w:szCs w:val="20"/>
        </w:rPr>
        <w:t>Compléments pour décrire la démarche mise en place en vue de privilégier la réutilisation et le réemploi des équipements faisant l’objet d’une reprise</w:t>
      </w:r>
    </w:p>
    <w:p>
      <w:pPr>
        <w:pStyle w:val="Corpsdetexte"/>
        <w:tabs>
          <w:tab w:val="left" w:leader="dot" w:pos="9072"/>
        </w:tabs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ab/>
      </w:r>
    </w:p>
    <w:p>
      <w:pPr>
        <w:pStyle w:val="Corpsdetexte"/>
        <w:tabs>
          <w:tab w:val="left" w:leader="dot" w:pos="9072"/>
        </w:tabs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ab/>
      </w:r>
    </w:p>
    <w:p>
      <w:pPr>
        <w:pStyle w:val="Corpsdetexte"/>
        <w:tabs>
          <w:tab w:val="left" w:leader="dot" w:pos="9072"/>
        </w:tabs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ab/>
      </w:r>
    </w:p>
    <w:bookmarkEnd w:id="2"/>
    <w:p>
      <w:pPr>
        <w:pStyle w:val="Corpsdetexte"/>
        <w:tabs>
          <w:tab w:val="left" w:leader="dot" w:pos="9072"/>
        </w:tabs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ab/>
      </w:r>
    </w:p>
    <w:p>
      <w:pPr>
        <w:pStyle w:val="Corpsdetexte"/>
        <w:tabs>
          <w:tab w:val="left" w:leader="dot" w:pos="9072"/>
        </w:tabs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ab/>
      </w:r>
    </w:p>
    <w:p>
      <w:pPr>
        <w:contextualSpacing w:val="0"/>
        <w:rPr>
          <w:rFonts w:ascii="Arial" w:eastAsia="SimSun" w:hAnsi="Arial" w:cs="Arial"/>
          <w:kern w:val="1"/>
          <w:sz w:val="20"/>
          <w:szCs w:val="20"/>
          <w:lang w:eastAsia="zh-CN" w:bidi="hi-IN"/>
        </w:rPr>
      </w:pPr>
    </w:p>
    <w:p>
      <w:pPr>
        <w:pStyle w:val="Corpsdetexte"/>
        <w:tabs>
          <w:tab w:val="left" w:leader="dot" w:pos="3261"/>
        </w:tabs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lastRenderedPageBreak/>
        <w:t xml:space="preserve">Fait à </w:t>
      </w:r>
      <w:r>
        <w:rPr>
          <w:rFonts w:ascii="Arial" w:hAnsi="Arial" w:cs="Arial"/>
          <w:szCs w:val="20"/>
        </w:rPr>
        <w:tab/>
      </w:r>
    </w:p>
    <w:p>
      <w:pPr>
        <w:pStyle w:val="Corpsdetexte"/>
        <w:tabs>
          <w:tab w:val="left" w:leader="dot" w:pos="1701"/>
        </w:tabs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Le </w:t>
      </w:r>
      <w:r>
        <w:rPr>
          <w:rFonts w:ascii="Arial" w:hAnsi="Arial" w:cs="Arial"/>
          <w:szCs w:val="20"/>
        </w:rPr>
        <w:tab/>
      </w:r>
    </w:p>
    <w:p>
      <w:pPr>
        <w:pStyle w:val="Corpsdetexte"/>
        <w:tabs>
          <w:tab w:val="left" w:leader="dot" w:pos="9072"/>
        </w:tabs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Signature du titulaire : </w:t>
      </w:r>
    </w:p>
    <w:sectPr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altName w:val="Calibri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</w:pPr>
    <w:r>
      <w:rPr>
        <w:rFonts w:ascii="Arial" w:eastAsia="Times New Roman" w:hAnsi="Arial" w:cs="Arial"/>
        <w:b/>
        <w:bCs/>
        <w:sz w:val="20"/>
        <w:szCs w:val="20"/>
        <w:lang w:eastAsia="fr-FR"/>
      </w:rPr>
      <w:t xml:space="preserve">DAE-2025-AC-SOLIMPROD2     </w:t>
    </w:r>
    <w:r>
      <w:rPr>
        <w:rFonts w:ascii="Arial" w:hAnsi="Arial" w:cs="Arial"/>
        <w:sz w:val="20"/>
        <w:szCs w:val="20"/>
      </w:rPr>
      <w:ptab w:relativeTo="margin" w:alignment="center" w:leader="none"/>
    </w:r>
    <w:r>
      <w:rPr>
        <w:rFonts w:ascii="Arial" w:hAnsi="Arial" w:cs="Arial"/>
        <w:noProof/>
        <w:sz w:val="20"/>
        <w:szCs w:val="20"/>
      </w:rPr>
      <w:fldChar w:fldCharType="begin"/>
    </w:r>
    <w:r>
      <w:rPr>
        <w:rFonts w:ascii="Arial" w:hAnsi="Arial" w:cs="Arial"/>
        <w:noProof/>
        <w:sz w:val="20"/>
        <w:szCs w:val="20"/>
      </w:rPr>
      <w:instrText xml:space="preserve"> FILENAME   \* MERGEFORMAT </w:instrText>
    </w:r>
    <w:r>
      <w:rPr>
        <w:rFonts w:ascii="Arial" w:hAnsi="Arial" w:cs="Arial"/>
        <w:noProof/>
        <w:sz w:val="20"/>
        <w:szCs w:val="20"/>
      </w:rPr>
      <w:fldChar w:fldCharType="separate"/>
    </w:r>
    <w:r>
      <w:rPr>
        <w:rFonts w:ascii="Arial" w:hAnsi="Arial" w:cs="Arial"/>
        <w:noProof/>
        <w:sz w:val="20"/>
        <w:szCs w:val="20"/>
      </w:rPr>
      <w:t xml:space="preserve">   Annexe AE 4_QuestionnaireRepriseEquipements.docx</w:t>
    </w:r>
    <w:r>
      <w:rPr>
        <w:rFonts w:ascii="Arial" w:hAnsi="Arial" w:cs="Arial"/>
        <w:noProof/>
        <w:sz w:val="20"/>
        <w:szCs w:val="20"/>
      </w:rPr>
      <w:fldChar w:fldCharType="end"/>
    </w:r>
    <w:r>
      <w:ptab w:relativeTo="margin" w:alignment="right" w:leader="none"/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4</w:t>
    </w:r>
    <w:r>
      <w:fldChar w:fldCharType="end"/>
    </w:r>
    <w:r>
      <w:t>/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4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  <w:footnote w:id="1">
    <w:p>
      <w:pPr>
        <w:pStyle w:val="Notedebasdepage"/>
      </w:pPr>
      <w:r>
        <w:rPr>
          <w:rStyle w:val="Appelnotedebasdep"/>
        </w:rPr>
        <w:footnoteRef/>
      </w:r>
      <w:r>
        <w:t xml:space="preserve"> Art. R. 543-197-1 du Code de l’environnement.</w:t>
      </w:r>
    </w:p>
  </w:footnote>
  <w:footnote w:id="2">
    <w:p>
      <w:pPr>
        <w:pStyle w:val="Notedebasdepage"/>
      </w:pPr>
      <w:r>
        <w:rPr>
          <w:rStyle w:val="Appelnotedebasdep"/>
        </w:rPr>
        <w:footnoteRef/>
      </w:r>
      <w:r>
        <w:t xml:space="preserve"> « Art. R. 543-202 du code de l’environnement. Le registre de l’ADEME est consultable à : </w:t>
      </w:r>
      <w:hyperlink r:id="rId1" w:history="1">
        <w:r>
          <w:rPr>
            <w:rStyle w:val="Lienhypertexte"/>
          </w:rPr>
          <w:t>https://registres.ademe.fr</w:t>
        </w:r>
      </w:hyperlink>
      <w:r>
        <w:rPr>
          <w:rStyle w:val="Lienhypertexte"/>
        </w:rPr>
        <w:t> »</w:t>
      </w:r>
    </w:p>
  </w:footnote>
  <w:footnote w:id="3">
    <w:p>
      <w:pPr>
        <w:pStyle w:val="Notedebasdepage"/>
      </w:pPr>
      <w:r>
        <w:rPr>
          <w:rStyle w:val="Appelnotedebasdep"/>
        </w:rPr>
        <w:footnoteRef/>
      </w:r>
      <w:r>
        <w:t xml:space="preserve"> Art R. 543-197 du Code de l’environnement</w:t>
      </w:r>
    </w:p>
  </w:footnote>
  <w:footnote w:id="4">
    <w:p>
      <w:pPr>
        <w:pStyle w:val="Notedebasdepage"/>
      </w:pPr>
      <w:r>
        <w:rPr>
          <w:rStyle w:val="Appelnotedebasdep"/>
        </w:rPr>
        <w:footnoteRef/>
      </w:r>
      <w:r>
        <w:t xml:space="preserve"> § 4 du chapitre II du cahier des charges annexé à l’agrément d’un organisme </w:t>
      </w:r>
      <w:r>
        <w:rPr>
          <w:rFonts w:eastAsia="Times New Roman" w:cs="Times New Roman"/>
        </w:rPr>
        <w:t xml:space="preserve">délivré en application des articles </w:t>
      </w:r>
      <w:r>
        <w:t>R. 543-196</w:t>
      </w:r>
      <w:r>
        <w:rPr>
          <w:rFonts w:eastAsia="Times New Roman" w:cs="Times New Roman"/>
        </w:rPr>
        <w:t xml:space="preserve"> et </w:t>
      </w:r>
      <w:r>
        <w:t>R. 543-197</w:t>
      </w:r>
      <w:r>
        <w:rPr>
          <w:rFonts w:eastAsia="Times New Roman" w:cs="Times New Roman"/>
        </w:rPr>
        <w:t xml:space="preserve"> du code de l’environnement. </w:t>
      </w:r>
      <w:r>
        <w:t xml:space="preserve">Le registre de l’ADEME est consultable à : </w:t>
      </w:r>
      <w:hyperlink r:id="rId2" w:history="1">
        <w:r>
          <w:rPr>
            <w:rStyle w:val="Lienhypertexte"/>
          </w:rPr>
          <w:t>https://registres.ademe.fr</w:t>
        </w:r>
      </w:hyperlink>
      <w:r>
        <w:rPr>
          <w:rStyle w:val="Lienhypertexte"/>
        </w:rPr>
        <w:t> »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Corpsdetex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-80645</wp:posOffset>
          </wp:positionH>
          <wp:positionV relativeFrom="paragraph">
            <wp:posOffset>-156210</wp:posOffset>
          </wp:positionV>
          <wp:extent cx="2378710" cy="1456690"/>
          <wp:effectExtent l="0" t="0" r="254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8710" cy="1456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>
    <w:pPr>
      <w:pStyle w:val="Corpsdetexte"/>
    </w:pPr>
  </w:p>
  <w:p>
    <w:pPr>
      <w:pStyle w:val="Corpsdetexte"/>
    </w:pPr>
  </w:p>
  <w:p>
    <w:pPr>
      <w:tabs>
        <w:tab w:val="right" w:pos="9026"/>
      </w:tabs>
      <w:jc w:val="right"/>
      <w:rPr>
        <w:rFonts w:ascii="Marianne" w:hAnsi="Marianne"/>
        <w:b/>
        <w:bCs/>
        <w:sz w:val="24"/>
        <w:szCs w:val="24"/>
      </w:rPr>
    </w:pPr>
    <w:r>
      <w:rPr>
        <w:b/>
        <w:bCs/>
        <w:sz w:val="24"/>
        <w:szCs w:val="24"/>
      </w:rPr>
      <w:tab/>
    </w:r>
    <w:r>
      <w:rPr>
        <w:rFonts w:ascii="Marianne" w:hAnsi="Marianne"/>
        <w:b/>
        <w:bCs/>
        <w:sz w:val="24"/>
        <w:szCs w:val="24"/>
      </w:rPr>
      <w:t>Direction des achats</w:t>
    </w:r>
  </w:p>
  <w:p>
    <w:pPr>
      <w:tabs>
        <w:tab w:val="right" w:pos="9026"/>
      </w:tabs>
      <w:jc w:val="right"/>
      <w:rPr>
        <w:rFonts w:ascii="Marianne" w:hAnsi="Marianne"/>
        <w:b/>
        <w:bCs/>
        <w:sz w:val="24"/>
        <w:szCs w:val="24"/>
      </w:rPr>
    </w:pPr>
    <w:proofErr w:type="gramStart"/>
    <w:r>
      <w:rPr>
        <w:rFonts w:ascii="Marianne" w:hAnsi="Marianne"/>
        <w:b/>
        <w:bCs/>
        <w:sz w:val="24"/>
        <w:szCs w:val="24"/>
      </w:rPr>
      <w:t>de</w:t>
    </w:r>
    <w:proofErr w:type="gramEnd"/>
    <w:r>
      <w:rPr>
        <w:rFonts w:ascii="Marianne" w:hAnsi="Marianne"/>
        <w:b/>
        <w:bCs/>
        <w:sz w:val="24"/>
        <w:szCs w:val="24"/>
      </w:rPr>
      <w:t xml:space="preserve"> l'État</w:t>
    </w:r>
  </w:p>
  <w:p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47D5D"/>
    <w:multiLevelType w:val="hybridMultilevel"/>
    <w:tmpl w:val="6FE2B0B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9C1117"/>
    <w:multiLevelType w:val="hybridMultilevel"/>
    <w:tmpl w:val="787A635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B3301"/>
    <w:multiLevelType w:val="hybridMultilevel"/>
    <w:tmpl w:val="C8CE39DE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72F60"/>
    <w:multiLevelType w:val="hybridMultilevel"/>
    <w:tmpl w:val="A38CC698"/>
    <w:lvl w:ilvl="0" w:tplc="2E40AD08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882D1A"/>
    <w:multiLevelType w:val="hybridMultilevel"/>
    <w:tmpl w:val="F67E0B4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437AA8"/>
    <w:multiLevelType w:val="hybridMultilevel"/>
    <w:tmpl w:val="D7AA50B4"/>
    <w:lvl w:ilvl="0" w:tplc="2E40AD08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A72794"/>
    <w:multiLevelType w:val="hybridMultilevel"/>
    <w:tmpl w:val="0BCE498A"/>
    <w:lvl w:ilvl="0" w:tplc="AC605160">
      <w:numFmt w:val="bullet"/>
      <w:lvlText w:val="□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454E7D"/>
    <w:multiLevelType w:val="hybridMultilevel"/>
    <w:tmpl w:val="A5C26E82"/>
    <w:lvl w:ilvl="0" w:tplc="4B6AB28E">
      <w:numFmt w:val="bullet"/>
      <w:lvlText w:val="–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640431"/>
    <w:multiLevelType w:val="hybridMultilevel"/>
    <w:tmpl w:val="FDCAC6E4"/>
    <w:lvl w:ilvl="0" w:tplc="713C8CB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CE48BD"/>
    <w:multiLevelType w:val="hybridMultilevel"/>
    <w:tmpl w:val="787A635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0E61D7"/>
    <w:multiLevelType w:val="hybridMultilevel"/>
    <w:tmpl w:val="315A9530"/>
    <w:lvl w:ilvl="0" w:tplc="2B220D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AE5691"/>
    <w:multiLevelType w:val="hybridMultilevel"/>
    <w:tmpl w:val="7EB8DCA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D94A7B"/>
    <w:multiLevelType w:val="hybridMultilevel"/>
    <w:tmpl w:val="08A87806"/>
    <w:lvl w:ilvl="0" w:tplc="713C8CB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DB51AB"/>
    <w:multiLevelType w:val="hybridMultilevel"/>
    <w:tmpl w:val="84927DBE"/>
    <w:lvl w:ilvl="0" w:tplc="3408923E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4C7613"/>
    <w:multiLevelType w:val="multilevel"/>
    <w:tmpl w:val="FF6095C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7400037A"/>
    <w:multiLevelType w:val="hybridMultilevel"/>
    <w:tmpl w:val="4C3610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B623B8"/>
    <w:multiLevelType w:val="hybridMultilevel"/>
    <w:tmpl w:val="081C6F1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C31961"/>
    <w:multiLevelType w:val="hybridMultilevel"/>
    <w:tmpl w:val="6F800E46"/>
    <w:lvl w:ilvl="0" w:tplc="EEA032AC">
      <w:start w:val="6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E05F8C"/>
    <w:multiLevelType w:val="hybridMultilevel"/>
    <w:tmpl w:val="91165C7E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CD37A3D"/>
    <w:multiLevelType w:val="multilevel"/>
    <w:tmpl w:val="A7A261DC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9"/>
  </w:num>
  <w:num w:numId="2">
    <w:abstractNumId w:val="10"/>
  </w:num>
  <w:num w:numId="3">
    <w:abstractNumId w:val="10"/>
  </w:num>
  <w:num w:numId="4">
    <w:abstractNumId w:val="10"/>
  </w:num>
  <w:num w:numId="5">
    <w:abstractNumId w:val="19"/>
  </w:num>
  <w:num w:numId="6">
    <w:abstractNumId w:val="19"/>
  </w:num>
  <w:num w:numId="7">
    <w:abstractNumId w:val="14"/>
  </w:num>
  <w:num w:numId="8">
    <w:abstractNumId w:val="13"/>
  </w:num>
  <w:num w:numId="9">
    <w:abstractNumId w:val="14"/>
  </w:num>
  <w:num w:numId="10">
    <w:abstractNumId w:val="19"/>
  </w:num>
  <w:num w:numId="11">
    <w:abstractNumId w:val="19"/>
  </w:num>
  <w:num w:numId="12">
    <w:abstractNumId w:val="19"/>
  </w:num>
  <w:num w:numId="13">
    <w:abstractNumId w:val="19"/>
  </w:num>
  <w:num w:numId="14">
    <w:abstractNumId w:val="19"/>
  </w:num>
  <w:num w:numId="15">
    <w:abstractNumId w:val="3"/>
  </w:num>
  <w:num w:numId="16">
    <w:abstractNumId w:val="16"/>
  </w:num>
  <w:num w:numId="17">
    <w:abstractNumId w:val="5"/>
  </w:num>
  <w:num w:numId="18">
    <w:abstractNumId w:val="11"/>
  </w:num>
  <w:num w:numId="19">
    <w:abstractNumId w:val="7"/>
  </w:num>
  <w:num w:numId="20">
    <w:abstractNumId w:val="6"/>
  </w:num>
  <w:num w:numId="21">
    <w:abstractNumId w:val="4"/>
  </w:num>
  <w:num w:numId="22">
    <w:abstractNumId w:val="18"/>
  </w:num>
  <w:num w:numId="23">
    <w:abstractNumId w:val="0"/>
  </w:num>
  <w:num w:numId="24">
    <w:abstractNumId w:val="12"/>
  </w:num>
  <w:num w:numId="25">
    <w:abstractNumId w:val="17"/>
  </w:num>
  <w:num w:numId="26">
    <w:abstractNumId w:val="1"/>
  </w:num>
  <w:num w:numId="27">
    <w:abstractNumId w:val="8"/>
  </w:num>
  <w:num w:numId="28">
    <w:abstractNumId w:val="2"/>
  </w:num>
  <w:num w:numId="29">
    <w:abstractNumId w:val="15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9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docId w15:val="{ACF59A08-6C5E-49AE-9E59-8D5834F2C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contextualSpacing/>
      <w:jc w:val="both"/>
    </w:pPr>
  </w:style>
  <w:style w:type="paragraph" w:styleId="Titre1">
    <w:name w:val="heading 1"/>
    <w:basedOn w:val="Normal"/>
    <w:next w:val="Normal"/>
    <w:link w:val="Titre1Car"/>
    <w:autoRedefine/>
    <w:qFormat/>
    <w:pPr>
      <w:keepNext/>
      <w:keepLines/>
      <w:numPr>
        <w:numId w:val="14"/>
      </w:numPr>
      <w:spacing w:before="200" w:after="200"/>
      <w:outlineLvl w:val="0"/>
    </w:pPr>
    <w:rPr>
      <w:rFonts w:ascii="Calibri" w:eastAsiaTheme="majorEastAsia" w:hAnsi="Calibri" w:cstheme="majorBidi"/>
      <w:b/>
      <w:bCs/>
      <w:color w:val="365F91" w:themeColor="accent1" w:themeShade="BF"/>
      <w:sz w:val="28"/>
      <w:szCs w:val="28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numPr>
        <w:ilvl w:val="1"/>
        <w:numId w:val="14"/>
      </w:numPr>
      <w:spacing w:before="200" w:after="100"/>
      <w:outlineLvl w:val="1"/>
    </w:pPr>
    <w:rPr>
      <w:rFonts w:ascii="Calibri" w:eastAsiaTheme="majorEastAsia" w:hAnsi="Calibri" w:cstheme="majorBidi"/>
      <w:bCs/>
      <w:color w:val="4F81BD" w:themeColor="accent1"/>
      <w:sz w:val="24"/>
      <w:szCs w:val="26"/>
      <w:u w:val="single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pPr>
      <w:keepNext/>
      <w:keepLines/>
      <w:numPr>
        <w:ilvl w:val="2"/>
        <w:numId w:val="10"/>
      </w:numPr>
      <w:spacing w:before="200" w:after="200"/>
      <w:outlineLvl w:val="2"/>
    </w:pPr>
    <w:rPr>
      <w:rFonts w:eastAsiaTheme="majorEastAsia" w:cstheme="majorBidi"/>
      <w:b/>
      <w:bCs/>
      <w:color w:val="000000" w:themeColor="tex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Pr>
      <w:rFonts w:ascii="Calibri" w:eastAsiaTheme="majorEastAsia" w:hAnsi="Calibri" w:cstheme="majorBidi"/>
      <w:b/>
      <w:bCs/>
      <w:color w:val="365F91" w:themeColor="accent1" w:themeShade="BF"/>
      <w:sz w:val="28"/>
      <w:szCs w:val="28"/>
      <w:u w:val="single"/>
    </w:rPr>
  </w:style>
  <w:style w:type="character" w:customStyle="1" w:styleId="Titre2Car">
    <w:name w:val="Titre 2 Car"/>
    <w:basedOn w:val="Policepardfaut"/>
    <w:link w:val="Titre2"/>
    <w:uiPriority w:val="9"/>
    <w:rPr>
      <w:rFonts w:ascii="Calibri" w:eastAsiaTheme="majorEastAsia" w:hAnsi="Calibri" w:cstheme="majorBidi"/>
      <w:bCs/>
      <w:color w:val="4F81BD" w:themeColor="accent1"/>
      <w:sz w:val="24"/>
      <w:szCs w:val="26"/>
      <w:u w:val="single"/>
    </w:rPr>
  </w:style>
  <w:style w:type="character" w:customStyle="1" w:styleId="Titre3Car">
    <w:name w:val="Titre 3 Car"/>
    <w:basedOn w:val="Policepardfaut"/>
    <w:link w:val="Titre3"/>
    <w:uiPriority w:val="9"/>
    <w:rPr>
      <w:rFonts w:eastAsiaTheme="majorEastAsia" w:cstheme="majorBidi"/>
      <w:b/>
      <w:bCs/>
      <w:color w:val="000000" w:themeColor="text1"/>
    </w:rPr>
  </w:style>
  <w:style w:type="paragraph" w:styleId="Paragraphedeliste">
    <w:name w:val="List Paragraph"/>
    <w:basedOn w:val="Normal"/>
    <w:uiPriority w:val="34"/>
    <w:qFormat/>
    <w:pPr>
      <w:ind w:left="720"/>
    </w:pPr>
    <w:rPr>
      <w:rFonts w:eastAsia="Times New Roman" w:cs="Times New Roman"/>
      <w:lang w:eastAsia="fr-FR"/>
    </w:rPr>
  </w:style>
  <w:style w:type="paragraph" w:styleId="Corpsdetexte">
    <w:name w:val="Body Text"/>
    <w:basedOn w:val="Normal"/>
    <w:link w:val="CorpsdetexteCar"/>
    <w:pPr>
      <w:widowControl w:val="0"/>
      <w:suppressAutoHyphens/>
      <w:spacing w:after="120"/>
      <w:contextualSpacing w:val="0"/>
      <w:jc w:val="left"/>
    </w:pPr>
    <w:rPr>
      <w:rFonts w:ascii="Liberation Sans" w:eastAsia="SimSun" w:hAnsi="Liberation Sans" w:cs="Mangal"/>
      <w:kern w:val="1"/>
      <w:sz w:val="20"/>
      <w:szCs w:val="24"/>
      <w:lang w:eastAsia="zh-CN" w:bidi="hi-IN"/>
    </w:rPr>
  </w:style>
  <w:style w:type="character" w:customStyle="1" w:styleId="CorpsdetexteCar">
    <w:name w:val="Corps de texte Car"/>
    <w:basedOn w:val="Policepardfaut"/>
    <w:link w:val="Corpsdetexte"/>
    <w:rPr>
      <w:rFonts w:ascii="Liberation Sans" w:eastAsia="SimSun" w:hAnsi="Liberation Sans" w:cs="Mangal"/>
      <w:kern w:val="1"/>
      <w:sz w:val="20"/>
      <w:szCs w:val="24"/>
      <w:lang w:eastAsia="zh-CN" w:bidi="hi-IN"/>
    </w:rPr>
  </w:style>
  <w:style w:type="paragraph" w:styleId="Textedebulles">
    <w:name w:val="Balloon Text"/>
    <w:basedOn w:val="Normal"/>
    <w:link w:val="TextedebullesC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Tahoma" w:hAnsi="Tahoma" w:cs="Tahoma"/>
      <w:sz w:val="16"/>
      <w:szCs w:val="16"/>
    </w:rPr>
  </w:style>
  <w:style w:type="paragraph" w:customStyle="1" w:styleId="Contenudetableau">
    <w:name w:val="Contenu de tableau"/>
    <w:basedOn w:val="Normal"/>
    <w:pPr>
      <w:widowControl w:val="0"/>
      <w:suppressLineNumbers/>
      <w:suppressAutoHyphens/>
      <w:contextualSpacing w:val="0"/>
      <w:jc w:val="left"/>
    </w:pPr>
    <w:rPr>
      <w:rFonts w:ascii="Liberation Sans" w:eastAsia="SimSun" w:hAnsi="Liberation Sans" w:cs="Mangal"/>
      <w:kern w:val="1"/>
      <w:sz w:val="20"/>
      <w:szCs w:val="24"/>
      <w:lang w:eastAsia="zh-CN" w:bidi="hi-IN"/>
    </w:rPr>
  </w:style>
  <w:style w:type="character" w:styleId="Appelnotedebasdep">
    <w:name w:val="footnote reference"/>
    <w:rPr>
      <w:vertAlign w:val="superscript"/>
    </w:rPr>
  </w:style>
  <w:style w:type="character" w:styleId="Lienhypertexte">
    <w:name w:val="Hyperlink"/>
    <w:rPr>
      <w:color w:val="000080"/>
      <w:u w:val="single"/>
    </w:rPr>
  </w:style>
  <w:style w:type="paragraph" w:styleId="Notedebasdepage">
    <w:name w:val="footnote text"/>
    <w:basedOn w:val="Normal"/>
    <w:link w:val="NotedebasdepageCar"/>
    <w:autoRedefine/>
    <w:pPr>
      <w:widowControl w:val="0"/>
      <w:suppressLineNumbers/>
      <w:suppressAutoHyphens/>
      <w:ind w:left="283" w:hanging="283"/>
      <w:contextualSpacing w:val="0"/>
    </w:pPr>
    <w:rPr>
      <w:rFonts w:ascii="Liberation Sans" w:eastAsia="SimSun" w:hAnsi="Liberation Sans" w:cs="Mangal"/>
      <w:kern w:val="1"/>
      <w:sz w:val="16"/>
      <w:szCs w:val="20"/>
      <w:lang w:eastAsia="zh-CN" w:bidi="hi-IN"/>
    </w:rPr>
  </w:style>
  <w:style w:type="character" w:customStyle="1" w:styleId="NotedebasdepageCar">
    <w:name w:val="Note de bas de page Car"/>
    <w:basedOn w:val="Policepardfaut"/>
    <w:link w:val="Notedebasdepage"/>
    <w:rPr>
      <w:rFonts w:ascii="Liberation Sans" w:eastAsia="SimSun" w:hAnsi="Liberation Sans" w:cs="Mangal"/>
      <w:kern w:val="1"/>
      <w:sz w:val="16"/>
      <w:szCs w:val="20"/>
      <w:lang w:eastAsia="zh-CN" w:bidi="hi-IN"/>
    </w:rPr>
  </w:style>
  <w:style w:type="table" w:styleId="Grilledutableau">
    <w:name w:val="Table Grid"/>
    <w:basedOn w:val="Tableau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  <w:contextualSpacing w:val="0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</w:style>
  <w:style w:type="paragraph" w:customStyle="1" w:styleId="Standard">
    <w:name w:val="Standard"/>
    <w:link w:val="StandardCar"/>
    <w:pPr>
      <w:suppressAutoHyphens/>
      <w:autoSpaceDN w:val="0"/>
      <w:jc w:val="left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b/>
      <w:bCs/>
      <w:sz w:val="20"/>
      <w:szCs w:val="20"/>
    </w:rPr>
  </w:style>
  <w:style w:type="paragraph" w:customStyle="1" w:styleId="western">
    <w:name w:val="western"/>
    <w:basedOn w:val="Normal"/>
    <w:pPr>
      <w:spacing w:before="57"/>
      <w:contextualSpacing w:val="0"/>
    </w:pPr>
    <w:rPr>
      <w:rFonts w:ascii="Marianne" w:eastAsia="Times New Roman" w:hAnsi="Marianne" w:cs="Arial"/>
      <w:b/>
      <w:sz w:val="20"/>
      <w:szCs w:val="20"/>
      <w:lang w:eastAsia="fr-FR"/>
    </w:rPr>
  </w:style>
  <w:style w:type="character" w:customStyle="1" w:styleId="StandardCar">
    <w:name w:val="Standard Car"/>
    <w:basedOn w:val="Policepardfaut"/>
    <w:link w:val="Standard"/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99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registres.ademe.fr/" TargetMode="External"/><Relationship Id="rId1" Type="http://schemas.openxmlformats.org/officeDocument/2006/relationships/hyperlink" Target="https://registres.ademe.fr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D3C73C-7224-4D82-884E-298F3C345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657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MINEFI</Company>
  <LinksUpToDate>false</LinksUpToDate>
  <CharactersWithSpaces>4263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Boulet</dc:creator>
  <cp:keywords/>
  <dc:description/>
  <cp:lastModifiedBy>DROUYER Patrick</cp:lastModifiedBy>
  <cp:revision>2</cp:revision>
  <dcterms:created xsi:type="dcterms:W3CDTF">2025-02-18T07:30:00Z</dcterms:created>
  <dcterms:modified xsi:type="dcterms:W3CDTF">2025-02-18T07:30:00Z</dcterms:modified>
</cp:coreProperties>
</file>